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60" w:rsidRPr="00DC52EE" w:rsidRDefault="00BB7760" w:rsidP="00BB7760">
      <w:pPr>
        <w:snapToGrid w:val="0"/>
        <w:spacing w:after="0" w:line="240" w:lineRule="auto"/>
        <w:jc w:val="center"/>
        <w:rPr>
          <w:b/>
          <w:sz w:val="20"/>
          <w:szCs w:val="20"/>
          <w:lang w:eastAsia="zh-CN"/>
        </w:rPr>
      </w:pPr>
    </w:p>
    <w:p w:rsidR="00903A07" w:rsidRPr="00DC52EE" w:rsidRDefault="00452579" w:rsidP="00BB7760">
      <w:pPr>
        <w:snapToGrid w:val="0"/>
        <w:spacing w:after="0" w:line="240" w:lineRule="auto"/>
        <w:jc w:val="center"/>
        <w:rPr>
          <w:b/>
          <w:bCs/>
          <w:sz w:val="20"/>
          <w:szCs w:val="20"/>
          <w:lang w:eastAsia="zh-CN"/>
        </w:rPr>
      </w:pPr>
      <w:r w:rsidRPr="00DC52EE">
        <w:rPr>
          <w:b/>
          <w:sz w:val="20"/>
          <w:szCs w:val="20"/>
        </w:rPr>
        <w:t xml:space="preserve">Prevalence </w:t>
      </w:r>
      <w:r w:rsidR="00384A52" w:rsidRPr="00DC52EE">
        <w:rPr>
          <w:b/>
          <w:sz w:val="20"/>
          <w:szCs w:val="20"/>
        </w:rPr>
        <w:t>of</w:t>
      </w:r>
      <w:r w:rsidRPr="00DC52EE">
        <w:rPr>
          <w:b/>
          <w:sz w:val="20"/>
          <w:szCs w:val="20"/>
        </w:rPr>
        <w:t xml:space="preserve"> G</w:t>
      </w:r>
      <w:r w:rsidR="00384A52" w:rsidRPr="00DC52EE">
        <w:rPr>
          <w:b/>
          <w:sz w:val="20"/>
          <w:szCs w:val="20"/>
        </w:rPr>
        <w:t>astrointestinal</w:t>
      </w:r>
      <w:r w:rsidRPr="00DC52EE">
        <w:rPr>
          <w:b/>
          <w:sz w:val="20"/>
          <w:szCs w:val="20"/>
        </w:rPr>
        <w:t xml:space="preserve"> P</w:t>
      </w:r>
      <w:r w:rsidR="00384A52" w:rsidRPr="00DC52EE">
        <w:rPr>
          <w:b/>
          <w:sz w:val="20"/>
          <w:szCs w:val="20"/>
        </w:rPr>
        <w:t>arasites</w:t>
      </w:r>
      <w:r w:rsidRPr="00DC52EE">
        <w:rPr>
          <w:b/>
          <w:sz w:val="20"/>
          <w:szCs w:val="20"/>
        </w:rPr>
        <w:t xml:space="preserve"> </w:t>
      </w:r>
      <w:r w:rsidR="00384A52" w:rsidRPr="00DC52EE">
        <w:rPr>
          <w:b/>
          <w:sz w:val="20"/>
          <w:szCs w:val="20"/>
        </w:rPr>
        <w:t>of</w:t>
      </w:r>
      <w:r w:rsidRPr="00DC52EE">
        <w:rPr>
          <w:b/>
          <w:sz w:val="20"/>
          <w:szCs w:val="20"/>
        </w:rPr>
        <w:t xml:space="preserve"> S</w:t>
      </w:r>
      <w:r w:rsidR="00384A52" w:rsidRPr="00DC52EE">
        <w:rPr>
          <w:b/>
          <w:sz w:val="20"/>
          <w:szCs w:val="20"/>
        </w:rPr>
        <w:t>mall</w:t>
      </w:r>
      <w:r w:rsidRPr="00DC52EE">
        <w:rPr>
          <w:b/>
          <w:sz w:val="20"/>
          <w:szCs w:val="20"/>
        </w:rPr>
        <w:t xml:space="preserve"> R</w:t>
      </w:r>
      <w:r w:rsidR="00384A52" w:rsidRPr="00DC52EE">
        <w:rPr>
          <w:b/>
          <w:sz w:val="20"/>
          <w:szCs w:val="20"/>
        </w:rPr>
        <w:t>uminants</w:t>
      </w:r>
      <w:r w:rsidRPr="00DC52EE">
        <w:rPr>
          <w:b/>
          <w:sz w:val="20"/>
          <w:szCs w:val="20"/>
        </w:rPr>
        <w:t xml:space="preserve"> </w:t>
      </w:r>
      <w:r w:rsidR="00384A52" w:rsidRPr="00DC52EE">
        <w:rPr>
          <w:b/>
          <w:sz w:val="20"/>
          <w:szCs w:val="20"/>
        </w:rPr>
        <w:t>in</w:t>
      </w:r>
      <w:r w:rsidRPr="00DC52EE">
        <w:rPr>
          <w:b/>
          <w:sz w:val="20"/>
          <w:szCs w:val="20"/>
        </w:rPr>
        <w:t xml:space="preserve"> </w:t>
      </w:r>
      <w:r w:rsidR="00384A52" w:rsidRPr="00DC52EE">
        <w:rPr>
          <w:b/>
          <w:sz w:val="20"/>
          <w:szCs w:val="20"/>
        </w:rPr>
        <w:t xml:space="preserve">and </w:t>
      </w:r>
      <w:r w:rsidR="00D67BF1" w:rsidRPr="00DC52EE">
        <w:rPr>
          <w:b/>
          <w:sz w:val="20"/>
          <w:szCs w:val="20"/>
        </w:rPr>
        <w:t>a</w:t>
      </w:r>
      <w:r w:rsidR="00384A52" w:rsidRPr="00DC52EE">
        <w:rPr>
          <w:b/>
          <w:sz w:val="20"/>
          <w:szCs w:val="20"/>
        </w:rPr>
        <w:t>round</w:t>
      </w:r>
      <w:r w:rsidRPr="00DC52EE">
        <w:rPr>
          <w:b/>
          <w:sz w:val="20"/>
          <w:szCs w:val="20"/>
        </w:rPr>
        <w:t xml:space="preserve"> N</w:t>
      </w:r>
      <w:r w:rsidR="00384A52" w:rsidRPr="00DC52EE">
        <w:rPr>
          <w:b/>
          <w:sz w:val="20"/>
          <w:szCs w:val="20"/>
        </w:rPr>
        <w:t xml:space="preserve">ekemte </w:t>
      </w:r>
      <w:r w:rsidRPr="00DC52EE">
        <w:rPr>
          <w:b/>
          <w:sz w:val="20"/>
          <w:szCs w:val="20"/>
        </w:rPr>
        <w:t>T</w:t>
      </w:r>
      <w:r w:rsidR="00384A52" w:rsidRPr="00DC52EE">
        <w:rPr>
          <w:b/>
          <w:sz w:val="20"/>
          <w:szCs w:val="20"/>
        </w:rPr>
        <w:t>own,</w:t>
      </w:r>
      <w:r w:rsidR="00384A52" w:rsidRPr="00DC52EE">
        <w:rPr>
          <w:b/>
          <w:bCs/>
          <w:sz w:val="20"/>
          <w:szCs w:val="20"/>
        </w:rPr>
        <w:t xml:space="preserve"> </w:t>
      </w:r>
      <w:r w:rsidR="00A931BC" w:rsidRPr="00DC52EE">
        <w:rPr>
          <w:b/>
          <w:bCs/>
          <w:sz w:val="20"/>
          <w:szCs w:val="20"/>
        </w:rPr>
        <w:t>W</w:t>
      </w:r>
      <w:r w:rsidR="00384A52" w:rsidRPr="00DC52EE">
        <w:rPr>
          <w:b/>
          <w:bCs/>
          <w:sz w:val="20"/>
          <w:szCs w:val="20"/>
        </w:rPr>
        <w:t>estern Ethiopia.</w:t>
      </w:r>
    </w:p>
    <w:p w:rsidR="00903A07" w:rsidRPr="00DC52EE" w:rsidRDefault="00903A07" w:rsidP="00BB7760">
      <w:pPr>
        <w:snapToGrid w:val="0"/>
        <w:spacing w:after="0" w:line="240" w:lineRule="auto"/>
        <w:jc w:val="center"/>
        <w:rPr>
          <w:b/>
          <w:bCs/>
          <w:sz w:val="20"/>
          <w:szCs w:val="20"/>
          <w:lang w:eastAsia="zh-CN"/>
        </w:rPr>
      </w:pPr>
    </w:p>
    <w:p w:rsidR="00903A07" w:rsidRPr="00DC52EE" w:rsidRDefault="00452579" w:rsidP="00BB7760">
      <w:pPr>
        <w:snapToGrid w:val="0"/>
        <w:spacing w:after="0" w:line="240" w:lineRule="auto"/>
        <w:jc w:val="center"/>
        <w:rPr>
          <w:sz w:val="20"/>
          <w:szCs w:val="20"/>
          <w:lang w:eastAsia="zh-CN"/>
        </w:rPr>
      </w:pPr>
      <w:r w:rsidRPr="00DC52EE">
        <w:rPr>
          <w:sz w:val="20"/>
          <w:szCs w:val="20"/>
          <w:vertAlign w:val="superscript"/>
        </w:rPr>
        <w:t>1</w:t>
      </w:r>
      <w:r w:rsidRPr="00DC52EE">
        <w:rPr>
          <w:sz w:val="20"/>
          <w:szCs w:val="20"/>
        </w:rPr>
        <w:t xml:space="preserve"> Mohammed Abdulkadir</w:t>
      </w:r>
      <w:r w:rsidR="00DC52EE" w:rsidRPr="00DC52EE">
        <w:rPr>
          <w:rFonts w:hint="eastAsia"/>
          <w:sz w:val="20"/>
          <w:szCs w:val="20"/>
          <w:lang w:eastAsia="zh-CN"/>
        </w:rPr>
        <w:t>,</w:t>
      </w:r>
      <w:r w:rsidR="00903A07" w:rsidRPr="00DC52EE">
        <w:rPr>
          <w:sz w:val="20"/>
          <w:szCs w:val="20"/>
        </w:rPr>
        <w:t xml:space="preserve"> </w:t>
      </w:r>
      <w:r w:rsidRPr="00DC52EE">
        <w:rPr>
          <w:sz w:val="20"/>
          <w:szCs w:val="20"/>
          <w:vertAlign w:val="superscript"/>
        </w:rPr>
        <w:t>2*</w:t>
      </w:r>
      <w:r w:rsidRPr="00DC52EE">
        <w:rPr>
          <w:sz w:val="20"/>
          <w:szCs w:val="20"/>
        </w:rPr>
        <w:t xml:space="preserve"> Haile </w:t>
      </w:r>
      <w:r w:rsidR="00DC52EE" w:rsidRPr="00DC52EE">
        <w:rPr>
          <w:rFonts w:hint="eastAsia"/>
          <w:sz w:val="20"/>
          <w:szCs w:val="20"/>
          <w:lang w:eastAsia="zh-CN"/>
        </w:rPr>
        <w:t>W</w:t>
      </w:r>
      <w:r w:rsidRPr="00DC52EE">
        <w:rPr>
          <w:sz w:val="20"/>
          <w:szCs w:val="20"/>
        </w:rPr>
        <w:t>orku</w:t>
      </w:r>
    </w:p>
    <w:p w:rsidR="00903A07" w:rsidRPr="00DC52EE" w:rsidRDefault="00903A07" w:rsidP="00BB7760">
      <w:pPr>
        <w:snapToGrid w:val="0"/>
        <w:spacing w:after="0" w:line="240" w:lineRule="auto"/>
        <w:jc w:val="center"/>
        <w:rPr>
          <w:sz w:val="20"/>
          <w:szCs w:val="20"/>
          <w:lang w:eastAsia="zh-CN"/>
        </w:rPr>
      </w:pPr>
    </w:p>
    <w:p w:rsidR="00384A52" w:rsidRPr="00DC52EE" w:rsidRDefault="00384A52" w:rsidP="00BB7760">
      <w:pPr>
        <w:snapToGrid w:val="0"/>
        <w:spacing w:after="0" w:line="240" w:lineRule="auto"/>
        <w:jc w:val="center"/>
        <w:rPr>
          <w:b/>
          <w:sz w:val="20"/>
          <w:szCs w:val="20"/>
        </w:rPr>
      </w:pPr>
      <w:r w:rsidRPr="00DC52EE">
        <w:rPr>
          <w:color w:val="000000"/>
          <w:sz w:val="20"/>
          <w:szCs w:val="20"/>
          <w:vertAlign w:val="superscript"/>
        </w:rPr>
        <w:t>1</w:t>
      </w:r>
      <w:r w:rsidRPr="00DC52EE">
        <w:rPr>
          <w:color w:val="000000"/>
          <w:sz w:val="20"/>
          <w:szCs w:val="20"/>
        </w:rPr>
        <w:t xml:space="preserve"> Benishngul -Gumuz Regional State, Assosa Trypanosomiasis and Tse tse Fly Control Center, Asossa, Ethiopia</w:t>
      </w:r>
    </w:p>
    <w:p w:rsidR="00384A52" w:rsidRPr="00DC52EE" w:rsidRDefault="00384A52" w:rsidP="00BB7760">
      <w:pPr>
        <w:autoSpaceDE w:val="0"/>
        <w:autoSpaceDN w:val="0"/>
        <w:adjustRightInd w:val="0"/>
        <w:snapToGrid w:val="0"/>
        <w:spacing w:after="0" w:line="240" w:lineRule="auto"/>
        <w:jc w:val="center"/>
        <w:rPr>
          <w:color w:val="000000"/>
          <w:sz w:val="20"/>
          <w:szCs w:val="20"/>
        </w:rPr>
      </w:pPr>
      <w:r w:rsidRPr="00DC52EE">
        <w:rPr>
          <w:color w:val="000000"/>
          <w:sz w:val="20"/>
          <w:szCs w:val="20"/>
          <w:vertAlign w:val="superscript"/>
        </w:rPr>
        <w:t>2*</w:t>
      </w:r>
      <w:r w:rsidRPr="00DC52EE">
        <w:rPr>
          <w:color w:val="000000"/>
          <w:sz w:val="20"/>
          <w:szCs w:val="20"/>
        </w:rPr>
        <w:t xml:space="preserve"> Benishngul -Gumuz Regional State, Bureau of Agriculture and Natural Resource, P.O. Box: 30 Assosa, Ethiopia</w:t>
      </w:r>
    </w:p>
    <w:p w:rsidR="00903A07" w:rsidRPr="00DC52EE" w:rsidRDefault="00384A52" w:rsidP="00BB7760">
      <w:pPr>
        <w:autoSpaceDE w:val="0"/>
        <w:autoSpaceDN w:val="0"/>
        <w:adjustRightInd w:val="0"/>
        <w:snapToGrid w:val="0"/>
        <w:spacing w:after="0" w:line="240" w:lineRule="auto"/>
        <w:jc w:val="center"/>
        <w:rPr>
          <w:color w:val="0000FF"/>
          <w:sz w:val="20"/>
          <w:szCs w:val="20"/>
        </w:rPr>
      </w:pPr>
      <w:r w:rsidRPr="00DC52EE">
        <w:rPr>
          <w:color w:val="000000"/>
          <w:sz w:val="20"/>
          <w:szCs w:val="20"/>
        </w:rPr>
        <w:t xml:space="preserve">Email: </w:t>
      </w:r>
      <w:r w:rsidRPr="00DC52EE">
        <w:rPr>
          <w:color w:val="0000FF"/>
          <w:sz w:val="20"/>
          <w:szCs w:val="20"/>
        </w:rPr>
        <w:t>workuhaile29@mail.com</w:t>
      </w:r>
    </w:p>
    <w:p w:rsidR="00903A07" w:rsidRPr="00DC52EE" w:rsidRDefault="00903A07" w:rsidP="00BB7760">
      <w:pPr>
        <w:autoSpaceDE w:val="0"/>
        <w:autoSpaceDN w:val="0"/>
        <w:adjustRightInd w:val="0"/>
        <w:snapToGrid w:val="0"/>
        <w:spacing w:after="0" w:line="240" w:lineRule="auto"/>
        <w:jc w:val="center"/>
        <w:rPr>
          <w:color w:val="0000FF"/>
          <w:sz w:val="20"/>
          <w:szCs w:val="20"/>
        </w:rPr>
      </w:pPr>
    </w:p>
    <w:p w:rsidR="00BB7760" w:rsidRPr="00DC52EE" w:rsidRDefault="00452579" w:rsidP="00BB7760">
      <w:pPr>
        <w:snapToGrid w:val="0"/>
        <w:spacing w:after="0" w:line="240" w:lineRule="auto"/>
        <w:jc w:val="both"/>
        <w:rPr>
          <w:bCs/>
          <w:sz w:val="20"/>
          <w:szCs w:val="20"/>
          <w:lang w:eastAsia="zh-CN"/>
        </w:rPr>
      </w:pPr>
      <w:r w:rsidRPr="00DC52EE">
        <w:rPr>
          <w:b/>
          <w:sz w:val="20"/>
          <w:szCs w:val="20"/>
        </w:rPr>
        <w:t>A</w:t>
      </w:r>
      <w:r w:rsidR="00384A52" w:rsidRPr="00DC52EE">
        <w:rPr>
          <w:b/>
          <w:sz w:val="20"/>
          <w:szCs w:val="20"/>
        </w:rPr>
        <w:t>bstract</w:t>
      </w:r>
      <w:r w:rsidR="00384A52" w:rsidRPr="00DC52EE">
        <w:rPr>
          <w:b/>
          <w:bCs/>
          <w:color w:val="1A1A1A"/>
          <w:sz w:val="20"/>
          <w:szCs w:val="20"/>
        </w:rPr>
        <w:t>:-</w:t>
      </w:r>
      <w:r w:rsidR="00903A07" w:rsidRPr="00DC52EE">
        <w:rPr>
          <w:b/>
          <w:bCs/>
          <w:color w:val="1A1A1A"/>
          <w:sz w:val="20"/>
          <w:szCs w:val="20"/>
        </w:rPr>
        <w:t xml:space="preserve"> </w:t>
      </w:r>
      <w:r w:rsidRPr="00DC52EE">
        <w:rPr>
          <w:bCs/>
          <w:sz w:val="20"/>
          <w:szCs w:val="20"/>
        </w:rPr>
        <w:t xml:space="preserve">A cross-sectional study was conducted from November 2014 to April 2015 with the objectives of determining the prevalence, identifying the species involved and assessing risk factors of gastrointestinal parasites in small ruminants in Nekemte town. </w:t>
      </w:r>
      <w:r w:rsidRPr="00DC52EE">
        <w:rPr>
          <w:sz w:val="20"/>
          <w:szCs w:val="20"/>
        </w:rPr>
        <w:t>In this study, Postmortem examinations were conducted to appreciate the adult parasites by collecting intestinal contents from slaughtered sheep and goats in different restaurants found in Nekemte town. Faecal samples were also collected to detect some parasites those are not morphologically appreciated easily. From a total of 384 animals (260 sheep and 124 goats) exam</w:t>
      </w:r>
      <w:r w:rsidR="00167D21" w:rsidRPr="00DC52EE">
        <w:rPr>
          <w:sz w:val="20"/>
          <w:szCs w:val="20"/>
        </w:rPr>
        <w:t>ined, overall of 261(67.9</w:t>
      </w:r>
      <w:r w:rsidRPr="00DC52EE">
        <w:rPr>
          <w:sz w:val="20"/>
          <w:szCs w:val="20"/>
        </w:rPr>
        <w:t xml:space="preserve">%) individual animals were harboring one or more GIT parasites. The study found that 172(70.4%) sheep and 89(63.5%) goats were found to harbor eggs of GIT parasites. </w:t>
      </w:r>
      <w:r w:rsidRPr="00DC52EE">
        <w:rPr>
          <w:bCs/>
          <w:sz w:val="20"/>
          <w:szCs w:val="20"/>
        </w:rPr>
        <w:t xml:space="preserve">The prevalence of various types of parasites like </w:t>
      </w:r>
      <w:r w:rsidRPr="00DC52EE">
        <w:rPr>
          <w:bCs/>
          <w:i/>
          <w:sz w:val="20"/>
          <w:szCs w:val="20"/>
        </w:rPr>
        <w:t>Haemonchus</w:t>
      </w:r>
      <w:r w:rsidRPr="00DC52EE">
        <w:rPr>
          <w:bCs/>
          <w:sz w:val="20"/>
          <w:szCs w:val="20"/>
        </w:rPr>
        <w:t xml:space="preserve"> 23.7%, 9.3%; </w:t>
      </w:r>
      <w:r w:rsidRPr="00DC52EE">
        <w:rPr>
          <w:bCs/>
          <w:i/>
          <w:sz w:val="20"/>
          <w:szCs w:val="20"/>
        </w:rPr>
        <w:t>Paramphistomum</w:t>
      </w:r>
      <w:r w:rsidRPr="00DC52EE">
        <w:rPr>
          <w:bCs/>
          <w:sz w:val="20"/>
          <w:szCs w:val="20"/>
        </w:rPr>
        <w:t xml:space="preserve"> 9%, 6.4%; </w:t>
      </w:r>
      <w:r w:rsidRPr="00DC52EE">
        <w:rPr>
          <w:bCs/>
          <w:i/>
          <w:sz w:val="20"/>
          <w:szCs w:val="20"/>
        </w:rPr>
        <w:t>Fasciola</w:t>
      </w:r>
      <w:r w:rsidRPr="00DC52EE">
        <w:rPr>
          <w:bCs/>
          <w:sz w:val="20"/>
          <w:szCs w:val="20"/>
        </w:rPr>
        <w:t xml:space="preserve"> 8.6%, 2.8%; </w:t>
      </w:r>
      <w:r w:rsidRPr="00DC52EE">
        <w:rPr>
          <w:bCs/>
          <w:i/>
          <w:sz w:val="20"/>
          <w:szCs w:val="20"/>
        </w:rPr>
        <w:t>Trichostrongylus</w:t>
      </w:r>
      <w:r w:rsidRPr="00DC52EE">
        <w:rPr>
          <w:bCs/>
          <w:sz w:val="20"/>
          <w:szCs w:val="20"/>
        </w:rPr>
        <w:t xml:space="preserve"> 5.7%, 12%; </w:t>
      </w:r>
      <w:r w:rsidRPr="00DC52EE">
        <w:rPr>
          <w:bCs/>
          <w:i/>
          <w:sz w:val="20"/>
          <w:szCs w:val="20"/>
        </w:rPr>
        <w:t xml:space="preserve">Emeria </w:t>
      </w:r>
      <w:r w:rsidRPr="00DC52EE">
        <w:rPr>
          <w:bCs/>
          <w:sz w:val="20"/>
          <w:szCs w:val="20"/>
        </w:rPr>
        <w:t xml:space="preserve">7%, 5.7%; </w:t>
      </w:r>
      <w:r w:rsidRPr="00DC52EE">
        <w:rPr>
          <w:bCs/>
          <w:i/>
          <w:sz w:val="20"/>
          <w:szCs w:val="20"/>
        </w:rPr>
        <w:t>Monezia</w:t>
      </w:r>
      <w:r w:rsidRPr="00DC52EE">
        <w:rPr>
          <w:bCs/>
          <w:sz w:val="20"/>
          <w:szCs w:val="20"/>
        </w:rPr>
        <w:t xml:space="preserve"> 5%, 6.4%; </w:t>
      </w:r>
      <w:r w:rsidRPr="00DC52EE">
        <w:rPr>
          <w:bCs/>
          <w:i/>
          <w:sz w:val="20"/>
          <w:szCs w:val="20"/>
        </w:rPr>
        <w:t>Chabertia</w:t>
      </w:r>
      <w:r w:rsidRPr="00DC52EE">
        <w:rPr>
          <w:bCs/>
          <w:sz w:val="20"/>
          <w:szCs w:val="20"/>
        </w:rPr>
        <w:t xml:space="preserve"> 4.5%, 3.6%; </w:t>
      </w:r>
      <w:r w:rsidRPr="00DC52EE">
        <w:rPr>
          <w:bCs/>
          <w:i/>
          <w:sz w:val="20"/>
          <w:szCs w:val="20"/>
        </w:rPr>
        <w:t xml:space="preserve">Strongloides </w:t>
      </w:r>
      <w:r w:rsidRPr="00DC52EE">
        <w:rPr>
          <w:bCs/>
          <w:sz w:val="20"/>
          <w:szCs w:val="20"/>
        </w:rPr>
        <w:t xml:space="preserve">3.3%, 4.3%; </w:t>
      </w:r>
      <w:r w:rsidRPr="00DC52EE">
        <w:rPr>
          <w:bCs/>
          <w:i/>
          <w:sz w:val="20"/>
          <w:szCs w:val="20"/>
        </w:rPr>
        <w:t>Ostertagia</w:t>
      </w:r>
      <w:r w:rsidRPr="00DC52EE">
        <w:rPr>
          <w:bCs/>
          <w:sz w:val="20"/>
          <w:szCs w:val="20"/>
        </w:rPr>
        <w:t xml:space="preserve"> 2%, 3.6%; </w:t>
      </w:r>
      <w:r w:rsidRPr="00DC52EE">
        <w:rPr>
          <w:bCs/>
          <w:i/>
          <w:sz w:val="20"/>
          <w:szCs w:val="20"/>
        </w:rPr>
        <w:t xml:space="preserve">Trichuris </w:t>
      </w:r>
      <w:r w:rsidRPr="00DC52EE">
        <w:rPr>
          <w:bCs/>
          <w:sz w:val="20"/>
          <w:szCs w:val="20"/>
        </w:rPr>
        <w:t xml:space="preserve">1.6%, 8.6% were existed in sheep and goats, respectively. </w:t>
      </w:r>
      <w:r w:rsidRPr="00DC52EE">
        <w:rPr>
          <w:sz w:val="20"/>
          <w:szCs w:val="20"/>
        </w:rPr>
        <w:t>Prevalence rates of GIT parasites according to the species of were 70.4% and 63.5% sheep and goats, respectively. There was statistically significant difference in prevalence of GIT parasites between of animals (P&lt;0.05, OR=2.50).</w:t>
      </w:r>
      <w:r w:rsidRPr="00DC52EE">
        <w:rPr>
          <w:color w:val="FF0000"/>
          <w:sz w:val="20"/>
          <w:szCs w:val="20"/>
        </w:rPr>
        <w:t xml:space="preserve"> </w:t>
      </w:r>
      <w:r w:rsidRPr="00DC52EE">
        <w:rPr>
          <w:sz w:val="20"/>
          <w:szCs w:val="20"/>
        </w:rPr>
        <w:t xml:space="preserve">This result shows </w:t>
      </w:r>
      <w:r w:rsidRPr="00DC52EE">
        <w:rPr>
          <w:i/>
          <w:sz w:val="20"/>
          <w:szCs w:val="20"/>
        </w:rPr>
        <w:t>Ovine</w:t>
      </w:r>
      <w:r w:rsidRPr="00DC52EE">
        <w:rPr>
          <w:sz w:val="20"/>
          <w:szCs w:val="20"/>
        </w:rPr>
        <w:t xml:space="preserve"> species were more likely to be affected by GIT parasites more than two times as compared to that of </w:t>
      </w:r>
      <w:r w:rsidRPr="00DC52EE">
        <w:rPr>
          <w:i/>
          <w:sz w:val="20"/>
          <w:szCs w:val="20"/>
        </w:rPr>
        <w:t>Caprine</w:t>
      </w:r>
      <w:r w:rsidRPr="00DC52EE">
        <w:rPr>
          <w:sz w:val="20"/>
          <w:szCs w:val="20"/>
        </w:rPr>
        <w:t xml:space="preserve"> species.</w:t>
      </w:r>
      <w:r w:rsidRPr="00DC52EE">
        <w:rPr>
          <w:color w:val="FF0000"/>
          <w:sz w:val="20"/>
          <w:szCs w:val="20"/>
        </w:rPr>
        <w:t xml:space="preserve"> </w:t>
      </w:r>
      <w:r w:rsidRPr="00DC52EE">
        <w:rPr>
          <w:bCs/>
          <w:sz w:val="20"/>
          <w:szCs w:val="20"/>
        </w:rPr>
        <w:t xml:space="preserve">Sex-wise prevalence of GIT parasite was also observed and it was higher in female (81.4%) as compared to the male (60.4%) with statistically </w:t>
      </w:r>
      <w:r w:rsidRPr="00DC52EE">
        <w:rPr>
          <w:sz w:val="20"/>
          <w:szCs w:val="20"/>
        </w:rPr>
        <w:t xml:space="preserve">significant difference (P&lt;0.05, OR=2.87) between sex groups. </w:t>
      </w:r>
      <w:r w:rsidRPr="00DC52EE">
        <w:rPr>
          <w:bCs/>
          <w:sz w:val="20"/>
          <w:szCs w:val="20"/>
        </w:rPr>
        <w:t>Based on age of animals, prevalence of GIT parasite was higher in the young (92.7%) than in adult (59.7%).</w:t>
      </w:r>
      <w:r w:rsidRPr="00DC52EE">
        <w:rPr>
          <w:sz w:val="20"/>
          <w:szCs w:val="20"/>
        </w:rPr>
        <w:t xml:space="preserve"> The study showed that GIT parasites are major problems of Small ruminants in the study area. </w:t>
      </w:r>
      <w:r w:rsidRPr="00DC52EE">
        <w:rPr>
          <w:bCs/>
          <w:sz w:val="20"/>
          <w:szCs w:val="20"/>
        </w:rPr>
        <w:t>Therefore, awareness creation to the farmers should be instituted in the study area on the effect of gastrointestinal parasites of small ruminants and its control and strategic deworming of small ruminants should be practiced.</w:t>
      </w:r>
      <w:r w:rsidR="00D67BF1" w:rsidRPr="00DC52EE">
        <w:rPr>
          <w:bCs/>
          <w:sz w:val="20"/>
          <w:szCs w:val="20"/>
        </w:rPr>
        <w:t xml:space="preserve"> </w:t>
      </w:r>
    </w:p>
    <w:p w:rsidR="00BB7760" w:rsidRPr="00DC52EE" w:rsidRDefault="00D67BF1" w:rsidP="00BB7760">
      <w:pPr>
        <w:snapToGrid w:val="0"/>
        <w:spacing w:after="0" w:line="240" w:lineRule="auto"/>
        <w:jc w:val="both"/>
        <w:rPr>
          <w:b/>
          <w:bCs/>
          <w:sz w:val="20"/>
          <w:szCs w:val="20"/>
          <w:lang w:eastAsia="zh-CN"/>
        </w:rPr>
      </w:pPr>
      <w:r w:rsidRPr="00DC52EE">
        <w:rPr>
          <w:sz w:val="20"/>
          <w:szCs w:val="20"/>
        </w:rPr>
        <w:t>[Haile Worku</w:t>
      </w:r>
      <w:r w:rsidRPr="00DC52EE">
        <w:rPr>
          <w:b/>
          <w:sz w:val="20"/>
          <w:szCs w:val="20"/>
        </w:rPr>
        <w:t xml:space="preserve">, </w:t>
      </w:r>
      <w:r w:rsidRPr="00DC52EE">
        <w:rPr>
          <w:sz w:val="20"/>
          <w:szCs w:val="20"/>
        </w:rPr>
        <w:t xml:space="preserve">Mohammed Abdulkadir. </w:t>
      </w:r>
      <w:r w:rsidRPr="00DC52EE">
        <w:rPr>
          <w:b/>
          <w:sz w:val="20"/>
          <w:szCs w:val="20"/>
        </w:rPr>
        <w:t>Prevalence of Gastrointestinal Parasites of Small Ruminants in and around Nekemte Town,</w:t>
      </w:r>
      <w:r w:rsidRPr="00DC52EE">
        <w:rPr>
          <w:b/>
          <w:bCs/>
          <w:sz w:val="20"/>
          <w:szCs w:val="20"/>
        </w:rPr>
        <w:t xml:space="preserve"> Western Ethiopia.</w:t>
      </w:r>
      <w:r w:rsidR="00BB7760" w:rsidRPr="00DC52EE">
        <w:rPr>
          <w:bCs/>
          <w:i/>
          <w:sz w:val="20"/>
          <w:szCs w:val="20"/>
        </w:rPr>
        <w:t xml:space="preserve"> Researcher</w:t>
      </w:r>
      <w:r w:rsidR="00BB7760" w:rsidRPr="00DC52EE">
        <w:rPr>
          <w:bCs/>
          <w:sz w:val="20"/>
          <w:szCs w:val="20"/>
        </w:rPr>
        <w:t xml:space="preserve"> 20</w:t>
      </w:r>
      <w:r w:rsidR="00BB7760" w:rsidRPr="00DC52EE">
        <w:rPr>
          <w:rFonts w:hint="eastAsia"/>
          <w:bCs/>
          <w:sz w:val="20"/>
          <w:szCs w:val="20"/>
        </w:rPr>
        <w:t>20</w:t>
      </w:r>
      <w:r w:rsidR="00BB7760" w:rsidRPr="00DC52EE">
        <w:rPr>
          <w:bCs/>
          <w:sz w:val="20"/>
          <w:szCs w:val="20"/>
        </w:rPr>
        <w:t>;</w:t>
      </w:r>
      <w:r w:rsidR="00BB7760" w:rsidRPr="00DC52EE">
        <w:rPr>
          <w:rFonts w:hint="eastAsia"/>
          <w:bCs/>
          <w:sz w:val="20"/>
          <w:szCs w:val="20"/>
        </w:rPr>
        <w:t>12</w:t>
      </w:r>
      <w:r w:rsidR="00BB7760" w:rsidRPr="00DC52EE">
        <w:rPr>
          <w:bCs/>
          <w:sz w:val="20"/>
          <w:szCs w:val="20"/>
        </w:rPr>
        <w:t>(</w:t>
      </w:r>
      <w:r w:rsidR="00BB7760" w:rsidRPr="00DC52EE">
        <w:rPr>
          <w:rFonts w:hint="eastAsia"/>
          <w:bCs/>
          <w:sz w:val="20"/>
          <w:szCs w:val="20"/>
        </w:rPr>
        <w:t>9</w:t>
      </w:r>
      <w:r w:rsidR="00BB7760" w:rsidRPr="00DC52EE">
        <w:rPr>
          <w:bCs/>
          <w:sz w:val="20"/>
          <w:szCs w:val="20"/>
        </w:rPr>
        <w:t>):</w:t>
      </w:r>
      <w:r w:rsidR="002A6608">
        <w:rPr>
          <w:rFonts w:hint="eastAsia"/>
          <w:bCs/>
          <w:sz w:val="20"/>
          <w:szCs w:val="20"/>
          <w:lang w:eastAsia="zh-CN"/>
        </w:rPr>
        <w:t>7</w:t>
      </w:r>
      <w:r w:rsidR="006B1F54" w:rsidRPr="00DC52EE">
        <w:rPr>
          <w:noProof/>
          <w:color w:val="000000"/>
          <w:sz w:val="20"/>
          <w:szCs w:val="20"/>
        </w:rPr>
        <w:t>-</w:t>
      </w:r>
      <w:r w:rsidR="00286E43">
        <w:rPr>
          <w:rFonts w:hint="eastAsia"/>
          <w:noProof/>
          <w:color w:val="000000"/>
          <w:sz w:val="20"/>
          <w:szCs w:val="20"/>
          <w:lang w:eastAsia="zh-CN"/>
        </w:rPr>
        <w:t>1</w:t>
      </w:r>
      <w:r w:rsidR="002A6608">
        <w:rPr>
          <w:rFonts w:hint="eastAsia"/>
          <w:noProof/>
          <w:color w:val="000000"/>
          <w:sz w:val="20"/>
          <w:szCs w:val="20"/>
          <w:lang w:eastAsia="zh-CN"/>
        </w:rPr>
        <w:t>6</w:t>
      </w:r>
      <w:r w:rsidR="00BB7760" w:rsidRPr="00DC52EE">
        <w:rPr>
          <w:bCs/>
          <w:sz w:val="20"/>
          <w:szCs w:val="20"/>
        </w:rPr>
        <w:t xml:space="preserve">]. </w:t>
      </w:r>
      <w:r w:rsidR="00BB7760" w:rsidRPr="00DC52EE">
        <w:rPr>
          <w:sz w:val="20"/>
          <w:szCs w:val="20"/>
        </w:rPr>
        <w:t>ISSN 1553-9865 (print); ISSN 2163-8950 (online)</w:t>
      </w:r>
      <w:r w:rsidR="00BB7760" w:rsidRPr="00DC52EE">
        <w:rPr>
          <w:bCs/>
          <w:sz w:val="20"/>
          <w:szCs w:val="20"/>
        </w:rPr>
        <w:t xml:space="preserve">. </w:t>
      </w:r>
      <w:hyperlink r:id="rId8" w:history="1">
        <w:r w:rsidR="00BB7760" w:rsidRPr="00DC52EE">
          <w:rPr>
            <w:rStyle w:val="Hyperlink"/>
            <w:sz w:val="20"/>
            <w:szCs w:val="20"/>
          </w:rPr>
          <w:t>http://www.sciencepub.net/researcher</w:t>
        </w:r>
      </w:hyperlink>
      <w:r w:rsidR="00BB7760" w:rsidRPr="00DC52EE">
        <w:rPr>
          <w:bCs/>
          <w:sz w:val="20"/>
          <w:szCs w:val="20"/>
        </w:rPr>
        <w:t>.</w:t>
      </w:r>
      <w:r w:rsidR="00BB7760" w:rsidRPr="00DC52EE">
        <w:rPr>
          <w:rFonts w:hint="eastAsia"/>
          <w:bCs/>
          <w:sz w:val="20"/>
          <w:szCs w:val="20"/>
        </w:rPr>
        <w:t xml:space="preserve"> </w:t>
      </w:r>
      <w:r w:rsidR="002A6608">
        <w:rPr>
          <w:rFonts w:hint="eastAsia"/>
          <w:bCs/>
          <w:sz w:val="20"/>
          <w:szCs w:val="20"/>
          <w:lang w:eastAsia="zh-CN"/>
        </w:rPr>
        <w:t>2</w:t>
      </w:r>
      <w:r w:rsidR="00BB7760" w:rsidRPr="00DC52EE">
        <w:rPr>
          <w:rFonts w:hint="eastAsia"/>
          <w:bCs/>
          <w:sz w:val="20"/>
          <w:szCs w:val="20"/>
        </w:rPr>
        <w:t xml:space="preserve">. </w:t>
      </w:r>
      <w:r w:rsidR="00BB7760" w:rsidRPr="00DC52EE">
        <w:rPr>
          <w:color w:val="000000"/>
          <w:sz w:val="20"/>
          <w:szCs w:val="20"/>
          <w:shd w:val="clear" w:color="auto" w:fill="FFFFFF"/>
        </w:rPr>
        <w:t>doi:</w:t>
      </w:r>
      <w:hyperlink r:id="rId9" w:history="1">
        <w:r w:rsidR="00BB7760" w:rsidRPr="00DC52EE">
          <w:rPr>
            <w:rStyle w:val="Hyperlink"/>
            <w:sz w:val="20"/>
            <w:szCs w:val="20"/>
            <w:shd w:val="clear" w:color="auto" w:fill="FFFFFF"/>
          </w:rPr>
          <w:t>10.7537/mars</w:t>
        </w:r>
        <w:r w:rsidR="00BB7760" w:rsidRPr="00DC52EE">
          <w:rPr>
            <w:rStyle w:val="Hyperlink"/>
            <w:rFonts w:hint="eastAsia"/>
            <w:sz w:val="20"/>
            <w:szCs w:val="20"/>
            <w:shd w:val="clear" w:color="auto" w:fill="FFFFFF"/>
          </w:rPr>
          <w:t>r</w:t>
        </w:r>
        <w:r w:rsidR="00BB7760" w:rsidRPr="00DC52EE">
          <w:rPr>
            <w:rStyle w:val="Hyperlink"/>
            <w:sz w:val="20"/>
            <w:szCs w:val="20"/>
            <w:shd w:val="clear" w:color="auto" w:fill="FFFFFF"/>
          </w:rPr>
          <w:t>sj</w:t>
        </w:r>
        <w:r w:rsidR="00BB7760" w:rsidRPr="00DC52EE">
          <w:rPr>
            <w:rStyle w:val="Hyperlink"/>
            <w:rFonts w:hint="eastAsia"/>
            <w:sz w:val="20"/>
            <w:szCs w:val="20"/>
            <w:shd w:val="clear" w:color="auto" w:fill="FFFFFF"/>
          </w:rPr>
          <w:t>120920.</w:t>
        </w:r>
        <w:r w:rsidR="00BB7760" w:rsidRPr="00DC52EE">
          <w:rPr>
            <w:rStyle w:val="Hyperlink"/>
            <w:sz w:val="20"/>
            <w:szCs w:val="20"/>
            <w:shd w:val="clear" w:color="auto" w:fill="FFFFFF"/>
          </w:rPr>
          <w:t>0</w:t>
        </w:r>
        <w:r w:rsidR="002A6608">
          <w:rPr>
            <w:rStyle w:val="Hyperlink"/>
            <w:rFonts w:hint="eastAsia"/>
            <w:sz w:val="20"/>
            <w:szCs w:val="20"/>
            <w:shd w:val="clear" w:color="auto" w:fill="FFFFFF"/>
            <w:lang w:eastAsia="zh-CN"/>
          </w:rPr>
          <w:t>2</w:t>
        </w:r>
      </w:hyperlink>
      <w:r w:rsidR="00BB7760" w:rsidRPr="00DC52EE">
        <w:rPr>
          <w:color w:val="000000"/>
          <w:sz w:val="20"/>
          <w:szCs w:val="20"/>
          <w:shd w:val="clear" w:color="auto" w:fill="FFFFFF"/>
        </w:rPr>
        <w:t>.</w:t>
      </w:r>
    </w:p>
    <w:p w:rsidR="00452579" w:rsidRPr="00DC52EE" w:rsidRDefault="00452579" w:rsidP="00BB7760">
      <w:pPr>
        <w:snapToGrid w:val="0"/>
        <w:spacing w:after="0" w:line="240" w:lineRule="auto"/>
        <w:jc w:val="both"/>
        <w:rPr>
          <w:bCs/>
          <w:sz w:val="20"/>
          <w:szCs w:val="20"/>
        </w:rPr>
      </w:pPr>
    </w:p>
    <w:p w:rsidR="00452579" w:rsidRPr="00DC52EE" w:rsidRDefault="00452579" w:rsidP="00BB7760">
      <w:pPr>
        <w:snapToGrid w:val="0"/>
        <w:spacing w:after="0" w:line="240" w:lineRule="auto"/>
        <w:jc w:val="both"/>
        <w:rPr>
          <w:i/>
          <w:sz w:val="20"/>
          <w:szCs w:val="20"/>
        </w:rPr>
      </w:pPr>
      <w:r w:rsidRPr="00DC52EE">
        <w:rPr>
          <w:b/>
          <w:bCs/>
          <w:sz w:val="20"/>
          <w:szCs w:val="20"/>
        </w:rPr>
        <w:t>Key words</w:t>
      </w:r>
      <w:r w:rsidRPr="00DC52EE">
        <w:rPr>
          <w:bCs/>
          <w:sz w:val="20"/>
          <w:szCs w:val="20"/>
        </w:rPr>
        <w:t>: Nekemte</w:t>
      </w:r>
      <w:r w:rsidRPr="00DC52EE">
        <w:rPr>
          <w:sz w:val="20"/>
          <w:szCs w:val="20"/>
        </w:rPr>
        <w:t xml:space="preserve"> town, </w:t>
      </w:r>
      <w:r w:rsidR="00AA6956" w:rsidRPr="00DC52EE">
        <w:rPr>
          <w:sz w:val="20"/>
          <w:szCs w:val="20"/>
        </w:rPr>
        <w:t>G</w:t>
      </w:r>
      <w:r w:rsidR="00794A55" w:rsidRPr="00DC52EE">
        <w:rPr>
          <w:sz w:val="20"/>
          <w:szCs w:val="20"/>
        </w:rPr>
        <w:t>astrointestinal</w:t>
      </w:r>
      <w:r w:rsidRPr="00DC52EE">
        <w:rPr>
          <w:sz w:val="20"/>
          <w:szCs w:val="20"/>
        </w:rPr>
        <w:t xml:space="preserve"> Parasite, Prevalence, Sheep and goat</w:t>
      </w:r>
    </w:p>
    <w:p w:rsidR="00452579" w:rsidRPr="00DC52EE" w:rsidRDefault="00452579" w:rsidP="00BB7760">
      <w:pPr>
        <w:autoSpaceDE w:val="0"/>
        <w:autoSpaceDN w:val="0"/>
        <w:adjustRightInd w:val="0"/>
        <w:snapToGrid w:val="0"/>
        <w:spacing w:after="0" w:line="240" w:lineRule="auto"/>
        <w:jc w:val="both"/>
        <w:rPr>
          <w:b/>
          <w:sz w:val="20"/>
          <w:szCs w:val="20"/>
        </w:rPr>
      </w:pPr>
    </w:p>
    <w:p w:rsidR="00BB7760" w:rsidRPr="00DC52EE" w:rsidRDefault="00BB7760" w:rsidP="00BB7760">
      <w:pPr>
        <w:autoSpaceDE w:val="0"/>
        <w:autoSpaceDN w:val="0"/>
        <w:adjustRightInd w:val="0"/>
        <w:snapToGrid w:val="0"/>
        <w:spacing w:after="0" w:line="240" w:lineRule="auto"/>
        <w:jc w:val="both"/>
        <w:rPr>
          <w:b/>
          <w:sz w:val="20"/>
          <w:szCs w:val="20"/>
        </w:rPr>
        <w:sectPr w:rsidR="00BB7760" w:rsidRPr="00DC52EE" w:rsidSect="002A6608">
          <w:headerReference w:type="default" r:id="rId10"/>
          <w:footerReference w:type="default" r:id="rId11"/>
          <w:type w:val="continuous"/>
          <w:pgSz w:w="12240" w:h="15840"/>
          <w:pgMar w:top="1440" w:right="1440" w:bottom="1440" w:left="1440" w:header="720" w:footer="720" w:gutter="0"/>
          <w:pgNumType w:start="7"/>
          <w:cols w:space="720"/>
          <w:noEndnote/>
          <w:docGrid w:linePitch="326"/>
        </w:sectPr>
      </w:pPr>
    </w:p>
    <w:p w:rsidR="00903A07" w:rsidRPr="00DC52EE" w:rsidRDefault="000162E5" w:rsidP="00BB7760">
      <w:pPr>
        <w:autoSpaceDE w:val="0"/>
        <w:autoSpaceDN w:val="0"/>
        <w:adjustRightInd w:val="0"/>
        <w:snapToGrid w:val="0"/>
        <w:spacing w:after="0" w:line="240" w:lineRule="auto"/>
        <w:jc w:val="both"/>
        <w:rPr>
          <w:b/>
          <w:sz w:val="20"/>
          <w:szCs w:val="20"/>
        </w:rPr>
      </w:pPr>
      <w:r w:rsidRPr="00DC52EE">
        <w:rPr>
          <w:b/>
          <w:sz w:val="20"/>
          <w:szCs w:val="20"/>
        </w:rPr>
        <w:lastRenderedPageBreak/>
        <w:t xml:space="preserve">1. </w:t>
      </w:r>
      <w:r w:rsidR="002B6F78" w:rsidRPr="00DC52EE">
        <w:rPr>
          <w:b/>
          <w:sz w:val="20"/>
          <w:szCs w:val="20"/>
        </w:rPr>
        <w:t>I</w:t>
      </w:r>
      <w:r w:rsidR="00A931BC" w:rsidRPr="00DC52EE">
        <w:rPr>
          <w:b/>
          <w:sz w:val="20"/>
          <w:szCs w:val="20"/>
        </w:rPr>
        <w:t>ntroduction</w:t>
      </w:r>
    </w:p>
    <w:p w:rsidR="00BB7760" w:rsidRPr="00DC52EE" w:rsidRDefault="00903A07" w:rsidP="00BB7760">
      <w:pPr>
        <w:autoSpaceDE w:val="0"/>
        <w:autoSpaceDN w:val="0"/>
        <w:adjustRightInd w:val="0"/>
        <w:snapToGrid w:val="0"/>
        <w:spacing w:after="0" w:line="240" w:lineRule="auto"/>
        <w:ind w:firstLine="425"/>
        <w:jc w:val="both"/>
        <w:rPr>
          <w:rFonts w:eastAsia="Times New Roman"/>
          <w:sz w:val="20"/>
          <w:szCs w:val="20"/>
        </w:rPr>
      </w:pPr>
      <w:r w:rsidRPr="00DC52EE">
        <w:rPr>
          <w:sz w:val="20"/>
          <w:szCs w:val="20"/>
        </w:rPr>
        <w:t>T</w:t>
      </w:r>
      <w:r w:rsidR="00B438D8" w:rsidRPr="00DC52EE">
        <w:rPr>
          <w:sz w:val="20"/>
          <w:szCs w:val="20"/>
        </w:rPr>
        <w:t>he livestock sector accounts for about 30% of the agricultural</w:t>
      </w:r>
      <w:r w:rsidR="00D75B55" w:rsidRPr="00DC52EE">
        <w:rPr>
          <w:sz w:val="20"/>
          <w:szCs w:val="20"/>
        </w:rPr>
        <w:t xml:space="preserve"> GDP in Sub-Saharan Africa</w:t>
      </w:r>
      <w:r w:rsidRPr="00DC52EE">
        <w:rPr>
          <w:sz w:val="20"/>
          <w:szCs w:val="20"/>
        </w:rPr>
        <w:t xml:space="preserve"> </w:t>
      </w:r>
      <w:r w:rsidR="00B438D8" w:rsidRPr="00DC52EE">
        <w:rPr>
          <w:sz w:val="20"/>
          <w:szCs w:val="20"/>
        </w:rPr>
        <w:t>and nearly 60% of the value of edible livestock products is generated by cattle</w:t>
      </w:r>
      <w:r w:rsidRPr="00DC52EE">
        <w:rPr>
          <w:sz w:val="20"/>
          <w:szCs w:val="20"/>
        </w:rPr>
        <w:t>.</w:t>
      </w:r>
      <w:r w:rsidR="00DC52EE" w:rsidRPr="00DC52EE">
        <w:rPr>
          <w:rFonts w:hint="eastAsia"/>
          <w:sz w:val="20"/>
          <w:szCs w:val="20"/>
          <w:lang w:eastAsia="zh-CN"/>
        </w:rPr>
        <w:t xml:space="preserve"> </w:t>
      </w:r>
      <w:r w:rsidR="002A466A" w:rsidRPr="00DC52EE">
        <w:rPr>
          <w:sz w:val="20"/>
          <w:szCs w:val="20"/>
        </w:rPr>
        <w:t xml:space="preserve">Over 90% of Africans small ruminants are found in east and West Africa. </w:t>
      </w:r>
      <w:r w:rsidR="00F77FB7" w:rsidRPr="00DC52EE">
        <w:rPr>
          <w:rFonts w:eastAsia="Times New Roman"/>
          <w:sz w:val="20"/>
          <w:szCs w:val="20"/>
        </w:rPr>
        <w:t>Small ruminants are</w:t>
      </w:r>
      <w:r w:rsidR="0018269F" w:rsidRPr="00DC52EE">
        <w:rPr>
          <w:rFonts w:eastAsia="Times New Roman"/>
          <w:sz w:val="20"/>
          <w:szCs w:val="20"/>
        </w:rPr>
        <w:t xml:space="preserve"> mainly found in arid and semi-</w:t>
      </w:r>
      <w:r w:rsidR="00F77FB7" w:rsidRPr="00DC52EE">
        <w:rPr>
          <w:rFonts w:eastAsia="Times New Roman"/>
          <w:sz w:val="20"/>
          <w:szCs w:val="20"/>
        </w:rPr>
        <w:t>ar</w:t>
      </w:r>
      <w:r w:rsidR="006F79B3" w:rsidRPr="00DC52EE">
        <w:rPr>
          <w:rFonts w:eastAsia="Times New Roman"/>
          <w:sz w:val="20"/>
          <w:szCs w:val="20"/>
        </w:rPr>
        <w:t>id areas of sub-Saharan Africa.</w:t>
      </w:r>
      <w:r w:rsidR="002B63C1" w:rsidRPr="00DC52EE">
        <w:rPr>
          <w:rFonts w:eastAsia="Times New Roman"/>
          <w:sz w:val="20"/>
          <w:szCs w:val="20"/>
        </w:rPr>
        <w:t xml:space="preserve"> </w:t>
      </w:r>
      <w:r w:rsidR="008A7871" w:rsidRPr="00DC52EE">
        <w:rPr>
          <w:rFonts w:eastAsia="Times New Roman"/>
          <w:sz w:val="20"/>
          <w:szCs w:val="20"/>
        </w:rPr>
        <w:t>Compared to cattle and camels, sheep and goats contribute a larger proportion of readily available meat in the diets of pastoralists</w:t>
      </w:r>
      <w:r w:rsidR="0063229F" w:rsidRPr="00DC52EE">
        <w:rPr>
          <w:rFonts w:eastAsia="Times New Roman"/>
          <w:sz w:val="20"/>
          <w:szCs w:val="20"/>
        </w:rPr>
        <w:t xml:space="preserve"> (</w:t>
      </w:r>
      <w:r w:rsidR="002A466A" w:rsidRPr="00DC52EE">
        <w:rPr>
          <w:sz w:val="20"/>
          <w:szCs w:val="20"/>
        </w:rPr>
        <w:t>WHO, 1995</w:t>
      </w:r>
      <w:r w:rsidR="0063229F" w:rsidRPr="00DC52EE">
        <w:rPr>
          <w:rFonts w:eastAsia="Times New Roman"/>
          <w:sz w:val="20"/>
          <w:szCs w:val="20"/>
        </w:rPr>
        <w:t>)</w:t>
      </w:r>
      <w:r w:rsidR="008A7871" w:rsidRPr="00DC52EE">
        <w:rPr>
          <w:rFonts w:eastAsia="Times New Roman"/>
          <w:sz w:val="20"/>
          <w:szCs w:val="20"/>
        </w:rPr>
        <w:t>.</w:t>
      </w:r>
    </w:p>
    <w:p w:rsidR="00BB7760" w:rsidRPr="00DC52EE" w:rsidRDefault="00903A07" w:rsidP="00BB7760">
      <w:pPr>
        <w:autoSpaceDE w:val="0"/>
        <w:autoSpaceDN w:val="0"/>
        <w:adjustRightInd w:val="0"/>
        <w:snapToGrid w:val="0"/>
        <w:spacing w:after="0" w:line="240" w:lineRule="auto"/>
        <w:ind w:firstLine="425"/>
        <w:jc w:val="both"/>
        <w:rPr>
          <w:rFonts w:eastAsia="Times New Roman"/>
          <w:sz w:val="20"/>
          <w:szCs w:val="20"/>
        </w:rPr>
      </w:pPr>
      <w:r w:rsidRPr="00DC52EE">
        <w:rPr>
          <w:rFonts w:eastAsia="Times New Roman"/>
          <w:sz w:val="20"/>
          <w:szCs w:val="20"/>
        </w:rPr>
        <w:t>T</w:t>
      </w:r>
      <w:r w:rsidR="008A7871" w:rsidRPr="00DC52EE">
        <w:rPr>
          <w:rFonts w:eastAsia="Times New Roman"/>
          <w:sz w:val="20"/>
          <w:szCs w:val="20"/>
        </w:rPr>
        <w:t>hey have been estimated to provide up to 30% of the meat and 15% of the milk supplies in sub-Saharan Africa where thrive in a wide range of ecological regions often in conditions too harsh for the beneficial rearing of cattle</w:t>
      </w:r>
      <w:r w:rsidR="00491C3F" w:rsidRPr="00DC52EE">
        <w:rPr>
          <w:rFonts w:eastAsia="Times New Roman"/>
          <w:sz w:val="20"/>
          <w:szCs w:val="20"/>
        </w:rPr>
        <w:t>.</w:t>
      </w:r>
      <w:r w:rsidR="00AB7A8B" w:rsidRPr="00DC52EE">
        <w:rPr>
          <w:rFonts w:eastAsia="Times New Roman"/>
          <w:sz w:val="20"/>
          <w:szCs w:val="20"/>
        </w:rPr>
        <w:t xml:space="preserve"> </w:t>
      </w:r>
      <w:r w:rsidR="00D23851" w:rsidRPr="00DC52EE">
        <w:rPr>
          <w:rFonts w:eastAsia="Times New Roman"/>
          <w:sz w:val="20"/>
          <w:szCs w:val="20"/>
        </w:rPr>
        <w:t xml:space="preserve">Small ruminants have also been reported to survive better under drought conditions than cattle due to their low body mass and </w:t>
      </w:r>
      <w:r w:rsidR="00D23851" w:rsidRPr="00DC52EE">
        <w:rPr>
          <w:rFonts w:eastAsia="Times New Roman"/>
          <w:sz w:val="20"/>
          <w:szCs w:val="20"/>
        </w:rPr>
        <w:lastRenderedPageBreak/>
        <w:t>low metabolic requirements which in turn minimize their water requirements and maintenance needed in arid and semi-arid areas</w:t>
      </w:r>
      <w:r w:rsidR="00AD7321" w:rsidRPr="00DC52EE">
        <w:rPr>
          <w:rFonts w:eastAsia="Times New Roman"/>
          <w:sz w:val="20"/>
          <w:szCs w:val="20"/>
        </w:rPr>
        <w:t xml:space="preserve"> </w:t>
      </w:r>
      <w:r w:rsidR="00491C3F" w:rsidRPr="00DC52EE">
        <w:rPr>
          <w:rFonts w:eastAsia="Times New Roman"/>
          <w:sz w:val="20"/>
          <w:szCs w:val="20"/>
        </w:rPr>
        <w:t>Wesongah</w:t>
      </w:r>
      <w:r w:rsidR="00491C3F" w:rsidRPr="00DC52EE">
        <w:rPr>
          <w:rFonts w:eastAsia="Times New Roman"/>
          <w:i/>
          <w:iCs/>
          <w:sz w:val="20"/>
          <w:szCs w:val="20"/>
        </w:rPr>
        <w:t xml:space="preserve"> et al.</w:t>
      </w:r>
      <w:r w:rsidR="008B6ED2" w:rsidRPr="00DC52EE">
        <w:rPr>
          <w:rFonts w:eastAsia="Times New Roman"/>
          <w:i/>
          <w:iCs/>
          <w:sz w:val="20"/>
          <w:szCs w:val="20"/>
        </w:rPr>
        <w:t>,</w:t>
      </w:r>
      <w:r w:rsidR="008B6ED2" w:rsidRPr="00DC52EE">
        <w:rPr>
          <w:rFonts w:eastAsia="Times New Roman"/>
          <w:sz w:val="20"/>
          <w:szCs w:val="20"/>
        </w:rPr>
        <w:t xml:space="preserve"> 2003</w:t>
      </w:r>
      <w:r w:rsidR="00491C3F" w:rsidRPr="00DC52EE">
        <w:rPr>
          <w:rFonts w:eastAsia="Times New Roman"/>
          <w:sz w:val="20"/>
          <w:szCs w:val="20"/>
        </w:rPr>
        <w:t>).</w:t>
      </w:r>
    </w:p>
    <w:p w:rsidR="00BB7760" w:rsidRPr="00DC52EE" w:rsidRDefault="00903A07" w:rsidP="00BB7760">
      <w:pPr>
        <w:autoSpaceDE w:val="0"/>
        <w:autoSpaceDN w:val="0"/>
        <w:adjustRightInd w:val="0"/>
        <w:snapToGrid w:val="0"/>
        <w:spacing w:after="0" w:line="240" w:lineRule="auto"/>
        <w:ind w:firstLine="425"/>
        <w:jc w:val="both"/>
        <w:rPr>
          <w:b/>
          <w:sz w:val="20"/>
          <w:szCs w:val="20"/>
        </w:rPr>
      </w:pPr>
      <w:r w:rsidRPr="00DC52EE">
        <w:rPr>
          <w:rFonts w:eastAsia="Calibri"/>
          <w:sz w:val="20"/>
          <w:szCs w:val="20"/>
        </w:rPr>
        <w:t>E</w:t>
      </w:r>
      <w:r w:rsidR="00B438D8" w:rsidRPr="00DC52EE">
        <w:rPr>
          <w:rFonts w:eastAsia="Calibri"/>
          <w:sz w:val="20"/>
          <w:szCs w:val="20"/>
        </w:rPr>
        <w:t xml:space="preserve">thiopia possesses the highest numbers </w:t>
      </w:r>
      <w:r w:rsidR="00B438D8" w:rsidRPr="00DC52EE">
        <w:rPr>
          <w:sz w:val="20"/>
          <w:szCs w:val="20"/>
        </w:rPr>
        <w:t>of livestock resources</w:t>
      </w:r>
      <w:r w:rsidR="00B438D8" w:rsidRPr="00DC52EE">
        <w:rPr>
          <w:rFonts w:eastAsia="Calibri"/>
          <w:sz w:val="20"/>
          <w:szCs w:val="20"/>
        </w:rPr>
        <w:t xml:space="preserve"> in Africa.</w:t>
      </w:r>
      <w:r w:rsidR="00CE594D" w:rsidRPr="00DC52EE">
        <w:rPr>
          <w:rFonts w:eastAsia="Calibri"/>
          <w:sz w:val="20"/>
          <w:szCs w:val="20"/>
        </w:rPr>
        <w:t xml:space="preserve"> </w:t>
      </w:r>
      <w:r w:rsidR="00A850D6" w:rsidRPr="00DC52EE">
        <w:rPr>
          <w:sz w:val="20"/>
          <w:szCs w:val="20"/>
        </w:rPr>
        <w:t>Despite the discrepancy in the numbers, it is widely expected that Ethiopia’s resource of cattle, sheep and goats ranks first an</w:t>
      </w:r>
      <w:r w:rsidR="0062441F" w:rsidRPr="00DC52EE">
        <w:rPr>
          <w:sz w:val="20"/>
          <w:szCs w:val="20"/>
        </w:rPr>
        <w:t xml:space="preserve">d second respectively in Africa. </w:t>
      </w:r>
      <w:r w:rsidR="007D5456" w:rsidRPr="00DC52EE">
        <w:rPr>
          <w:rFonts w:eastAsia="Calibri"/>
          <w:sz w:val="20"/>
          <w:szCs w:val="20"/>
        </w:rPr>
        <w:t>Sheep and goats are among the major economically important livestock which</w:t>
      </w:r>
      <w:r w:rsidR="00CE594D" w:rsidRPr="00DC52EE">
        <w:rPr>
          <w:rFonts w:eastAsia="Calibri"/>
          <w:sz w:val="20"/>
          <w:szCs w:val="20"/>
        </w:rPr>
        <w:t xml:space="preserve"> </w:t>
      </w:r>
      <w:r w:rsidR="007D5456" w:rsidRPr="00DC52EE">
        <w:rPr>
          <w:rFonts w:eastAsia="Calibri"/>
          <w:sz w:val="20"/>
          <w:szCs w:val="20"/>
        </w:rPr>
        <w:t>plays an important role in the livelihood of resource poor farmers and provide a vast range of product and services such as meat, milk, skin, manures</w:t>
      </w:r>
      <w:r w:rsidR="00CE594D" w:rsidRPr="00DC52EE">
        <w:rPr>
          <w:rFonts w:eastAsia="Calibri"/>
          <w:sz w:val="20"/>
          <w:szCs w:val="20"/>
        </w:rPr>
        <w:t xml:space="preserve"> </w:t>
      </w:r>
      <w:r w:rsidR="007D5456" w:rsidRPr="00DC52EE">
        <w:rPr>
          <w:sz w:val="20"/>
          <w:szCs w:val="20"/>
        </w:rPr>
        <w:t xml:space="preserve">(Alemayehu, </w:t>
      </w:r>
      <w:r w:rsidR="007D5456" w:rsidRPr="00DC52EE">
        <w:rPr>
          <w:i/>
          <w:iCs/>
          <w:sz w:val="20"/>
          <w:szCs w:val="20"/>
        </w:rPr>
        <w:t>et</w:t>
      </w:r>
      <w:r w:rsidR="007D5456" w:rsidRPr="00DC52EE">
        <w:rPr>
          <w:iCs/>
          <w:sz w:val="20"/>
          <w:szCs w:val="20"/>
        </w:rPr>
        <w:t xml:space="preserve"> a</w:t>
      </w:r>
      <w:r w:rsidR="007D5456" w:rsidRPr="00DC52EE">
        <w:rPr>
          <w:i/>
          <w:iCs/>
          <w:sz w:val="20"/>
          <w:szCs w:val="20"/>
        </w:rPr>
        <w:t>l.,</w:t>
      </w:r>
      <w:r w:rsidR="007D5456" w:rsidRPr="00DC52EE">
        <w:rPr>
          <w:sz w:val="20"/>
          <w:szCs w:val="20"/>
        </w:rPr>
        <w:t xml:space="preserve"> 1995).</w:t>
      </w:r>
    </w:p>
    <w:p w:rsidR="006B1F54" w:rsidRPr="00DC52EE" w:rsidRDefault="00903A07" w:rsidP="00BB7760">
      <w:pPr>
        <w:autoSpaceDE w:val="0"/>
        <w:autoSpaceDN w:val="0"/>
        <w:adjustRightInd w:val="0"/>
        <w:snapToGrid w:val="0"/>
        <w:spacing w:after="0" w:line="240" w:lineRule="auto"/>
        <w:ind w:firstLine="425"/>
        <w:jc w:val="both"/>
        <w:rPr>
          <w:sz w:val="20"/>
          <w:szCs w:val="20"/>
        </w:rPr>
        <w:sectPr w:rsidR="006B1F54" w:rsidRPr="00DC52EE" w:rsidSect="00BB7760">
          <w:type w:val="continuous"/>
          <w:pgSz w:w="12240" w:h="15840"/>
          <w:pgMar w:top="1440" w:right="1440" w:bottom="1440" w:left="1440" w:header="720" w:footer="720" w:gutter="0"/>
          <w:cols w:num="2" w:space="600"/>
          <w:noEndnote/>
          <w:docGrid w:linePitch="326"/>
        </w:sectPr>
      </w:pPr>
      <w:r w:rsidRPr="00DC52EE">
        <w:rPr>
          <w:sz w:val="20"/>
          <w:szCs w:val="20"/>
        </w:rPr>
        <w:t>I</w:t>
      </w:r>
      <w:r w:rsidR="00251090" w:rsidRPr="00DC52EE">
        <w:rPr>
          <w:sz w:val="20"/>
          <w:szCs w:val="20"/>
        </w:rPr>
        <w:t xml:space="preserve">n the diverse agro-climatic zones of Ethiopia, small ruminants are important source of income for rural communities and are one of the nation’s major </w:t>
      </w:r>
    </w:p>
    <w:p w:rsidR="00BB7760" w:rsidRPr="00DC52EE" w:rsidRDefault="00251090" w:rsidP="006B1F54">
      <w:pPr>
        <w:autoSpaceDE w:val="0"/>
        <w:autoSpaceDN w:val="0"/>
        <w:adjustRightInd w:val="0"/>
        <w:snapToGrid w:val="0"/>
        <w:spacing w:after="0" w:line="240" w:lineRule="auto"/>
        <w:jc w:val="both"/>
        <w:rPr>
          <w:sz w:val="20"/>
          <w:szCs w:val="20"/>
        </w:rPr>
      </w:pPr>
      <w:r w:rsidRPr="00DC52EE">
        <w:rPr>
          <w:sz w:val="20"/>
          <w:szCs w:val="20"/>
        </w:rPr>
        <w:lastRenderedPageBreak/>
        <w:t>sources of foreign currency from exports. In the country there are about 45 millio</w:t>
      </w:r>
      <w:r w:rsidR="00987999" w:rsidRPr="00DC52EE">
        <w:rPr>
          <w:sz w:val="20"/>
          <w:szCs w:val="20"/>
        </w:rPr>
        <w:t>ns of sheep and goats (CSA, 2008</w:t>
      </w:r>
      <w:r w:rsidRPr="00DC52EE">
        <w:rPr>
          <w:sz w:val="20"/>
          <w:szCs w:val="20"/>
        </w:rPr>
        <w:t xml:space="preserve">) providing more than 30% of domestic meat consumption and make an important contribution to the national economy (Alemayehu, </w:t>
      </w:r>
      <w:r w:rsidRPr="00DC52EE">
        <w:rPr>
          <w:i/>
          <w:iCs/>
          <w:sz w:val="20"/>
          <w:szCs w:val="20"/>
        </w:rPr>
        <w:t>et al.,</w:t>
      </w:r>
      <w:r w:rsidRPr="00DC52EE">
        <w:rPr>
          <w:sz w:val="20"/>
          <w:szCs w:val="20"/>
        </w:rPr>
        <w:t xml:space="preserve"> 1995). They also play a major role in the food security and social well-being of rural populations living under conditions of extreme poverty which is particularly the case for eastern parts of Ethiopia (Duguma</w:t>
      </w:r>
      <w:r w:rsidR="00EC10A1" w:rsidRPr="00DC52EE">
        <w:rPr>
          <w:sz w:val="20"/>
          <w:szCs w:val="20"/>
        </w:rPr>
        <w:t xml:space="preserve"> </w:t>
      </w:r>
      <w:r w:rsidRPr="00DC52EE">
        <w:rPr>
          <w:i/>
          <w:sz w:val="20"/>
          <w:szCs w:val="20"/>
        </w:rPr>
        <w:t>et al.,</w:t>
      </w:r>
      <w:r w:rsidR="006417E1" w:rsidRPr="00DC52EE">
        <w:rPr>
          <w:i/>
          <w:sz w:val="20"/>
          <w:szCs w:val="20"/>
        </w:rPr>
        <w:t xml:space="preserve"> </w:t>
      </w:r>
      <w:r w:rsidRPr="00DC52EE">
        <w:rPr>
          <w:sz w:val="20"/>
          <w:szCs w:val="20"/>
        </w:rPr>
        <w:t xml:space="preserve">2010). </w:t>
      </w:r>
    </w:p>
    <w:p w:rsidR="00BB7760" w:rsidRPr="00DC52EE" w:rsidRDefault="00903A07" w:rsidP="00BB7760">
      <w:pPr>
        <w:autoSpaceDE w:val="0"/>
        <w:autoSpaceDN w:val="0"/>
        <w:adjustRightInd w:val="0"/>
        <w:snapToGrid w:val="0"/>
        <w:spacing w:after="0" w:line="240" w:lineRule="auto"/>
        <w:ind w:firstLine="425"/>
        <w:jc w:val="both"/>
        <w:rPr>
          <w:i/>
          <w:iCs/>
          <w:sz w:val="20"/>
          <w:szCs w:val="20"/>
        </w:rPr>
      </w:pPr>
      <w:r w:rsidRPr="00DC52EE">
        <w:rPr>
          <w:sz w:val="20"/>
          <w:szCs w:val="20"/>
        </w:rPr>
        <w:t>A</w:t>
      </w:r>
      <w:r w:rsidR="00251090" w:rsidRPr="00DC52EE">
        <w:rPr>
          <w:sz w:val="20"/>
          <w:szCs w:val="20"/>
        </w:rPr>
        <w:t>lthough small ruminants represent a great resource for the nation, the productivity per animal i</w:t>
      </w:r>
      <w:r w:rsidR="00D769C1" w:rsidRPr="00DC52EE">
        <w:rPr>
          <w:sz w:val="20"/>
          <w:szCs w:val="20"/>
        </w:rPr>
        <w:t xml:space="preserve">s </w:t>
      </w:r>
      <w:r w:rsidR="00251090" w:rsidRPr="00DC52EE">
        <w:rPr>
          <w:sz w:val="20"/>
          <w:szCs w:val="20"/>
        </w:rPr>
        <w:t xml:space="preserve">low. </w:t>
      </w:r>
      <w:r w:rsidR="00D769C1" w:rsidRPr="00DC52EE">
        <w:rPr>
          <w:sz w:val="20"/>
          <w:szCs w:val="20"/>
        </w:rPr>
        <w:t>However, the country is not using from her livestock as much expected due to many production constraints c</w:t>
      </w:r>
      <w:r w:rsidR="009231E1" w:rsidRPr="00DC52EE">
        <w:rPr>
          <w:sz w:val="20"/>
          <w:szCs w:val="20"/>
        </w:rPr>
        <w:t xml:space="preserve">irculating in animal population </w:t>
      </w:r>
      <w:r w:rsidR="00D769C1" w:rsidRPr="00DC52EE">
        <w:rPr>
          <w:sz w:val="20"/>
          <w:szCs w:val="20"/>
        </w:rPr>
        <w:t>(</w:t>
      </w:r>
      <w:r w:rsidR="009231E1" w:rsidRPr="00DC52EE">
        <w:rPr>
          <w:sz w:val="20"/>
          <w:szCs w:val="20"/>
        </w:rPr>
        <w:t>Zeleke, 2009;</w:t>
      </w:r>
      <w:r w:rsidR="006417E1" w:rsidRPr="00DC52EE">
        <w:rPr>
          <w:sz w:val="20"/>
          <w:szCs w:val="20"/>
        </w:rPr>
        <w:t xml:space="preserve"> </w:t>
      </w:r>
      <w:r w:rsidR="009231E1" w:rsidRPr="00DC52EE">
        <w:rPr>
          <w:sz w:val="20"/>
          <w:szCs w:val="20"/>
        </w:rPr>
        <w:t xml:space="preserve">Bonnet </w:t>
      </w:r>
      <w:r w:rsidR="009231E1" w:rsidRPr="00DC52EE">
        <w:rPr>
          <w:i/>
          <w:iCs/>
          <w:sz w:val="20"/>
          <w:szCs w:val="20"/>
        </w:rPr>
        <w:t>et al</w:t>
      </w:r>
      <w:r w:rsidR="009231E1" w:rsidRPr="00DC52EE">
        <w:rPr>
          <w:sz w:val="20"/>
          <w:szCs w:val="20"/>
        </w:rPr>
        <w:t>.</w:t>
      </w:r>
      <w:r w:rsidR="00E96781" w:rsidRPr="00DC52EE">
        <w:rPr>
          <w:sz w:val="20"/>
          <w:szCs w:val="20"/>
        </w:rPr>
        <w:t>, 2011</w:t>
      </w:r>
      <w:r w:rsidR="009231E1" w:rsidRPr="00DC52EE">
        <w:rPr>
          <w:sz w:val="20"/>
          <w:szCs w:val="20"/>
        </w:rPr>
        <w:t>).</w:t>
      </w:r>
      <w:r w:rsidR="00E96781" w:rsidRPr="00DC52EE">
        <w:rPr>
          <w:i/>
          <w:iCs/>
          <w:sz w:val="20"/>
          <w:szCs w:val="20"/>
        </w:rPr>
        <w:t xml:space="preserve"> </w:t>
      </w:r>
      <w:r w:rsidR="002D1806" w:rsidRPr="00DC52EE">
        <w:rPr>
          <w:sz w:val="20"/>
          <w:szCs w:val="20"/>
        </w:rPr>
        <w:t>Prevalent</w:t>
      </w:r>
      <w:r w:rsidR="00DF043D" w:rsidRPr="00DC52EE">
        <w:rPr>
          <w:sz w:val="20"/>
          <w:szCs w:val="20"/>
        </w:rPr>
        <w:t xml:space="preserve"> </w:t>
      </w:r>
      <w:r w:rsidR="002D1806" w:rsidRPr="00DC52EE">
        <w:rPr>
          <w:sz w:val="20"/>
          <w:szCs w:val="20"/>
        </w:rPr>
        <w:t>s</w:t>
      </w:r>
      <w:r w:rsidR="00251090" w:rsidRPr="00DC52EE">
        <w:rPr>
          <w:sz w:val="20"/>
          <w:szCs w:val="20"/>
        </w:rPr>
        <w:t>mall ruminant diseases, poor management</w:t>
      </w:r>
      <w:r w:rsidR="002D1806" w:rsidRPr="00DC52EE">
        <w:rPr>
          <w:sz w:val="20"/>
          <w:szCs w:val="20"/>
        </w:rPr>
        <w:t>,</w:t>
      </w:r>
      <w:r w:rsidR="00AB7A8B" w:rsidRPr="00DC52EE">
        <w:rPr>
          <w:sz w:val="20"/>
          <w:szCs w:val="20"/>
        </w:rPr>
        <w:t xml:space="preserve"> </w:t>
      </w:r>
      <w:r w:rsidR="002D1806" w:rsidRPr="00DC52EE">
        <w:rPr>
          <w:sz w:val="20"/>
          <w:szCs w:val="20"/>
        </w:rPr>
        <w:t xml:space="preserve">mal nutrition particularly pronounced during the long dry season </w:t>
      </w:r>
      <w:r w:rsidR="00251090" w:rsidRPr="00DC52EE">
        <w:rPr>
          <w:sz w:val="20"/>
          <w:szCs w:val="20"/>
        </w:rPr>
        <w:t xml:space="preserve">and </w:t>
      </w:r>
      <w:r w:rsidR="002D1806" w:rsidRPr="00DC52EE">
        <w:rPr>
          <w:sz w:val="20"/>
          <w:szCs w:val="20"/>
        </w:rPr>
        <w:t>traditional management systems practiced in these environments mainly affect product</w:t>
      </w:r>
      <w:r w:rsidR="00CD3FCF" w:rsidRPr="00DC52EE">
        <w:rPr>
          <w:sz w:val="20"/>
          <w:szCs w:val="20"/>
        </w:rPr>
        <w:t>ivity of small ruminant (</w:t>
      </w:r>
      <w:r w:rsidR="0089024E" w:rsidRPr="00DC52EE">
        <w:rPr>
          <w:sz w:val="20"/>
          <w:szCs w:val="20"/>
        </w:rPr>
        <w:t>Admosum</w:t>
      </w:r>
      <w:r w:rsidR="002D1806" w:rsidRPr="00DC52EE">
        <w:rPr>
          <w:sz w:val="20"/>
          <w:szCs w:val="20"/>
        </w:rPr>
        <w:t>, 1992</w:t>
      </w:r>
      <w:r w:rsidR="00CD3FCF" w:rsidRPr="00DC52EE">
        <w:rPr>
          <w:sz w:val="20"/>
          <w:szCs w:val="20"/>
        </w:rPr>
        <w:t xml:space="preserve">; WHO, </w:t>
      </w:r>
      <w:r w:rsidR="00E96781" w:rsidRPr="00DC52EE">
        <w:rPr>
          <w:sz w:val="20"/>
          <w:szCs w:val="20"/>
        </w:rPr>
        <w:t>1995)</w:t>
      </w:r>
      <w:r w:rsidR="002D1806" w:rsidRPr="00DC52EE">
        <w:rPr>
          <w:sz w:val="20"/>
          <w:szCs w:val="20"/>
        </w:rPr>
        <w:t>.</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H</w:t>
      </w:r>
      <w:r w:rsidR="00D16424" w:rsidRPr="00DC52EE">
        <w:rPr>
          <w:sz w:val="20"/>
          <w:szCs w:val="20"/>
        </w:rPr>
        <w:t>elminthiasis adversely affects ruminants, causing hematological and biochemical disturbances, anorexia, weight loss, poor reproductive performance, and even death of lambs. The animals become susceptible to other health problems due to parasitic infestation which can lead to death (Raza</w:t>
      </w:r>
      <w:r w:rsidR="00087068" w:rsidRPr="00DC52EE">
        <w:rPr>
          <w:sz w:val="20"/>
          <w:szCs w:val="20"/>
        </w:rPr>
        <w:t xml:space="preserve"> </w:t>
      </w:r>
      <w:r w:rsidR="00D16424" w:rsidRPr="00DC52EE">
        <w:rPr>
          <w:i/>
          <w:iCs/>
          <w:sz w:val="20"/>
          <w:szCs w:val="20"/>
        </w:rPr>
        <w:t>et al.</w:t>
      </w:r>
      <w:r w:rsidR="00D16424" w:rsidRPr="00DC52EE">
        <w:rPr>
          <w:sz w:val="20"/>
          <w:szCs w:val="20"/>
        </w:rPr>
        <w:t>, 2010). It</w:t>
      </w:r>
      <w:r w:rsidR="0058241C" w:rsidRPr="00DC52EE">
        <w:rPr>
          <w:sz w:val="20"/>
          <w:szCs w:val="20"/>
        </w:rPr>
        <w:t xml:space="preserve"> is one of the major threats for livestock, especially causing obstacles to the development of a profitable sheep</w:t>
      </w:r>
      <w:r w:rsidR="004A0DB3" w:rsidRPr="00DC52EE">
        <w:rPr>
          <w:sz w:val="20"/>
          <w:szCs w:val="20"/>
        </w:rPr>
        <w:t xml:space="preserve"> and goat</w:t>
      </w:r>
      <w:r w:rsidR="00521D3A" w:rsidRPr="00DC52EE">
        <w:rPr>
          <w:sz w:val="20"/>
          <w:szCs w:val="20"/>
        </w:rPr>
        <w:t xml:space="preserve"> industry</w:t>
      </w:r>
      <w:r w:rsidR="00914A5A" w:rsidRPr="00DC52EE">
        <w:rPr>
          <w:sz w:val="20"/>
          <w:szCs w:val="20"/>
        </w:rPr>
        <w:t>.</w:t>
      </w:r>
      <w:r w:rsidR="00AB7A8B" w:rsidRPr="00DC52EE">
        <w:rPr>
          <w:sz w:val="20"/>
          <w:szCs w:val="20"/>
        </w:rPr>
        <w:t xml:space="preserve"> </w:t>
      </w:r>
      <w:r w:rsidR="00103826" w:rsidRPr="00DC52EE">
        <w:rPr>
          <w:sz w:val="20"/>
          <w:szCs w:val="20"/>
        </w:rPr>
        <w:t>The prevalence of helminthes of sheep and goat results in low productivity due to stunted growth, poor weight gain and poor feed utilization</w:t>
      </w:r>
      <w:r w:rsidR="00087068" w:rsidRPr="00DC52EE">
        <w:rPr>
          <w:sz w:val="20"/>
          <w:szCs w:val="20"/>
        </w:rPr>
        <w:t xml:space="preserve"> </w:t>
      </w:r>
      <w:r w:rsidR="00914A5A" w:rsidRPr="00DC52EE">
        <w:rPr>
          <w:sz w:val="20"/>
          <w:szCs w:val="20"/>
        </w:rPr>
        <w:t>(Asif</w:t>
      </w:r>
      <w:r w:rsidR="00EC10A1" w:rsidRPr="00DC52EE">
        <w:rPr>
          <w:sz w:val="20"/>
          <w:szCs w:val="20"/>
        </w:rPr>
        <w:t xml:space="preserve"> </w:t>
      </w:r>
      <w:r w:rsidR="00914A5A" w:rsidRPr="00DC52EE">
        <w:rPr>
          <w:i/>
          <w:iCs/>
          <w:sz w:val="20"/>
          <w:szCs w:val="20"/>
        </w:rPr>
        <w:t xml:space="preserve">et al., </w:t>
      </w:r>
      <w:r w:rsidR="00914A5A" w:rsidRPr="00DC52EE">
        <w:rPr>
          <w:sz w:val="20"/>
          <w:szCs w:val="20"/>
        </w:rPr>
        <w:t>2008)</w:t>
      </w:r>
      <w:r w:rsidR="00103826" w:rsidRPr="00DC52EE">
        <w:rPr>
          <w:sz w:val="20"/>
          <w:szCs w:val="20"/>
        </w:rPr>
        <w:t>.</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G</w:t>
      </w:r>
      <w:r w:rsidR="00521D3A" w:rsidRPr="00DC52EE">
        <w:rPr>
          <w:sz w:val="20"/>
          <w:szCs w:val="20"/>
        </w:rPr>
        <w:t>astrointestinal parasites are recognized as a major constraint to livestock production throughout the tropics and elsewhere. They cause lowered productivity, mortality (Sykes, 1994), and high economic losses affecting the income of small holder farming communities</w:t>
      </w:r>
      <w:r w:rsidR="007C0EED" w:rsidRPr="00DC52EE">
        <w:rPr>
          <w:sz w:val="20"/>
          <w:szCs w:val="20"/>
        </w:rPr>
        <w:t xml:space="preserve"> </w:t>
      </w:r>
      <w:r w:rsidR="00521D3A" w:rsidRPr="00DC52EE">
        <w:rPr>
          <w:sz w:val="20"/>
          <w:szCs w:val="20"/>
        </w:rPr>
        <w:t>(Pedreira</w:t>
      </w:r>
      <w:r w:rsidR="00EC10A1" w:rsidRPr="00DC52EE">
        <w:rPr>
          <w:sz w:val="20"/>
          <w:szCs w:val="20"/>
        </w:rPr>
        <w:t xml:space="preserve"> </w:t>
      </w:r>
      <w:r w:rsidR="00521D3A" w:rsidRPr="00DC52EE">
        <w:rPr>
          <w:i/>
          <w:iCs/>
          <w:sz w:val="20"/>
          <w:szCs w:val="20"/>
        </w:rPr>
        <w:t>et al</w:t>
      </w:r>
      <w:r w:rsidR="00521D3A" w:rsidRPr="00DC52EE">
        <w:rPr>
          <w:sz w:val="20"/>
          <w:szCs w:val="20"/>
        </w:rPr>
        <w:t xml:space="preserve">., 2006). </w:t>
      </w:r>
      <w:r w:rsidR="0058241C" w:rsidRPr="00DC52EE">
        <w:rPr>
          <w:sz w:val="20"/>
          <w:szCs w:val="20"/>
        </w:rPr>
        <w:t xml:space="preserve">These loses was estimated at 48.4 million Ethiopian Birr per year of which 46.5, 48.8 and 4.7% was </w:t>
      </w:r>
      <w:r w:rsidR="00103826" w:rsidRPr="00DC52EE">
        <w:rPr>
          <w:sz w:val="20"/>
          <w:szCs w:val="20"/>
        </w:rPr>
        <w:t xml:space="preserve">due to mortality, lowered </w:t>
      </w:r>
      <w:r w:rsidR="0058241C" w:rsidRPr="00DC52EE">
        <w:rPr>
          <w:sz w:val="20"/>
          <w:szCs w:val="20"/>
        </w:rPr>
        <w:t xml:space="preserve">productivity (weight loss and reproductive problems) and </w:t>
      </w:r>
      <w:r w:rsidR="00103826" w:rsidRPr="00DC52EE">
        <w:rPr>
          <w:sz w:val="20"/>
          <w:szCs w:val="20"/>
        </w:rPr>
        <w:t xml:space="preserve">organ condemnation due to ovine fasciolosis in the Ethiopian highlands, </w:t>
      </w:r>
      <w:r w:rsidR="0058241C" w:rsidRPr="00DC52EE">
        <w:rPr>
          <w:sz w:val="20"/>
          <w:szCs w:val="20"/>
        </w:rPr>
        <w:t>respectively</w:t>
      </w:r>
      <w:r w:rsidR="00103826" w:rsidRPr="00DC52EE">
        <w:rPr>
          <w:sz w:val="20"/>
          <w:szCs w:val="20"/>
        </w:rPr>
        <w:t xml:space="preserve"> (Ngategize</w:t>
      </w:r>
      <w:r w:rsidR="00EC10A1" w:rsidRPr="00DC52EE">
        <w:rPr>
          <w:sz w:val="20"/>
          <w:szCs w:val="20"/>
        </w:rPr>
        <w:t xml:space="preserve"> </w:t>
      </w:r>
      <w:r w:rsidR="00103826" w:rsidRPr="00DC52EE">
        <w:rPr>
          <w:i/>
          <w:iCs/>
          <w:sz w:val="20"/>
          <w:szCs w:val="20"/>
        </w:rPr>
        <w:t xml:space="preserve">et al., </w:t>
      </w:r>
      <w:r w:rsidR="00103826" w:rsidRPr="00DC52EE">
        <w:rPr>
          <w:sz w:val="20"/>
          <w:szCs w:val="20"/>
        </w:rPr>
        <w:t>1993)</w:t>
      </w:r>
      <w:r w:rsidR="0058241C" w:rsidRPr="00DC52EE">
        <w:rPr>
          <w:sz w:val="20"/>
          <w:szCs w:val="20"/>
        </w:rPr>
        <w:t>.</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E</w:t>
      </w:r>
      <w:r w:rsidR="0087189A" w:rsidRPr="00DC52EE">
        <w:rPr>
          <w:sz w:val="20"/>
          <w:szCs w:val="20"/>
        </w:rPr>
        <w:t xml:space="preserve">ven though, Ethiopia endowed </w:t>
      </w:r>
      <w:r w:rsidR="007C31F7" w:rsidRPr="00DC52EE">
        <w:rPr>
          <w:sz w:val="20"/>
          <w:szCs w:val="20"/>
        </w:rPr>
        <w:t>with large number of sheep</w:t>
      </w:r>
      <w:r w:rsidR="0004061D" w:rsidRPr="00DC52EE">
        <w:rPr>
          <w:sz w:val="20"/>
          <w:szCs w:val="20"/>
        </w:rPr>
        <w:t xml:space="preserve"> and</w:t>
      </w:r>
      <w:r w:rsidR="0087189A" w:rsidRPr="00DC52EE">
        <w:rPr>
          <w:sz w:val="20"/>
          <w:szCs w:val="20"/>
        </w:rPr>
        <w:t xml:space="preserve"> population, little attempts has been made in the past to study the health aspect</w:t>
      </w:r>
      <w:r w:rsidR="0004061D" w:rsidRPr="00DC52EE">
        <w:rPr>
          <w:sz w:val="20"/>
          <w:szCs w:val="20"/>
        </w:rPr>
        <w:t xml:space="preserve"> of these animals. Lack of well-established</w:t>
      </w:r>
      <w:r w:rsidR="0087189A" w:rsidRPr="00DC52EE">
        <w:rPr>
          <w:sz w:val="20"/>
          <w:szCs w:val="20"/>
        </w:rPr>
        <w:t xml:space="preserve"> data on the magnitude, distribution and predis</w:t>
      </w:r>
      <w:r w:rsidR="00BB7C74" w:rsidRPr="00DC52EE">
        <w:rPr>
          <w:sz w:val="20"/>
          <w:szCs w:val="20"/>
        </w:rPr>
        <w:t>posing factors of sheep</w:t>
      </w:r>
      <w:r w:rsidR="003D2245" w:rsidRPr="00DC52EE">
        <w:rPr>
          <w:sz w:val="20"/>
          <w:szCs w:val="20"/>
        </w:rPr>
        <w:t xml:space="preserve"> and goat GIT parasites</w:t>
      </w:r>
      <w:r w:rsidR="0087189A" w:rsidRPr="00DC52EE">
        <w:rPr>
          <w:sz w:val="20"/>
          <w:szCs w:val="20"/>
        </w:rPr>
        <w:t xml:space="preserve"> in the study ar</w:t>
      </w:r>
      <w:r w:rsidR="00BB7C74" w:rsidRPr="00DC52EE">
        <w:rPr>
          <w:sz w:val="20"/>
          <w:szCs w:val="20"/>
        </w:rPr>
        <w:t xml:space="preserve">ea initiated this </w:t>
      </w:r>
      <w:r w:rsidR="00AE7332" w:rsidRPr="00DC52EE">
        <w:rPr>
          <w:sz w:val="20"/>
          <w:szCs w:val="20"/>
        </w:rPr>
        <w:t>study. Therefore</w:t>
      </w:r>
      <w:r w:rsidR="00936FFE" w:rsidRPr="00DC52EE">
        <w:rPr>
          <w:sz w:val="20"/>
          <w:szCs w:val="20"/>
        </w:rPr>
        <w:t xml:space="preserve">, the main </w:t>
      </w:r>
      <w:r w:rsidR="001F514C" w:rsidRPr="00DC52EE">
        <w:rPr>
          <w:sz w:val="20"/>
          <w:szCs w:val="20"/>
        </w:rPr>
        <w:t xml:space="preserve">objectives of </w:t>
      </w:r>
      <w:r w:rsidR="00A931BC" w:rsidRPr="00DC52EE">
        <w:rPr>
          <w:sz w:val="20"/>
          <w:szCs w:val="20"/>
        </w:rPr>
        <w:t>the</w:t>
      </w:r>
      <w:r w:rsidR="001F514C" w:rsidRPr="00DC52EE">
        <w:rPr>
          <w:sz w:val="20"/>
          <w:szCs w:val="20"/>
        </w:rPr>
        <w:t xml:space="preserve"> </w:t>
      </w:r>
      <w:r w:rsidR="00A931BC" w:rsidRPr="00DC52EE">
        <w:rPr>
          <w:sz w:val="20"/>
          <w:szCs w:val="20"/>
        </w:rPr>
        <w:t>present study was designed to i</w:t>
      </w:r>
      <w:r w:rsidR="00936FFE" w:rsidRPr="00DC52EE">
        <w:rPr>
          <w:sz w:val="20"/>
          <w:szCs w:val="20"/>
        </w:rPr>
        <w:t>dentify the</w:t>
      </w:r>
      <w:r w:rsidR="00851018" w:rsidRPr="00DC52EE">
        <w:rPr>
          <w:sz w:val="20"/>
          <w:szCs w:val="20"/>
        </w:rPr>
        <w:t xml:space="preserve"> prevalence of</w:t>
      </w:r>
      <w:r w:rsidRPr="00DC52EE">
        <w:rPr>
          <w:sz w:val="20"/>
          <w:szCs w:val="20"/>
        </w:rPr>
        <w:t xml:space="preserve"> </w:t>
      </w:r>
      <w:r w:rsidR="00936FFE" w:rsidRPr="00DC52EE">
        <w:rPr>
          <w:sz w:val="20"/>
          <w:szCs w:val="20"/>
        </w:rPr>
        <w:t xml:space="preserve">major </w:t>
      </w:r>
      <w:r w:rsidR="00A931BC" w:rsidRPr="00DC52EE">
        <w:rPr>
          <w:sz w:val="20"/>
          <w:szCs w:val="20"/>
        </w:rPr>
        <w:t>gastrointestinal parasites</w:t>
      </w:r>
      <w:r w:rsidR="001F514C" w:rsidRPr="00DC52EE">
        <w:rPr>
          <w:sz w:val="20"/>
          <w:szCs w:val="20"/>
        </w:rPr>
        <w:t xml:space="preserve"> </w:t>
      </w:r>
      <w:r w:rsidR="00851018" w:rsidRPr="00DC52EE">
        <w:rPr>
          <w:sz w:val="20"/>
          <w:szCs w:val="20"/>
        </w:rPr>
        <w:t xml:space="preserve">of small ruminant in the study area; to identify the major risk </w:t>
      </w:r>
      <w:r w:rsidR="00851018" w:rsidRPr="00DC52EE">
        <w:rPr>
          <w:sz w:val="20"/>
          <w:szCs w:val="20"/>
        </w:rPr>
        <w:lastRenderedPageBreak/>
        <w:t>factors associated and to forward possible control measures</w:t>
      </w:r>
      <w:r w:rsidR="00821515" w:rsidRPr="00DC52EE">
        <w:rPr>
          <w:sz w:val="20"/>
          <w:szCs w:val="20"/>
        </w:rPr>
        <w:t>.</w:t>
      </w:r>
    </w:p>
    <w:p w:rsidR="00615D73" w:rsidRPr="00DC52EE" w:rsidRDefault="00615D73" w:rsidP="00BB7760">
      <w:pPr>
        <w:pStyle w:val="Heading1"/>
        <w:snapToGrid w:val="0"/>
        <w:spacing w:before="0" w:beforeAutospacing="0" w:after="0" w:afterAutospacing="0"/>
        <w:jc w:val="both"/>
        <w:rPr>
          <w:kern w:val="0"/>
          <w:sz w:val="20"/>
          <w:szCs w:val="20"/>
        </w:rPr>
      </w:pPr>
    </w:p>
    <w:p w:rsidR="00BB7760" w:rsidRPr="00DC52EE" w:rsidRDefault="00AC6C9E" w:rsidP="00BB7760">
      <w:pPr>
        <w:pStyle w:val="Heading1"/>
        <w:snapToGrid w:val="0"/>
        <w:spacing w:before="0" w:beforeAutospacing="0" w:after="0" w:afterAutospacing="0"/>
        <w:jc w:val="both"/>
        <w:rPr>
          <w:kern w:val="0"/>
          <w:sz w:val="20"/>
          <w:szCs w:val="20"/>
        </w:rPr>
      </w:pPr>
      <w:r w:rsidRPr="00DC52EE">
        <w:rPr>
          <w:kern w:val="0"/>
          <w:sz w:val="20"/>
          <w:szCs w:val="20"/>
        </w:rPr>
        <w:t>2</w:t>
      </w:r>
      <w:r w:rsidR="001179F8" w:rsidRPr="00DC52EE">
        <w:rPr>
          <w:kern w:val="0"/>
          <w:sz w:val="20"/>
          <w:szCs w:val="20"/>
        </w:rPr>
        <w:t>.</w:t>
      </w:r>
      <w:r w:rsidR="00676E2F" w:rsidRPr="00DC52EE">
        <w:rPr>
          <w:kern w:val="0"/>
          <w:sz w:val="20"/>
          <w:szCs w:val="20"/>
        </w:rPr>
        <w:t xml:space="preserve"> </w:t>
      </w:r>
      <w:r w:rsidR="00651FDF" w:rsidRPr="00DC52EE">
        <w:rPr>
          <w:kern w:val="0"/>
          <w:sz w:val="20"/>
          <w:szCs w:val="20"/>
        </w:rPr>
        <w:t>M</w:t>
      </w:r>
      <w:r w:rsidRPr="00DC52EE">
        <w:rPr>
          <w:kern w:val="0"/>
          <w:sz w:val="20"/>
          <w:szCs w:val="20"/>
        </w:rPr>
        <w:t>aterials and</w:t>
      </w:r>
      <w:r w:rsidR="00651FDF" w:rsidRPr="00DC52EE">
        <w:rPr>
          <w:kern w:val="0"/>
          <w:sz w:val="20"/>
          <w:szCs w:val="20"/>
        </w:rPr>
        <w:t xml:space="preserve"> M</w:t>
      </w:r>
      <w:r w:rsidRPr="00DC52EE">
        <w:rPr>
          <w:kern w:val="0"/>
          <w:sz w:val="20"/>
          <w:szCs w:val="20"/>
        </w:rPr>
        <w:t>ethods</w:t>
      </w:r>
    </w:p>
    <w:p w:rsidR="00BB7760" w:rsidRPr="00DC52EE" w:rsidRDefault="00AC6C9E" w:rsidP="00BB7760">
      <w:pPr>
        <w:pStyle w:val="Heading2"/>
        <w:keepNext w:val="0"/>
        <w:keepLines w:val="0"/>
        <w:snapToGrid w:val="0"/>
        <w:spacing w:before="0" w:line="240" w:lineRule="auto"/>
        <w:ind w:firstLine="425"/>
        <w:jc w:val="both"/>
        <w:rPr>
          <w:rFonts w:ascii="Times New Roman" w:hAnsi="Times New Roman" w:cs="Times New Roman"/>
          <w:b w:val="0"/>
          <w:color w:val="auto"/>
          <w:sz w:val="20"/>
          <w:szCs w:val="20"/>
        </w:rPr>
      </w:pPr>
      <w:r w:rsidRPr="00DC52EE">
        <w:rPr>
          <w:rFonts w:ascii="Times New Roman" w:hAnsi="Times New Roman" w:cs="Times New Roman"/>
          <w:color w:val="auto"/>
          <w:sz w:val="20"/>
          <w:szCs w:val="20"/>
        </w:rPr>
        <w:t>2</w:t>
      </w:r>
      <w:r w:rsidR="00530EE6" w:rsidRPr="00DC52EE">
        <w:rPr>
          <w:rFonts w:ascii="Times New Roman" w:hAnsi="Times New Roman" w:cs="Times New Roman"/>
          <w:color w:val="auto"/>
          <w:sz w:val="20"/>
          <w:szCs w:val="20"/>
        </w:rPr>
        <w:t>.1</w:t>
      </w:r>
      <w:r w:rsidR="00530EE6" w:rsidRPr="00DC52EE">
        <w:rPr>
          <w:rFonts w:ascii="Times New Roman" w:hAnsi="Times New Roman" w:cs="Times New Roman"/>
          <w:b w:val="0"/>
          <w:color w:val="auto"/>
          <w:sz w:val="20"/>
          <w:szCs w:val="20"/>
        </w:rPr>
        <w:t xml:space="preserve">. </w:t>
      </w:r>
      <w:r w:rsidR="00CC6261" w:rsidRPr="00DC52EE">
        <w:rPr>
          <w:rFonts w:ascii="Times New Roman" w:hAnsi="Times New Roman" w:cs="Times New Roman"/>
          <w:color w:val="auto"/>
          <w:sz w:val="20"/>
          <w:szCs w:val="20"/>
        </w:rPr>
        <w:t xml:space="preserve">Study </w:t>
      </w:r>
      <w:r w:rsidR="00530EE6" w:rsidRPr="00DC52EE">
        <w:rPr>
          <w:rFonts w:ascii="Times New Roman" w:hAnsi="Times New Roman" w:cs="Times New Roman"/>
          <w:color w:val="auto"/>
          <w:sz w:val="20"/>
          <w:szCs w:val="20"/>
        </w:rPr>
        <w:t>Area</w:t>
      </w:r>
    </w:p>
    <w:p w:rsidR="00BB7760" w:rsidRPr="00DC52EE" w:rsidRDefault="00903A07" w:rsidP="00BB7760">
      <w:pPr>
        <w:pStyle w:val="Heading2"/>
        <w:keepNext w:val="0"/>
        <w:keepLines w:val="0"/>
        <w:snapToGrid w:val="0"/>
        <w:spacing w:before="0" w:line="240" w:lineRule="auto"/>
        <w:ind w:firstLine="425"/>
        <w:jc w:val="both"/>
        <w:rPr>
          <w:rFonts w:ascii="Times New Roman" w:hAnsi="Times New Roman" w:cs="Times New Roman"/>
          <w:color w:val="auto"/>
          <w:sz w:val="20"/>
          <w:szCs w:val="20"/>
        </w:rPr>
      </w:pPr>
      <w:r w:rsidRPr="00DC52EE">
        <w:rPr>
          <w:rFonts w:ascii="Times New Roman" w:eastAsia="Times New Roman" w:hAnsi="Times New Roman" w:cs="Times New Roman"/>
          <w:b w:val="0"/>
          <w:color w:val="auto"/>
          <w:sz w:val="20"/>
          <w:szCs w:val="20"/>
        </w:rPr>
        <w:t>T</w:t>
      </w:r>
      <w:r w:rsidR="002A1DD9" w:rsidRPr="00DC52EE">
        <w:rPr>
          <w:rFonts w:ascii="Times New Roman" w:eastAsia="Times New Roman" w:hAnsi="Times New Roman" w:cs="Times New Roman"/>
          <w:b w:val="0"/>
          <w:color w:val="auto"/>
          <w:sz w:val="20"/>
          <w:szCs w:val="20"/>
        </w:rPr>
        <w:t>he study was conducted in</w:t>
      </w:r>
      <w:r w:rsidR="00FB1185" w:rsidRPr="00DC52EE">
        <w:rPr>
          <w:rFonts w:ascii="Times New Roman" w:eastAsia="Times New Roman" w:hAnsi="Times New Roman" w:cs="Times New Roman"/>
          <w:b w:val="0"/>
          <w:color w:val="auto"/>
          <w:sz w:val="20"/>
          <w:szCs w:val="20"/>
        </w:rPr>
        <w:t xml:space="preserve"> </w:t>
      </w:r>
      <w:r w:rsidR="0023580E" w:rsidRPr="00DC52EE">
        <w:rPr>
          <w:rFonts w:ascii="Times New Roman" w:hAnsi="Times New Roman" w:cs="Times New Roman"/>
          <w:b w:val="0"/>
          <w:color w:val="auto"/>
          <w:sz w:val="20"/>
          <w:szCs w:val="20"/>
        </w:rPr>
        <w:t>Nekemte</w:t>
      </w:r>
      <w:r w:rsidR="0061748E" w:rsidRPr="00DC52EE">
        <w:rPr>
          <w:rFonts w:ascii="Times New Roman" w:hAnsi="Times New Roman" w:cs="Times New Roman"/>
          <w:b w:val="0"/>
          <w:color w:val="auto"/>
          <w:sz w:val="20"/>
          <w:szCs w:val="20"/>
        </w:rPr>
        <w:t xml:space="preserve"> </w:t>
      </w:r>
      <w:r w:rsidR="0083645C" w:rsidRPr="00DC52EE">
        <w:rPr>
          <w:rFonts w:ascii="Times New Roman" w:eastAsia="Times New Roman" w:hAnsi="Times New Roman" w:cs="Times New Roman"/>
          <w:b w:val="0"/>
          <w:color w:val="auto"/>
          <w:sz w:val="20"/>
          <w:szCs w:val="20"/>
        </w:rPr>
        <w:t>t</w:t>
      </w:r>
      <w:r w:rsidR="00725F30" w:rsidRPr="00DC52EE">
        <w:rPr>
          <w:rFonts w:ascii="Times New Roman" w:eastAsia="Times New Roman" w:hAnsi="Times New Roman" w:cs="Times New Roman"/>
          <w:b w:val="0"/>
          <w:color w:val="auto"/>
          <w:sz w:val="20"/>
          <w:szCs w:val="20"/>
        </w:rPr>
        <w:t>own from November 2014</w:t>
      </w:r>
      <w:r w:rsidR="000839C8" w:rsidRPr="00DC52EE">
        <w:rPr>
          <w:rFonts w:ascii="Times New Roman" w:eastAsia="Times New Roman" w:hAnsi="Times New Roman" w:cs="Times New Roman"/>
          <w:b w:val="0"/>
          <w:color w:val="auto"/>
          <w:sz w:val="20"/>
          <w:szCs w:val="20"/>
        </w:rPr>
        <w:t xml:space="preserve"> to </w:t>
      </w:r>
      <w:r w:rsidR="00725F30" w:rsidRPr="00DC52EE">
        <w:rPr>
          <w:rFonts w:ascii="Times New Roman" w:eastAsia="Times New Roman" w:hAnsi="Times New Roman" w:cs="Times New Roman"/>
          <w:b w:val="0"/>
          <w:color w:val="auto"/>
          <w:sz w:val="20"/>
          <w:szCs w:val="20"/>
        </w:rPr>
        <w:t>March 2015. Nekemte town was located at 33</w:t>
      </w:r>
      <w:r w:rsidR="00C43B4E" w:rsidRPr="00DC52EE">
        <w:rPr>
          <w:rFonts w:ascii="Times New Roman" w:eastAsia="Times New Roman" w:hAnsi="Times New Roman" w:cs="Times New Roman"/>
          <w:b w:val="0"/>
          <w:color w:val="auto"/>
          <w:sz w:val="20"/>
          <w:szCs w:val="20"/>
        </w:rPr>
        <w:t>1 k</w:t>
      </w:r>
      <w:r w:rsidR="002A1DD9" w:rsidRPr="00DC52EE">
        <w:rPr>
          <w:rFonts w:ascii="Times New Roman" w:eastAsia="Times New Roman" w:hAnsi="Times New Roman" w:cs="Times New Roman"/>
          <w:b w:val="0"/>
          <w:color w:val="auto"/>
          <w:sz w:val="20"/>
          <w:szCs w:val="20"/>
        </w:rPr>
        <w:t>m</w:t>
      </w:r>
      <w:r w:rsidR="00A8374D" w:rsidRPr="00DC52EE">
        <w:rPr>
          <w:rFonts w:ascii="Times New Roman" w:eastAsia="Times New Roman" w:hAnsi="Times New Roman" w:cs="Times New Roman"/>
          <w:b w:val="0"/>
          <w:color w:val="auto"/>
          <w:sz w:val="20"/>
          <w:szCs w:val="20"/>
        </w:rPr>
        <w:t>s</w:t>
      </w:r>
      <w:r w:rsidR="00A422E3" w:rsidRPr="00DC52EE">
        <w:rPr>
          <w:rFonts w:ascii="Times New Roman" w:eastAsia="Times New Roman" w:hAnsi="Times New Roman" w:cs="Times New Roman"/>
          <w:b w:val="0"/>
          <w:color w:val="auto"/>
          <w:sz w:val="20"/>
          <w:szCs w:val="20"/>
        </w:rPr>
        <w:t xml:space="preserve"> </w:t>
      </w:r>
      <w:r w:rsidR="0083645C" w:rsidRPr="00DC52EE">
        <w:rPr>
          <w:rFonts w:ascii="Times New Roman" w:eastAsia="Times New Roman" w:hAnsi="Times New Roman" w:cs="Times New Roman"/>
          <w:b w:val="0"/>
          <w:color w:val="auto"/>
          <w:sz w:val="20"/>
          <w:szCs w:val="20"/>
        </w:rPr>
        <w:t xml:space="preserve">to the </w:t>
      </w:r>
      <w:r w:rsidR="002A1DD9" w:rsidRPr="00DC52EE">
        <w:rPr>
          <w:rFonts w:ascii="Times New Roman" w:eastAsia="Times New Roman" w:hAnsi="Times New Roman" w:cs="Times New Roman"/>
          <w:b w:val="0"/>
          <w:color w:val="auto"/>
          <w:sz w:val="20"/>
          <w:szCs w:val="20"/>
        </w:rPr>
        <w:t>west of Addis Ababa,</w:t>
      </w:r>
      <w:r w:rsidR="0023580E" w:rsidRPr="00DC52EE">
        <w:rPr>
          <w:rFonts w:ascii="Times New Roman" w:eastAsia="Times New Roman" w:hAnsi="Times New Roman" w:cs="Times New Roman"/>
          <w:b w:val="0"/>
          <w:color w:val="auto"/>
          <w:sz w:val="20"/>
          <w:szCs w:val="20"/>
        </w:rPr>
        <w:t xml:space="preserve"> in Oromia regional state,</w:t>
      </w:r>
      <w:r w:rsidR="00FB1185" w:rsidRPr="00DC52EE">
        <w:rPr>
          <w:rFonts w:ascii="Times New Roman" w:eastAsia="Times New Roman" w:hAnsi="Times New Roman" w:cs="Times New Roman"/>
          <w:b w:val="0"/>
          <w:color w:val="auto"/>
          <w:sz w:val="20"/>
          <w:szCs w:val="20"/>
        </w:rPr>
        <w:t xml:space="preserve"> </w:t>
      </w:r>
      <w:r w:rsidR="00725F30" w:rsidRPr="00DC52EE">
        <w:rPr>
          <w:rFonts w:ascii="Times New Roman" w:eastAsia="Times New Roman" w:hAnsi="Times New Roman" w:cs="Times New Roman"/>
          <w:b w:val="0"/>
          <w:color w:val="auto"/>
          <w:sz w:val="20"/>
          <w:szCs w:val="20"/>
        </w:rPr>
        <w:t>in East Wollega</w:t>
      </w:r>
      <w:r w:rsidR="00A422E3" w:rsidRPr="00DC52EE">
        <w:rPr>
          <w:rFonts w:ascii="Times New Roman" w:eastAsia="Times New Roman" w:hAnsi="Times New Roman" w:cs="Times New Roman"/>
          <w:b w:val="0"/>
          <w:color w:val="auto"/>
          <w:sz w:val="20"/>
          <w:szCs w:val="20"/>
        </w:rPr>
        <w:t xml:space="preserve"> </w:t>
      </w:r>
      <w:r w:rsidR="00E7229A" w:rsidRPr="00DC52EE">
        <w:rPr>
          <w:rFonts w:ascii="Times New Roman" w:eastAsia="Times New Roman" w:hAnsi="Times New Roman" w:cs="Times New Roman"/>
          <w:b w:val="0"/>
          <w:color w:val="auto"/>
          <w:sz w:val="20"/>
          <w:szCs w:val="20"/>
        </w:rPr>
        <w:t>Zone</w:t>
      </w:r>
      <w:r w:rsidR="0023580E" w:rsidRPr="00DC52EE">
        <w:rPr>
          <w:rFonts w:ascii="Times New Roman" w:eastAsia="Times New Roman" w:hAnsi="Times New Roman" w:cs="Times New Roman"/>
          <w:b w:val="0"/>
          <w:color w:val="auto"/>
          <w:sz w:val="20"/>
          <w:szCs w:val="20"/>
        </w:rPr>
        <w:t>, Ethiopia, and lies at latitude of 9</w:t>
      </w:r>
      <w:r w:rsidR="00866F5A" w:rsidRPr="00DC52EE">
        <w:rPr>
          <w:rFonts w:ascii="Times New Roman" w:eastAsia="Times New Roman" w:hAnsi="Times New Roman" w:cs="Times New Roman"/>
          <w:b w:val="0"/>
          <w:color w:val="auto"/>
          <w:sz w:val="20"/>
          <w:szCs w:val="20"/>
          <w:vertAlign w:val="superscript"/>
        </w:rPr>
        <w:t>0</w:t>
      </w:r>
      <w:r w:rsidR="0023580E" w:rsidRPr="00DC52EE">
        <w:rPr>
          <w:rFonts w:ascii="Times New Roman" w:eastAsia="Times New Roman" w:hAnsi="Times New Roman" w:cs="Times New Roman"/>
          <w:b w:val="0"/>
          <w:color w:val="auto"/>
          <w:sz w:val="20"/>
          <w:szCs w:val="20"/>
        </w:rPr>
        <w:t>5</w:t>
      </w:r>
      <w:r w:rsidR="00866F5A" w:rsidRPr="00DC52EE">
        <w:rPr>
          <w:rFonts w:ascii="Times New Roman" w:eastAsia="Times New Roman" w:hAnsi="Times New Roman" w:cs="Times New Roman"/>
          <w:b w:val="0"/>
          <w:color w:val="auto"/>
          <w:sz w:val="20"/>
          <w:szCs w:val="20"/>
          <w:vertAlign w:val="superscript"/>
        </w:rPr>
        <w:t>0</w:t>
      </w:r>
      <w:r w:rsidR="00866F5A" w:rsidRPr="00DC52EE">
        <w:rPr>
          <w:rFonts w:ascii="Times New Roman" w:eastAsia="Times New Roman" w:hAnsi="Times New Roman" w:cs="Times New Roman"/>
          <w:b w:val="0"/>
          <w:color w:val="auto"/>
          <w:sz w:val="20"/>
          <w:szCs w:val="20"/>
        </w:rPr>
        <w:t xml:space="preserve"> N and longitude of </w:t>
      </w:r>
      <w:r w:rsidR="005B1FEA" w:rsidRPr="00DC52EE">
        <w:rPr>
          <w:rFonts w:ascii="Times New Roman" w:eastAsia="Times New Roman" w:hAnsi="Times New Roman" w:cs="Times New Roman"/>
          <w:b w:val="0"/>
          <w:color w:val="auto"/>
          <w:sz w:val="20"/>
          <w:szCs w:val="20"/>
        </w:rPr>
        <w:t>36</w:t>
      </w:r>
      <w:r w:rsidR="005B1FEA" w:rsidRPr="00DC52EE">
        <w:rPr>
          <w:rFonts w:ascii="Times New Roman" w:eastAsia="Times New Roman" w:hAnsi="Times New Roman" w:cs="Times New Roman"/>
          <w:b w:val="0"/>
          <w:color w:val="auto"/>
          <w:sz w:val="20"/>
          <w:szCs w:val="20"/>
          <w:vertAlign w:val="superscript"/>
        </w:rPr>
        <w:t xml:space="preserve">0 </w:t>
      </w:r>
      <w:r w:rsidR="005B1FEA" w:rsidRPr="00DC52EE">
        <w:rPr>
          <w:rFonts w:ascii="Times New Roman" w:eastAsia="Times New Roman" w:hAnsi="Times New Roman" w:cs="Times New Roman"/>
          <w:b w:val="0"/>
          <w:color w:val="auto"/>
          <w:sz w:val="20"/>
          <w:szCs w:val="20"/>
        </w:rPr>
        <w:t>33</w:t>
      </w:r>
      <w:r w:rsidR="005B1FEA" w:rsidRPr="00DC52EE">
        <w:rPr>
          <w:rFonts w:ascii="Times New Roman" w:eastAsia="Times New Roman" w:hAnsi="Times New Roman" w:cs="Times New Roman"/>
          <w:b w:val="0"/>
          <w:color w:val="auto"/>
          <w:sz w:val="20"/>
          <w:szCs w:val="20"/>
          <w:vertAlign w:val="superscript"/>
        </w:rPr>
        <w:t xml:space="preserve">0 </w:t>
      </w:r>
      <w:r w:rsidR="005B1FEA" w:rsidRPr="00DC52EE">
        <w:rPr>
          <w:rFonts w:ascii="Times New Roman" w:eastAsia="Times New Roman" w:hAnsi="Times New Roman" w:cs="Times New Roman"/>
          <w:b w:val="0"/>
          <w:color w:val="auto"/>
          <w:sz w:val="20"/>
          <w:szCs w:val="20"/>
        </w:rPr>
        <w:t>E</w:t>
      </w:r>
      <w:r w:rsidR="0061748E" w:rsidRPr="00DC52EE">
        <w:rPr>
          <w:rFonts w:ascii="Times New Roman" w:eastAsia="Times New Roman" w:hAnsi="Times New Roman" w:cs="Times New Roman"/>
          <w:b w:val="0"/>
          <w:color w:val="auto"/>
          <w:sz w:val="20"/>
          <w:szCs w:val="20"/>
        </w:rPr>
        <w:t xml:space="preserve"> </w:t>
      </w:r>
      <w:r w:rsidR="005B1FEA" w:rsidRPr="00DC52EE">
        <w:rPr>
          <w:rFonts w:ascii="Times New Roman" w:eastAsia="Times New Roman" w:hAnsi="Times New Roman" w:cs="Times New Roman"/>
          <w:b w:val="0"/>
          <w:color w:val="auto"/>
          <w:sz w:val="20"/>
          <w:szCs w:val="20"/>
        </w:rPr>
        <w:t xml:space="preserve">with elevation of 1,960 to 2,170 </w:t>
      </w:r>
      <w:r w:rsidR="00F25FE5" w:rsidRPr="00DC52EE">
        <w:rPr>
          <w:rFonts w:ascii="Times New Roman" w:eastAsia="Times New Roman" w:hAnsi="Times New Roman" w:cs="Times New Roman"/>
          <w:b w:val="0"/>
          <w:color w:val="auto"/>
          <w:sz w:val="20"/>
          <w:szCs w:val="20"/>
        </w:rPr>
        <w:t>meters above sea level.</w:t>
      </w:r>
      <w:r w:rsidR="002A1DD9" w:rsidRPr="00DC52EE">
        <w:rPr>
          <w:rFonts w:ascii="Times New Roman" w:eastAsia="Times New Roman" w:hAnsi="Times New Roman" w:cs="Times New Roman"/>
          <w:b w:val="0"/>
          <w:color w:val="auto"/>
          <w:sz w:val="20"/>
          <w:szCs w:val="20"/>
        </w:rPr>
        <w:t xml:space="preserve"> The climatic condition of the area was ‘Woyna</w:t>
      </w:r>
      <w:r w:rsidR="00A422E3" w:rsidRPr="00DC52EE">
        <w:rPr>
          <w:rFonts w:ascii="Times New Roman" w:eastAsia="Times New Roman" w:hAnsi="Times New Roman" w:cs="Times New Roman"/>
          <w:b w:val="0"/>
          <w:color w:val="auto"/>
          <w:sz w:val="20"/>
          <w:szCs w:val="20"/>
        </w:rPr>
        <w:t xml:space="preserve"> </w:t>
      </w:r>
      <w:r w:rsidR="002A1DD9" w:rsidRPr="00DC52EE">
        <w:rPr>
          <w:rFonts w:ascii="Times New Roman" w:eastAsia="Times New Roman" w:hAnsi="Times New Roman" w:cs="Times New Roman"/>
          <w:b w:val="0"/>
          <w:color w:val="auto"/>
          <w:sz w:val="20"/>
          <w:szCs w:val="20"/>
        </w:rPr>
        <w:t>Dega’</w:t>
      </w:r>
      <w:r w:rsidR="00F25FE5" w:rsidRPr="00DC52EE">
        <w:rPr>
          <w:rFonts w:ascii="Times New Roman" w:eastAsia="Times New Roman" w:hAnsi="Times New Roman" w:cs="Times New Roman"/>
          <w:b w:val="0"/>
          <w:color w:val="auto"/>
          <w:sz w:val="20"/>
          <w:szCs w:val="20"/>
        </w:rPr>
        <w:t>, alternates with long summer rain fall</w:t>
      </w:r>
      <w:r w:rsidR="0061748E" w:rsidRPr="00DC52EE">
        <w:rPr>
          <w:rFonts w:ascii="Times New Roman" w:eastAsia="Times New Roman" w:hAnsi="Times New Roman" w:cs="Times New Roman"/>
          <w:b w:val="0"/>
          <w:color w:val="auto"/>
          <w:sz w:val="20"/>
          <w:szCs w:val="20"/>
        </w:rPr>
        <w:t xml:space="preserve"> </w:t>
      </w:r>
      <w:r w:rsidR="00864B00" w:rsidRPr="00DC52EE">
        <w:rPr>
          <w:rFonts w:ascii="Times New Roman" w:eastAsia="Times New Roman" w:hAnsi="Times New Roman" w:cs="Times New Roman"/>
          <w:b w:val="0"/>
          <w:color w:val="auto"/>
          <w:sz w:val="20"/>
          <w:szCs w:val="20"/>
        </w:rPr>
        <w:t>(June to Septemb</w:t>
      </w:r>
      <w:r w:rsidR="00F25FE5" w:rsidRPr="00DC52EE">
        <w:rPr>
          <w:rFonts w:ascii="Times New Roman" w:eastAsia="Times New Roman" w:hAnsi="Times New Roman" w:cs="Times New Roman"/>
          <w:b w:val="0"/>
          <w:color w:val="auto"/>
          <w:sz w:val="20"/>
          <w:szCs w:val="20"/>
        </w:rPr>
        <w:t>er)</w:t>
      </w:r>
      <w:r w:rsidR="00864B00" w:rsidRPr="00DC52EE">
        <w:rPr>
          <w:rFonts w:ascii="Times New Roman" w:eastAsia="Times New Roman" w:hAnsi="Times New Roman" w:cs="Times New Roman"/>
          <w:b w:val="0"/>
          <w:color w:val="auto"/>
          <w:sz w:val="20"/>
          <w:szCs w:val="20"/>
        </w:rPr>
        <w:t>,</w:t>
      </w:r>
      <w:r w:rsidR="00856A4F" w:rsidRPr="00DC52EE">
        <w:rPr>
          <w:rFonts w:ascii="Times New Roman" w:eastAsia="Times New Roman" w:hAnsi="Times New Roman" w:cs="Times New Roman"/>
          <w:b w:val="0"/>
          <w:color w:val="auto"/>
          <w:sz w:val="20"/>
          <w:szCs w:val="20"/>
        </w:rPr>
        <w:t xml:space="preserve"> </w:t>
      </w:r>
      <w:r w:rsidR="00864B00" w:rsidRPr="00DC52EE">
        <w:rPr>
          <w:rFonts w:ascii="Times New Roman" w:hAnsi="Times New Roman" w:cs="Times New Roman"/>
          <w:b w:val="0"/>
          <w:color w:val="auto"/>
          <w:sz w:val="20"/>
          <w:szCs w:val="20"/>
        </w:rPr>
        <w:t xml:space="preserve">short rain season (March to April) and winter dry season (December to February). The maximum and minimum annual rain fall and daily temperature range are between 2,200 to 1,500 mm and 15°C to 27° C respectively. This area is characterized by mixed farming system </w:t>
      </w:r>
      <w:r w:rsidR="00FD6447" w:rsidRPr="00DC52EE">
        <w:rPr>
          <w:rFonts w:ascii="Times New Roman" w:hAnsi="Times New Roman" w:cs="Times New Roman"/>
          <w:b w:val="0"/>
          <w:color w:val="auto"/>
          <w:sz w:val="20"/>
          <w:szCs w:val="20"/>
        </w:rPr>
        <w:t>and small ruminant are the third most abundant animal species next to poultry and cattle</w:t>
      </w:r>
      <w:r w:rsidR="00E7229A" w:rsidRPr="00DC52EE">
        <w:rPr>
          <w:rFonts w:ascii="Times New Roman" w:hAnsi="Times New Roman" w:cs="Times New Roman"/>
          <w:b w:val="0"/>
          <w:color w:val="auto"/>
          <w:sz w:val="20"/>
          <w:szCs w:val="20"/>
        </w:rPr>
        <w:t xml:space="preserve"> </w:t>
      </w:r>
      <w:r w:rsidR="00835C5E" w:rsidRPr="00DC52EE">
        <w:rPr>
          <w:rFonts w:ascii="Times New Roman" w:hAnsi="Times New Roman" w:cs="Times New Roman"/>
          <w:b w:val="0"/>
          <w:color w:val="auto"/>
          <w:sz w:val="20"/>
          <w:szCs w:val="20"/>
        </w:rPr>
        <w:t xml:space="preserve">According to the Guto – Gida district agricultural office of </w:t>
      </w:r>
      <w:r w:rsidR="0030750B" w:rsidRPr="00DC52EE">
        <w:rPr>
          <w:rFonts w:ascii="Times New Roman" w:hAnsi="Times New Roman" w:cs="Times New Roman"/>
          <w:b w:val="0"/>
          <w:color w:val="auto"/>
          <w:sz w:val="20"/>
          <w:szCs w:val="20"/>
        </w:rPr>
        <w:t>2015.</w:t>
      </w:r>
    </w:p>
    <w:p w:rsidR="00BB7760" w:rsidRPr="00DC52EE" w:rsidRDefault="00AC6C9E" w:rsidP="00BB7760">
      <w:pPr>
        <w:autoSpaceDE w:val="0"/>
        <w:autoSpaceDN w:val="0"/>
        <w:adjustRightInd w:val="0"/>
        <w:snapToGrid w:val="0"/>
        <w:spacing w:after="0" w:line="240" w:lineRule="auto"/>
        <w:jc w:val="both"/>
        <w:rPr>
          <w:b/>
          <w:bCs/>
          <w:sz w:val="20"/>
          <w:szCs w:val="20"/>
        </w:rPr>
      </w:pPr>
      <w:r w:rsidRPr="00DC52EE">
        <w:rPr>
          <w:b/>
          <w:sz w:val="20"/>
          <w:szCs w:val="20"/>
        </w:rPr>
        <w:t>2</w:t>
      </w:r>
      <w:r w:rsidR="00530EE6" w:rsidRPr="00DC52EE">
        <w:rPr>
          <w:b/>
          <w:sz w:val="20"/>
          <w:szCs w:val="20"/>
        </w:rPr>
        <w:t>.2.</w:t>
      </w:r>
      <w:r w:rsidR="00B0710C" w:rsidRPr="00DC52EE">
        <w:rPr>
          <w:b/>
          <w:sz w:val="20"/>
          <w:szCs w:val="20"/>
        </w:rPr>
        <w:t xml:space="preserve"> </w:t>
      </w:r>
      <w:r w:rsidR="007E7172" w:rsidRPr="00DC52EE">
        <w:rPr>
          <w:b/>
          <w:sz w:val="20"/>
          <w:szCs w:val="20"/>
        </w:rPr>
        <w:t>Study</w:t>
      </w:r>
      <w:r w:rsidR="00CF04E1" w:rsidRPr="00DC52EE">
        <w:rPr>
          <w:b/>
          <w:sz w:val="20"/>
          <w:szCs w:val="20"/>
        </w:rPr>
        <w:t xml:space="preserve"> </w:t>
      </w:r>
      <w:r w:rsidR="007E7172" w:rsidRPr="00DC52EE">
        <w:rPr>
          <w:b/>
          <w:bCs/>
          <w:sz w:val="20"/>
          <w:szCs w:val="20"/>
        </w:rPr>
        <w:t xml:space="preserve">Population </w:t>
      </w:r>
    </w:p>
    <w:p w:rsidR="00BB7760" w:rsidRPr="00DC52EE" w:rsidRDefault="00903A07" w:rsidP="00BB7760">
      <w:pPr>
        <w:autoSpaceDE w:val="0"/>
        <w:autoSpaceDN w:val="0"/>
        <w:adjustRightInd w:val="0"/>
        <w:snapToGrid w:val="0"/>
        <w:spacing w:after="0" w:line="240" w:lineRule="auto"/>
        <w:ind w:firstLine="425"/>
        <w:jc w:val="both"/>
        <w:rPr>
          <w:color w:val="FF0000"/>
          <w:sz w:val="20"/>
          <w:szCs w:val="20"/>
        </w:rPr>
      </w:pPr>
      <w:r w:rsidRPr="00DC52EE">
        <w:rPr>
          <w:sz w:val="20"/>
          <w:szCs w:val="20"/>
        </w:rPr>
        <w:t>F</w:t>
      </w:r>
      <w:r w:rsidR="005D71A9" w:rsidRPr="00DC52EE">
        <w:rPr>
          <w:sz w:val="20"/>
          <w:szCs w:val="20"/>
        </w:rPr>
        <w:t>rom total of 40</w:t>
      </w:r>
      <w:r w:rsidR="00B767C3" w:rsidRPr="00DC52EE">
        <w:rPr>
          <w:sz w:val="20"/>
          <w:szCs w:val="20"/>
        </w:rPr>
        <w:t>,</w:t>
      </w:r>
      <w:r w:rsidR="00FA742C" w:rsidRPr="00DC52EE">
        <w:rPr>
          <w:sz w:val="20"/>
          <w:szCs w:val="20"/>
        </w:rPr>
        <w:t xml:space="preserve">250 </w:t>
      </w:r>
      <w:r w:rsidR="005D71A9" w:rsidRPr="00DC52EE">
        <w:rPr>
          <w:sz w:val="20"/>
          <w:szCs w:val="20"/>
        </w:rPr>
        <w:t>(28</w:t>
      </w:r>
      <w:r w:rsidR="00B767C3" w:rsidRPr="00DC52EE">
        <w:rPr>
          <w:sz w:val="20"/>
          <w:szCs w:val="20"/>
        </w:rPr>
        <w:t>,</w:t>
      </w:r>
      <w:r w:rsidR="005D71A9" w:rsidRPr="00DC52EE">
        <w:rPr>
          <w:sz w:val="20"/>
          <w:szCs w:val="20"/>
        </w:rPr>
        <w:t>000 sheep and 12</w:t>
      </w:r>
      <w:r w:rsidR="00B767C3" w:rsidRPr="00DC52EE">
        <w:rPr>
          <w:sz w:val="20"/>
          <w:szCs w:val="20"/>
        </w:rPr>
        <w:t>,</w:t>
      </w:r>
      <w:r w:rsidR="005D71A9" w:rsidRPr="00DC52EE">
        <w:rPr>
          <w:sz w:val="20"/>
          <w:szCs w:val="20"/>
        </w:rPr>
        <w:t>250 goat</w:t>
      </w:r>
      <w:r w:rsidR="006941C5" w:rsidRPr="00DC52EE">
        <w:rPr>
          <w:sz w:val="20"/>
          <w:szCs w:val="20"/>
        </w:rPr>
        <w:t>s</w:t>
      </w:r>
      <w:r w:rsidR="00FB6ABB" w:rsidRPr="00DC52EE">
        <w:rPr>
          <w:sz w:val="20"/>
          <w:szCs w:val="20"/>
        </w:rPr>
        <w:t>)</w:t>
      </w:r>
      <w:r w:rsidRPr="00DC52EE">
        <w:rPr>
          <w:sz w:val="20"/>
          <w:szCs w:val="20"/>
        </w:rPr>
        <w:t xml:space="preserve"> </w:t>
      </w:r>
      <w:r w:rsidR="00FB6ABB" w:rsidRPr="00DC52EE">
        <w:rPr>
          <w:sz w:val="20"/>
          <w:szCs w:val="20"/>
        </w:rPr>
        <w:t>small</w:t>
      </w:r>
      <w:r w:rsidR="005D71A9" w:rsidRPr="00DC52EE">
        <w:rPr>
          <w:sz w:val="20"/>
          <w:szCs w:val="20"/>
        </w:rPr>
        <w:t xml:space="preserve"> ruminants present </w:t>
      </w:r>
      <w:r w:rsidR="002C0502" w:rsidRPr="00DC52EE">
        <w:rPr>
          <w:sz w:val="20"/>
          <w:szCs w:val="20"/>
        </w:rPr>
        <w:t xml:space="preserve">in </w:t>
      </w:r>
      <w:r w:rsidR="00FA3BE6" w:rsidRPr="00DC52EE">
        <w:rPr>
          <w:sz w:val="20"/>
          <w:szCs w:val="20"/>
        </w:rPr>
        <w:t>Nekemte</w:t>
      </w:r>
      <w:r w:rsidR="0061748E" w:rsidRPr="00DC52EE">
        <w:rPr>
          <w:sz w:val="20"/>
          <w:szCs w:val="20"/>
        </w:rPr>
        <w:t xml:space="preserve"> </w:t>
      </w:r>
      <w:r w:rsidR="00FC443D" w:rsidRPr="00DC52EE">
        <w:rPr>
          <w:sz w:val="20"/>
          <w:szCs w:val="20"/>
        </w:rPr>
        <w:t>town.</w:t>
      </w:r>
      <w:r w:rsidR="0061748E" w:rsidRPr="00DC52EE">
        <w:rPr>
          <w:sz w:val="20"/>
          <w:szCs w:val="20"/>
        </w:rPr>
        <w:t xml:space="preserve"> </w:t>
      </w:r>
      <w:r w:rsidR="00FB6ABB" w:rsidRPr="00DC52EE">
        <w:rPr>
          <w:sz w:val="20"/>
          <w:szCs w:val="20"/>
        </w:rPr>
        <w:t xml:space="preserve">Out which, the study was conducted on 384 (244 sheep and 140 goat). </w:t>
      </w:r>
      <w:r w:rsidR="00D32159" w:rsidRPr="00DC52EE">
        <w:rPr>
          <w:sz w:val="20"/>
          <w:szCs w:val="20"/>
        </w:rPr>
        <w:t>The different variab</w:t>
      </w:r>
      <w:r w:rsidR="00FA3BE6" w:rsidRPr="00DC52EE">
        <w:rPr>
          <w:sz w:val="20"/>
          <w:szCs w:val="20"/>
        </w:rPr>
        <w:t>les such as</w:t>
      </w:r>
      <w:r w:rsidR="00FB692D" w:rsidRPr="00DC52EE">
        <w:rPr>
          <w:sz w:val="20"/>
          <w:szCs w:val="20"/>
        </w:rPr>
        <w:t>,</w:t>
      </w:r>
      <w:r w:rsidR="00FA3BE6" w:rsidRPr="00DC52EE">
        <w:rPr>
          <w:sz w:val="20"/>
          <w:szCs w:val="20"/>
        </w:rPr>
        <w:t xml:space="preserve"> species,</w:t>
      </w:r>
      <w:r w:rsidR="00FB692D" w:rsidRPr="00DC52EE">
        <w:rPr>
          <w:sz w:val="20"/>
          <w:szCs w:val="20"/>
        </w:rPr>
        <w:t xml:space="preserve"> sex</w:t>
      </w:r>
      <w:r w:rsidR="00D32159" w:rsidRPr="00DC52EE">
        <w:rPr>
          <w:sz w:val="20"/>
          <w:szCs w:val="20"/>
        </w:rPr>
        <w:t xml:space="preserve"> and age group</w:t>
      </w:r>
      <w:r w:rsidR="001F43AF" w:rsidRPr="00DC52EE">
        <w:rPr>
          <w:sz w:val="20"/>
          <w:szCs w:val="20"/>
        </w:rPr>
        <w:t xml:space="preserve">s were </w:t>
      </w:r>
      <w:r w:rsidR="00B767C3" w:rsidRPr="00DC52EE">
        <w:rPr>
          <w:sz w:val="20"/>
          <w:szCs w:val="20"/>
        </w:rPr>
        <w:t>involved in the study</w:t>
      </w:r>
      <w:r w:rsidR="006941C5" w:rsidRPr="00DC52EE">
        <w:rPr>
          <w:sz w:val="20"/>
          <w:szCs w:val="20"/>
        </w:rPr>
        <w:t xml:space="preserve"> as risk factors</w:t>
      </w:r>
      <w:r w:rsidR="004347F6" w:rsidRPr="00DC52EE">
        <w:rPr>
          <w:sz w:val="20"/>
          <w:szCs w:val="20"/>
        </w:rPr>
        <w:t>.</w:t>
      </w:r>
      <w:r w:rsidR="00FB6ABB" w:rsidRPr="00DC52EE">
        <w:rPr>
          <w:sz w:val="20"/>
          <w:szCs w:val="20"/>
        </w:rPr>
        <w:t xml:space="preserve"> Age categorization was as described by Gatenby into Young (&lt; 1 year) and Adult (&gt; 1 year).</w:t>
      </w:r>
      <w:r w:rsidRPr="00DC52EE">
        <w:rPr>
          <w:sz w:val="20"/>
          <w:szCs w:val="20"/>
        </w:rPr>
        <w:t xml:space="preserve"> </w:t>
      </w:r>
    </w:p>
    <w:p w:rsidR="00BB7760" w:rsidRPr="00DC52EE" w:rsidRDefault="00AC6C9E" w:rsidP="00BB7760">
      <w:pPr>
        <w:pStyle w:val="Heading2"/>
        <w:keepNext w:val="0"/>
        <w:keepLines w:val="0"/>
        <w:snapToGrid w:val="0"/>
        <w:spacing w:before="0" w:line="240" w:lineRule="auto"/>
        <w:jc w:val="both"/>
        <w:rPr>
          <w:rFonts w:ascii="Times New Roman" w:hAnsi="Times New Roman" w:cs="Times New Roman"/>
          <w:color w:val="auto"/>
          <w:sz w:val="20"/>
          <w:szCs w:val="20"/>
        </w:rPr>
      </w:pPr>
      <w:r w:rsidRPr="00DC52EE">
        <w:rPr>
          <w:rFonts w:ascii="Times New Roman" w:hAnsi="Times New Roman" w:cs="Times New Roman"/>
          <w:color w:val="auto"/>
          <w:sz w:val="20"/>
          <w:szCs w:val="20"/>
        </w:rPr>
        <w:t>2</w:t>
      </w:r>
      <w:r w:rsidR="00565E6D" w:rsidRPr="00DC52EE">
        <w:rPr>
          <w:rFonts w:ascii="Times New Roman" w:hAnsi="Times New Roman" w:cs="Times New Roman"/>
          <w:color w:val="auto"/>
          <w:sz w:val="20"/>
          <w:szCs w:val="20"/>
        </w:rPr>
        <w:t xml:space="preserve">.3. </w:t>
      </w:r>
      <w:r w:rsidR="001C222E" w:rsidRPr="00DC52EE">
        <w:rPr>
          <w:rFonts w:ascii="Times New Roman" w:hAnsi="Times New Roman" w:cs="Times New Roman"/>
          <w:color w:val="auto"/>
          <w:sz w:val="20"/>
          <w:szCs w:val="20"/>
        </w:rPr>
        <w:t>Sample Size and Sampling Method</w:t>
      </w:r>
    </w:p>
    <w:p w:rsidR="00BB7760" w:rsidRPr="00DC52EE" w:rsidRDefault="00903A07" w:rsidP="00BB7760">
      <w:pPr>
        <w:autoSpaceDE w:val="0"/>
        <w:autoSpaceDN w:val="0"/>
        <w:adjustRightInd w:val="0"/>
        <w:snapToGrid w:val="0"/>
        <w:spacing w:after="0" w:line="240" w:lineRule="auto"/>
        <w:ind w:firstLine="425"/>
        <w:jc w:val="both"/>
        <w:rPr>
          <w:rFonts w:eastAsia="Times New Roman"/>
          <w:bCs/>
          <w:sz w:val="20"/>
          <w:szCs w:val="20"/>
        </w:rPr>
      </w:pPr>
      <w:r w:rsidRPr="00DC52EE">
        <w:rPr>
          <w:sz w:val="20"/>
          <w:szCs w:val="20"/>
        </w:rPr>
        <w:t>A</w:t>
      </w:r>
      <w:r w:rsidR="001C222E" w:rsidRPr="00DC52EE">
        <w:rPr>
          <w:sz w:val="20"/>
          <w:szCs w:val="20"/>
        </w:rPr>
        <w:t xml:space="preserve"> sample size of 384 was calculated to collect samples from slaughtered individual sheep and goat in different restaurants found in Nekemte town and faecal samples were </w:t>
      </w:r>
      <w:r w:rsidR="00FB6ABB" w:rsidRPr="00DC52EE">
        <w:rPr>
          <w:sz w:val="20"/>
          <w:szCs w:val="20"/>
        </w:rPr>
        <w:t xml:space="preserve">also </w:t>
      </w:r>
      <w:r w:rsidR="001C222E" w:rsidRPr="00DC52EE">
        <w:rPr>
          <w:sz w:val="20"/>
          <w:szCs w:val="20"/>
        </w:rPr>
        <w:t>collected to detect some parasites those are not morphologically appreciated easily.</w:t>
      </w:r>
      <w:r w:rsidR="007D7732" w:rsidRPr="00DC52EE">
        <w:rPr>
          <w:sz w:val="20"/>
          <w:szCs w:val="20"/>
        </w:rPr>
        <w:t xml:space="preserve"> </w:t>
      </w:r>
      <w:r w:rsidR="0048716C" w:rsidRPr="00DC52EE">
        <w:rPr>
          <w:sz w:val="20"/>
          <w:szCs w:val="20"/>
        </w:rPr>
        <w:t>Out of which, sheep and goat comprised of 260 and 124 respectively.</w:t>
      </w:r>
      <w:r w:rsidR="007D7732" w:rsidRPr="00DC52EE">
        <w:rPr>
          <w:sz w:val="20"/>
          <w:szCs w:val="20"/>
        </w:rPr>
        <w:t xml:space="preserve"> </w:t>
      </w:r>
      <w:r w:rsidR="00261179" w:rsidRPr="00DC52EE">
        <w:rPr>
          <w:sz w:val="20"/>
          <w:szCs w:val="20"/>
        </w:rPr>
        <w:t xml:space="preserve">The sample size was decided based on formula described by Thrusfield (2005) with </w:t>
      </w:r>
      <w:r w:rsidR="00261179" w:rsidRPr="00DC52EE">
        <w:rPr>
          <w:rFonts w:eastAsia="Times New Roman"/>
          <w:bCs/>
          <w:sz w:val="20"/>
          <w:szCs w:val="20"/>
        </w:rPr>
        <w:t>95% confidence interval</w:t>
      </w:r>
      <w:r w:rsidR="003B1997" w:rsidRPr="00DC52EE">
        <w:rPr>
          <w:rFonts w:eastAsia="Times New Roman"/>
          <w:bCs/>
          <w:sz w:val="20"/>
          <w:szCs w:val="20"/>
        </w:rPr>
        <w:t xml:space="preserve"> at 5% desired absolute precision and by assuming the expected prevalence of 50%.</w:t>
      </w:r>
    </w:p>
    <w:p w:rsidR="00BB7760" w:rsidRPr="00DC52EE" w:rsidRDefault="00AC6C9E" w:rsidP="00BB7760">
      <w:pPr>
        <w:autoSpaceDE w:val="0"/>
        <w:autoSpaceDN w:val="0"/>
        <w:adjustRightInd w:val="0"/>
        <w:snapToGrid w:val="0"/>
        <w:spacing w:after="0" w:line="240" w:lineRule="auto"/>
        <w:jc w:val="both"/>
        <w:rPr>
          <w:b/>
          <w:sz w:val="20"/>
          <w:szCs w:val="20"/>
        </w:rPr>
      </w:pPr>
      <w:r w:rsidRPr="00DC52EE">
        <w:rPr>
          <w:rFonts w:eastAsia="Times New Roman"/>
          <w:b/>
          <w:bCs/>
          <w:sz w:val="20"/>
          <w:szCs w:val="20"/>
        </w:rPr>
        <w:t>2</w:t>
      </w:r>
      <w:r w:rsidR="001F0629" w:rsidRPr="00DC52EE">
        <w:rPr>
          <w:rFonts w:eastAsia="Times New Roman"/>
          <w:b/>
          <w:bCs/>
          <w:sz w:val="20"/>
          <w:szCs w:val="20"/>
        </w:rPr>
        <w:t xml:space="preserve">.4. </w:t>
      </w:r>
      <w:r w:rsidR="00FF703E" w:rsidRPr="00DC52EE">
        <w:rPr>
          <w:b/>
          <w:bCs/>
          <w:sz w:val="20"/>
          <w:szCs w:val="20"/>
        </w:rPr>
        <w:t>Study Design</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A</w:t>
      </w:r>
      <w:r w:rsidR="00CF5954" w:rsidRPr="00DC52EE">
        <w:rPr>
          <w:sz w:val="20"/>
          <w:szCs w:val="20"/>
        </w:rPr>
        <w:t xml:space="preserve"> cross-s</w:t>
      </w:r>
      <w:r w:rsidR="00AC35E5" w:rsidRPr="00DC52EE">
        <w:rPr>
          <w:sz w:val="20"/>
          <w:szCs w:val="20"/>
        </w:rPr>
        <w:t xml:space="preserve">ectional study was followed </w:t>
      </w:r>
      <w:r w:rsidR="00CF5954" w:rsidRPr="00DC52EE">
        <w:rPr>
          <w:sz w:val="20"/>
          <w:szCs w:val="20"/>
        </w:rPr>
        <w:t>for prevalence determination of sheep</w:t>
      </w:r>
      <w:r w:rsidR="001A6986" w:rsidRPr="00DC52EE">
        <w:rPr>
          <w:sz w:val="20"/>
          <w:szCs w:val="20"/>
        </w:rPr>
        <w:t xml:space="preserve"> and goat</w:t>
      </w:r>
      <w:r w:rsidR="00CF5954" w:rsidRPr="00DC52EE">
        <w:rPr>
          <w:sz w:val="20"/>
          <w:szCs w:val="20"/>
        </w:rPr>
        <w:t xml:space="preserve"> G</w:t>
      </w:r>
      <w:r w:rsidR="009F6FFE" w:rsidRPr="00DC52EE">
        <w:rPr>
          <w:sz w:val="20"/>
          <w:szCs w:val="20"/>
        </w:rPr>
        <w:t xml:space="preserve">IT </w:t>
      </w:r>
      <w:r w:rsidR="00BD7C30" w:rsidRPr="00DC52EE">
        <w:rPr>
          <w:sz w:val="20"/>
          <w:szCs w:val="20"/>
        </w:rPr>
        <w:t>parasites</w:t>
      </w:r>
      <w:r w:rsidR="00CF5954" w:rsidRPr="00DC52EE">
        <w:rPr>
          <w:sz w:val="20"/>
          <w:szCs w:val="20"/>
        </w:rPr>
        <w:t xml:space="preserve"> by </w:t>
      </w:r>
      <w:r w:rsidR="008C1831" w:rsidRPr="00DC52EE">
        <w:rPr>
          <w:sz w:val="20"/>
          <w:szCs w:val="20"/>
        </w:rPr>
        <w:t xml:space="preserve">Post mortem findings and </w:t>
      </w:r>
      <w:r w:rsidR="00CF5954" w:rsidRPr="00DC52EE">
        <w:rPr>
          <w:sz w:val="20"/>
          <w:szCs w:val="20"/>
        </w:rPr>
        <w:t>coproscopic examination.</w:t>
      </w:r>
    </w:p>
    <w:p w:rsidR="00BB7760" w:rsidRPr="00DC52EE" w:rsidRDefault="00AC6C9E" w:rsidP="00BB7760">
      <w:pPr>
        <w:autoSpaceDE w:val="0"/>
        <w:autoSpaceDN w:val="0"/>
        <w:adjustRightInd w:val="0"/>
        <w:snapToGrid w:val="0"/>
        <w:spacing w:after="0" w:line="240" w:lineRule="auto"/>
        <w:jc w:val="both"/>
        <w:rPr>
          <w:rFonts w:eastAsia="Times New Roman"/>
          <w:b/>
          <w:sz w:val="20"/>
          <w:szCs w:val="20"/>
        </w:rPr>
      </w:pPr>
      <w:r w:rsidRPr="00DC52EE">
        <w:rPr>
          <w:b/>
          <w:sz w:val="20"/>
          <w:szCs w:val="20"/>
        </w:rPr>
        <w:t>2</w:t>
      </w:r>
      <w:r w:rsidR="009B7ED0" w:rsidRPr="00DC52EE">
        <w:rPr>
          <w:b/>
          <w:sz w:val="20"/>
          <w:szCs w:val="20"/>
        </w:rPr>
        <w:t xml:space="preserve">.5. </w:t>
      </w:r>
      <w:r w:rsidR="003610DB" w:rsidRPr="00DC52EE">
        <w:rPr>
          <w:rFonts w:eastAsia="Times New Roman"/>
          <w:b/>
          <w:sz w:val="20"/>
          <w:szCs w:val="20"/>
        </w:rPr>
        <w:t xml:space="preserve">Study </w:t>
      </w:r>
      <w:r w:rsidR="00173684" w:rsidRPr="00DC52EE">
        <w:rPr>
          <w:rFonts w:eastAsia="Times New Roman"/>
          <w:b/>
          <w:sz w:val="20"/>
          <w:szCs w:val="20"/>
        </w:rPr>
        <w:t>Methodology</w:t>
      </w:r>
    </w:p>
    <w:p w:rsidR="00BB7760" w:rsidRDefault="00903A07" w:rsidP="00BB7760">
      <w:pPr>
        <w:autoSpaceDE w:val="0"/>
        <w:autoSpaceDN w:val="0"/>
        <w:adjustRightInd w:val="0"/>
        <w:snapToGrid w:val="0"/>
        <w:spacing w:after="0" w:line="240" w:lineRule="auto"/>
        <w:ind w:firstLine="425"/>
        <w:jc w:val="both"/>
        <w:rPr>
          <w:sz w:val="20"/>
          <w:szCs w:val="20"/>
          <w:lang w:eastAsia="zh-CN"/>
        </w:rPr>
      </w:pPr>
      <w:r w:rsidRPr="00DC52EE">
        <w:rPr>
          <w:rFonts w:eastAsia="Times New Roman"/>
          <w:sz w:val="20"/>
          <w:szCs w:val="20"/>
        </w:rPr>
        <w:t>P</w:t>
      </w:r>
      <w:r w:rsidR="009768C0" w:rsidRPr="00DC52EE">
        <w:rPr>
          <w:rFonts w:eastAsia="Times New Roman"/>
          <w:sz w:val="20"/>
          <w:szCs w:val="20"/>
        </w:rPr>
        <w:t>ostmortem examinations were conducted to isolate and identify the adult parasites by collecting gastro -intestinal contents from slaughtered sheep and goats in different restaurants found in Nekemte town and faecal samples were also collected to detect some parasites those are not morphologically appreciated easily.</w:t>
      </w:r>
    </w:p>
    <w:p w:rsidR="00286E43" w:rsidRPr="00286E43" w:rsidRDefault="00286E43" w:rsidP="00BB7760">
      <w:pPr>
        <w:autoSpaceDE w:val="0"/>
        <w:autoSpaceDN w:val="0"/>
        <w:adjustRightInd w:val="0"/>
        <w:snapToGrid w:val="0"/>
        <w:spacing w:after="0" w:line="240" w:lineRule="auto"/>
        <w:ind w:firstLine="425"/>
        <w:jc w:val="both"/>
        <w:rPr>
          <w:sz w:val="20"/>
          <w:szCs w:val="20"/>
          <w:lang w:eastAsia="zh-CN"/>
        </w:rPr>
      </w:pPr>
    </w:p>
    <w:p w:rsidR="00BB7760" w:rsidRPr="00DC52EE" w:rsidRDefault="00AC6C9E" w:rsidP="00BB7760">
      <w:pPr>
        <w:autoSpaceDE w:val="0"/>
        <w:autoSpaceDN w:val="0"/>
        <w:adjustRightInd w:val="0"/>
        <w:snapToGrid w:val="0"/>
        <w:spacing w:after="0" w:line="240" w:lineRule="auto"/>
        <w:jc w:val="both"/>
        <w:rPr>
          <w:b/>
          <w:sz w:val="20"/>
          <w:szCs w:val="20"/>
        </w:rPr>
      </w:pPr>
      <w:r w:rsidRPr="00DC52EE">
        <w:rPr>
          <w:b/>
          <w:sz w:val="20"/>
          <w:szCs w:val="20"/>
        </w:rPr>
        <w:lastRenderedPageBreak/>
        <w:t>2</w:t>
      </w:r>
      <w:r w:rsidR="00BD245D" w:rsidRPr="00DC52EE">
        <w:rPr>
          <w:b/>
          <w:sz w:val="20"/>
          <w:szCs w:val="20"/>
        </w:rPr>
        <w:t>.5.1.</w:t>
      </w:r>
      <w:r w:rsidR="001B039E" w:rsidRPr="00DC52EE">
        <w:rPr>
          <w:b/>
          <w:sz w:val="20"/>
          <w:szCs w:val="20"/>
        </w:rPr>
        <w:t xml:space="preserve"> </w:t>
      </w:r>
      <w:r w:rsidR="003F6B0C" w:rsidRPr="00DC52EE">
        <w:rPr>
          <w:b/>
          <w:sz w:val="20"/>
          <w:szCs w:val="20"/>
        </w:rPr>
        <w:t>P</w:t>
      </w:r>
      <w:r w:rsidR="00174D7F" w:rsidRPr="00DC52EE">
        <w:rPr>
          <w:b/>
          <w:sz w:val="20"/>
          <w:szCs w:val="20"/>
        </w:rPr>
        <w:t xml:space="preserve">arasitological </w:t>
      </w:r>
      <w:r w:rsidR="00BD245D" w:rsidRPr="00DC52EE">
        <w:rPr>
          <w:b/>
          <w:sz w:val="20"/>
          <w:szCs w:val="20"/>
        </w:rPr>
        <w:t>Protocols</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G</w:t>
      </w:r>
      <w:r w:rsidR="00FC377B" w:rsidRPr="00DC52EE">
        <w:rPr>
          <w:sz w:val="20"/>
          <w:szCs w:val="20"/>
        </w:rPr>
        <w:t>IT</w:t>
      </w:r>
      <w:r w:rsidR="00766938" w:rsidRPr="00DC52EE">
        <w:rPr>
          <w:sz w:val="20"/>
          <w:szCs w:val="20"/>
        </w:rPr>
        <w:t xml:space="preserve"> parasites</w:t>
      </w:r>
      <w:r w:rsidR="003F6B0C" w:rsidRPr="00DC52EE">
        <w:rPr>
          <w:sz w:val="20"/>
          <w:szCs w:val="20"/>
        </w:rPr>
        <w:t xml:space="preserve"> from the abomasum, </w:t>
      </w:r>
      <w:r w:rsidR="00222FEF" w:rsidRPr="00DC52EE">
        <w:rPr>
          <w:sz w:val="20"/>
          <w:szCs w:val="20"/>
        </w:rPr>
        <w:t>s</w:t>
      </w:r>
      <w:r w:rsidR="003F6B0C" w:rsidRPr="00DC52EE">
        <w:rPr>
          <w:sz w:val="20"/>
          <w:szCs w:val="20"/>
        </w:rPr>
        <w:t xml:space="preserve">mall and </w:t>
      </w:r>
      <w:r w:rsidR="00222FEF" w:rsidRPr="00DC52EE">
        <w:rPr>
          <w:sz w:val="20"/>
          <w:szCs w:val="20"/>
        </w:rPr>
        <w:t>l</w:t>
      </w:r>
      <w:r w:rsidR="003F6B0C" w:rsidRPr="00DC52EE">
        <w:rPr>
          <w:sz w:val="20"/>
          <w:szCs w:val="20"/>
        </w:rPr>
        <w:t xml:space="preserve">arge intestine were </w:t>
      </w:r>
      <w:r w:rsidR="00FC377B" w:rsidRPr="00DC52EE">
        <w:rPr>
          <w:sz w:val="20"/>
          <w:szCs w:val="20"/>
        </w:rPr>
        <w:t>isolated after</w:t>
      </w:r>
      <w:r w:rsidR="003F6B0C" w:rsidRPr="00DC52EE">
        <w:rPr>
          <w:sz w:val="20"/>
          <w:szCs w:val="20"/>
        </w:rPr>
        <w:t xml:space="preserve"> slaughter</w:t>
      </w:r>
      <w:r w:rsidR="004523C9" w:rsidRPr="00DC52EE">
        <w:rPr>
          <w:sz w:val="20"/>
          <w:szCs w:val="20"/>
        </w:rPr>
        <w:t>ing of animals. A</w:t>
      </w:r>
      <w:r w:rsidR="003F6B0C" w:rsidRPr="00DC52EE">
        <w:rPr>
          <w:sz w:val="20"/>
          <w:szCs w:val="20"/>
        </w:rPr>
        <w:t>bomasum, Small and Large intestin</w:t>
      </w:r>
      <w:r w:rsidR="001A226B" w:rsidRPr="00DC52EE">
        <w:rPr>
          <w:sz w:val="20"/>
          <w:szCs w:val="20"/>
        </w:rPr>
        <w:t>e were ligat</w:t>
      </w:r>
      <w:r w:rsidR="00FE375B" w:rsidRPr="00DC52EE">
        <w:rPr>
          <w:sz w:val="20"/>
          <w:szCs w:val="20"/>
        </w:rPr>
        <w:t>ed at omasal-abomasal, abomasal</w:t>
      </w:r>
      <w:r w:rsidR="00050455" w:rsidRPr="00DC52EE">
        <w:rPr>
          <w:sz w:val="20"/>
          <w:szCs w:val="20"/>
        </w:rPr>
        <w:t>-</w:t>
      </w:r>
      <w:r w:rsidR="003F6B0C" w:rsidRPr="00DC52EE">
        <w:rPr>
          <w:sz w:val="20"/>
          <w:szCs w:val="20"/>
        </w:rPr>
        <w:t xml:space="preserve">duodenal and ileo-caecal junction to prevent worm spilling from one location to another. The abomasum was cut opened </w:t>
      </w:r>
      <w:r w:rsidR="00CC3E6F" w:rsidRPr="00DC52EE">
        <w:rPr>
          <w:sz w:val="20"/>
          <w:szCs w:val="20"/>
        </w:rPr>
        <w:t>longitudinally;</w:t>
      </w:r>
      <w:r w:rsidR="009B11FF" w:rsidRPr="00DC52EE">
        <w:rPr>
          <w:sz w:val="20"/>
          <w:szCs w:val="20"/>
        </w:rPr>
        <w:t xml:space="preserve"> </w:t>
      </w:r>
      <w:r w:rsidR="003F6B0C" w:rsidRPr="00DC52EE">
        <w:rPr>
          <w:sz w:val="20"/>
          <w:szCs w:val="20"/>
        </w:rPr>
        <w:t xml:space="preserve">the content of abomasum was poured in 10L bucket. </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A</w:t>
      </w:r>
      <w:r w:rsidR="003F6B0C" w:rsidRPr="00DC52EE">
        <w:rPr>
          <w:sz w:val="20"/>
          <w:szCs w:val="20"/>
        </w:rPr>
        <w:t xml:space="preserve">bomasal wall was washed thoroughly under stream of water from a tap and mucous membrane rubbed with thumb finger to remove any adhering worms to it. The content of bucket were sieved through tea strainer and washed with </w:t>
      </w:r>
      <w:r w:rsidR="00CC3E6F" w:rsidRPr="00DC52EE">
        <w:rPr>
          <w:sz w:val="20"/>
          <w:szCs w:val="20"/>
        </w:rPr>
        <w:t>stream</w:t>
      </w:r>
      <w:r w:rsidR="003F6B0C" w:rsidRPr="00DC52EE">
        <w:rPr>
          <w:sz w:val="20"/>
          <w:szCs w:val="20"/>
        </w:rPr>
        <w:t xml:space="preserve"> water. The tea strainer having food material and worms was </w:t>
      </w:r>
      <w:r w:rsidR="00CC3E6F" w:rsidRPr="00DC52EE">
        <w:rPr>
          <w:sz w:val="20"/>
          <w:szCs w:val="20"/>
        </w:rPr>
        <w:t>inserted</w:t>
      </w:r>
      <w:r w:rsidR="003F6B0C" w:rsidRPr="00DC52EE">
        <w:rPr>
          <w:sz w:val="20"/>
          <w:szCs w:val="20"/>
        </w:rPr>
        <w:t xml:space="preserve"> into another bucket and wash with stream of water. More water was added to make up total volume of 4L which was then agitated vigorously and sample was taken by wide mouthed pipette. The sample was transferred to measuring cylin</w:t>
      </w:r>
      <w:r w:rsidR="00B1240D" w:rsidRPr="00DC52EE">
        <w:rPr>
          <w:sz w:val="20"/>
          <w:szCs w:val="20"/>
        </w:rPr>
        <w:t xml:space="preserve">der until a total volume of 40ml. </w:t>
      </w:r>
      <w:r w:rsidR="006379E1" w:rsidRPr="00DC52EE">
        <w:rPr>
          <w:sz w:val="20"/>
          <w:szCs w:val="20"/>
        </w:rPr>
        <w:t>S</w:t>
      </w:r>
      <w:r w:rsidR="00B1240D" w:rsidRPr="00DC52EE">
        <w:rPr>
          <w:sz w:val="20"/>
          <w:szCs w:val="20"/>
        </w:rPr>
        <w:t>mall quantity of this 40ml</w:t>
      </w:r>
      <w:r w:rsidR="007A3289" w:rsidRPr="00DC52EE">
        <w:rPr>
          <w:sz w:val="20"/>
          <w:szCs w:val="20"/>
        </w:rPr>
        <w:t xml:space="preserve"> were placed in P</w:t>
      </w:r>
      <w:r w:rsidR="003F6B0C" w:rsidRPr="00DC52EE">
        <w:rPr>
          <w:sz w:val="20"/>
          <w:szCs w:val="20"/>
        </w:rPr>
        <w:t xml:space="preserve">etridish and examined under stereo microscope for worms count. The Small and Large intestine were </w:t>
      </w:r>
      <w:r w:rsidR="00EE6A0C" w:rsidRPr="00DC52EE">
        <w:rPr>
          <w:sz w:val="20"/>
          <w:szCs w:val="20"/>
        </w:rPr>
        <w:t>processed the same as abomasum.</w:t>
      </w:r>
      <w:r w:rsidR="008E245B" w:rsidRPr="00DC52EE">
        <w:rPr>
          <w:sz w:val="20"/>
          <w:szCs w:val="20"/>
        </w:rPr>
        <w:t xml:space="preserve"> </w:t>
      </w:r>
      <w:r w:rsidR="003F6B0C" w:rsidRPr="00DC52EE">
        <w:rPr>
          <w:sz w:val="20"/>
          <w:szCs w:val="20"/>
        </w:rPr>
        <w:t xml:space="preserve">Worm from abomasum, Large and Small Intestine were collected and counted (Charles and Baker 1988). </w:t>
      </w:r>
    </w:p>
    <w:p w:rsidR="00BB7760" w:rsidRPr="00DC52EE" w:rsidRDefault="00903A07" w:rsidP="00BB7760">
      <w:pPr>
        <w:autoSpaceDE w:val="0"/>
        <w:autoSpaceDN w:val="0"/>
        <w:adjustRightInd w:val="0"/>
        <w:snapToGrid w:val="0"/>
        <w:spacing w:after="0" w:line="240" w:lineRule="auto"/>
        <w:ind w:firstLine="425"/>
        <w:jc w:val="both"/>
        <w:rPr>
          <w:bCs/>
          <w:sz w:val="20"/>
          <w:szCs w:val="20"/>
        </w:rPr>
      </w:pPr>
      <w:r w:rsidRPr="00DC52EE">
        <w:rPr>
          <w:sz w:val="20"/>
          <w:szCs w:val="20"/>
        </w:rPr>
        <w:t>T</w:t>
      </w:r>
      <w:r w:rsidR="003F6B0C" w:rsidRPr="00DC52EE">
        <w:rPr>
          <w:sz w:val="20"/>
          <w:szCs w:val="20"/>
        </w:rPr>
        <w:t>he collected nematodes were washed</w:t>
      </w:r>
      <w:r w:rsidR="009A7E76" w:rsidRPr="00DC52EE">
        <w:rPr>
          <w:sz w:val="20"/>
          <w:szCs w:val="20"/>
        </w:rPr>
        <w:t xml:space="preserve"> in physiological saline (0.89gm/100ml</w:t>
      </w:r>
      <w:r w:rsidR="003F6B0C" w:rsidRPr="00DC52EE">
        <w:rPr>
          <w:sz w:val="20"/>
          <w:szCs w:val="20"/>
        </w:rPr>
        <w:t xml:space="preserve"> dist</w:t>
      </w:r>
      <w:r w:rsidR="0060245F" w:rsidRPr="00DC52EE">
        <w:rPr>
          <w:sz w:val="20"/>
          <w:szCs w:val="20"/>
        </w:rPr>
        <w:t>illed water). And were fixed in</w:t>
      </w:r>
      <w:r w:rsidR="003F6B0C" w:rsidRPr="00DC52EE">
        <w:rPr>
          <w:sz w:val="20"/>
          <w:szCs w:val="20"/>
        </w:rPr>
        <w:t xml:space="preserve">70% alcohol for 24 Hrs. </w:t>
      </w:r>
      <w:r w:rsidR="00AB21B5" w:rsidRPr="00DC52EE">
        <w:rPr>
          <w:sz w:val="20"/>
          <w:szCs w:val="20"/>
        </w:rPr>
        <w:t>T</w:t>
      </w:r>
      <w:r w:rsidR="003F6B0C" w:rsidRPr="00DC52EE">
        <w:rPr>
          <w:sz w:val="20"/>
          <w:szCs w:val="20"/>
        </w:rPr>
        <w:t>he worms were placed on microscopic slide and examined under 10</w:t>
      </w:r>
      <w:r w:rsidR="00AB21B5" w:rsidRPr="00DC52EE">
        <w:rPr>
          <w:sz w:val="20"/>
          <w:szCs w:val="20"/>
        </w:rPr>
        <w:t>X</w:t>
      </w:r>
      <w:r w:rsidR="003F6B0C" w:rsidRPr="00DC52EE">
        <w:rPr>
          <w:sz w:val="20"/>
          <w:szCs w:val="20"/>
        </w:rPr>
        <w:t xml:space="preserve"> magn</w:t>
      </w:r>
      <w:r w:rsidR="00F053FE" w:rsidRPr="00DC52EE">
        <w:rPr>
          <w:sz w:val="20"/>
          <w:szCs w:val="20"/>
        </w:rPr>
        <w:t xml:space="preserve">ification of compound microscope </w:t>
      </w:r>
      <w:r w:rsidR="003F6B0C" w:rsidRPr="00DC52EE">
        <w:rPr>
          <w:sz w:val="20"/>
          <w:szCs w:val="20"/>
        </w:rPr>
        <w:t>and identified using standard key and morphological ch</w:t>
      </w:r>
      <w:r w:rsidR="009600E9" w:rsidRPr="00DC52EE">
        <w:rPr>
          <w:sz w:val="20"/>
          <w:szCs w:val="20"/>
        </w:rPr>
        <w:t>aracteristic described by (</w:t>
      </w:r>
      <w:r w:rsidR="00AB21B5" w:rsidRPr="00DC52EE">
        <w:rPr>
          <w:sz w:val="20"/>
          <w:szCs w:val="20"/>
        </w:rPr>
        <w:t>S</w:t>
      </w:r>
      <w:r w:rsidR="009600E9" w:rsidRPr="00DC52EE">
        <w:rPr>
          <w:sz w:val="20"/>
          <w:szCs w:val="20"/>
        </w:rPr>
        <w:t>ouls</w:t>
      </w:r>
      <w:r w:rsidR="00C15CD4" w:rsidRPr="00DC52EE">
        <w:rPr>
          <w:sz w:val="20"/>
          <w:szCs w:val="20"/>
        </w:rPr>
        <w:t xml:space="preserve">by </w:t>
      </w:r>
      <w:r w:rsidR="00A273DD" w:rsidRPr="00DC52EE">
        <w:rPr>
          <w:sz w:val="20"/>
          <w:szCs w:val="20"/>
        </w:rPr>
        <w:t>1982;</w:t>
      </w:r>
      <w:r w:rsidR="003F6B0C" w:rsidRPr="00DC52EE">
        <w:rPr>
          <w:sz w:val="20"/>
          <w:szCs w:val="20"/>
        </w:rPr>
        <w:t xml:space="preserve"> </w:t>
      </w:r>
      <w:r w:rsidR="00C15CD4" w:rsidRPr="00DC52EE">
        <w:rPr>
          <w:bCs/>
          <w:sz w:val="20"/>
          <w:szCs w:val="20"/>
        </w:rPr>
        <w:t xml:space="preserve">Hansen </w:t>
      </w:r>
      <w:r w:rsidR="00C15CD4" w:rsidRPr="00DC52EE">
        <w:rPr>
          <w:bCs/>
          <w:i/>
          <w:sz w:val="20"/>
          <w:szCs w:val="20"/>
        </w:rPr>
        <w:t>et al</w:t>
      </w:r>
      <w:r w:rsidR="00C15CD4" w:rsidRPr="00DC52EE">
        <w:rPr>
          <w:bCs/>
          <w:sz w:val="20"/>
          <w:szCs w:val="20"/>
        </w:rPr>
        <w:t xml:space="preserve">, 1994; </w:t>
      </w:r>
      <w:r w:rsidR="003F6B0C" w:rsidRPr="00DC52EE">
        <w:rPr>
          <w:sz w:val="20"/>
          <w:szCs w:val="20"/>
        </w:rPr>
        <w:t xml:space="preserve">Urquhart </w:t>
      </w:r>
      <w:r w:rsidR="003F6B0C" w:rsidRPr="00DC52EE">
        <w:rPr>
          <w:i/>
          <w:sz w:val="20"/>
          <w:szCs w:val="20"/>
        </w:rPr>
        <w:t>et al</w:t>
      </w:r>
      <w:r w:rsidR="00B16D7A" w:rsidRPr="00DC52EE">
        <w:rPr>
          <w:i/>
          <w:sz w:val="20"/>
          <w:szCs w:val="20"/>
        </w:rPr>
        <w:t>.</w:t>
      </w:r>
      <w:r w:rsidR="003F6B0C" w:rsidRPr="00DC52EE">
        <w:rPr>
          <w:i/>
          <w:sz w:val="20"/>
          <w:szCs w:val="20"/>
        </w:rPr>
        <w:t>,</w:t>
      </w:r>
      <w:r w:rsidR="00C15CD4" w:rsidRPr="00DC52EE">
        <w:rPr>
          <w:sz w:val="20"/>
          <w:szCs w:val="20"/>
        </w:rPr>
        <w:t xml:space="preserve"> 1996</w:t>
      </w:r>
      <w:r w:rsidR="00C15CD4" w:rsidRPr="00DC52EE">
        <w:rPr>
          <w:bCs/>
          <w:sz w:val="20"/>
          <w:szCs w:val="20"/>
        </w:rPr>
        <w:t>).</w:t>
      </w:r>
    </w:p>
    <w:p w:rsidR="00BB7760" w:rsidRPr="00DC52EE" w:rsidRDefault="00AC6C9E" w:rsidP="00BB7760">
      <w:pPr>
        <w:pStyle w:val="Heading2"/>
        <w:keepNext w:val="0"/>
        <w:keepLines w:val="0"/>
        <w:snapToGrid w:val="0"/>
        <w:spacing w:before="0" w:line="240" w:lineRule="auto"/>
        <w:jc w:val="both"/>
        <w:rPr>
          <w:rFonts w:ascii="Times New Roman" w:hAnsi="Times New Roman" w:cs="Times New Roman"/>
          <w:bCs w:val="0"/>
          <w:color w:val="auto"/>
          <w:sz w:val="20"/>
          <w:szCs w:val="20"/>
        </w:rPr>
      </w:pPr>
      <w:r w:rsidRPr="00DC52EE">
        <w:rPr>
          <w:rFonts w:ascii="Times New Roman" w:hAnsi="Times New Roman" w:cs="Times New Roman"/>
          <w:color w:val="auto"/>
          <w:sz w:val="20"/>
          <w:szCs w:val="20"/>
        </w:rPr>
        <w:t>2</w:t>
      </w:r>
      <w:r w:rsidR="00333303" w:rsidRPr="00DC52EE">
        <w:rPr>
          <w:rFonts w:ascii="Times New Roman" w:hAnsi="Times New Roman" w:cs="Times New Roman"/>
          <w:color w:val="auto"/>
          <w:sz w:val="20"/>
          <w:szCs w:val="20"/>
        </w:rPr>
        <w:t xml:space="preserve">.5.2. </w:t>
      </w:r>
      <w:r w:rsidR="0002487F" w:rsidRPr="00DC52EE">
        <w:rPr>
          <w:rFonts w:ascii="Times New Roman" w:hAnsi="Times New Roman" w:cs="Times New Roman"/>
          <w:bCs w:val="0"/>
          <w:color w:val="auto"/>
          <w:sz w:val="20"/>
          <w:szCs w:val="20"/>
        </w:rPr>
        <w:t xml:space="preserve">Coprological examination </w:t>
      </w:r>
    </w:p>
    <w:p w:rsidR="00BB7760" w:rsidRPr="00DC52EE" w:rsidRDefault="00903A07" w:rsidP="00BB7760">
      <w:pPr>
        <w:pStyle w:val="Heading2"/>
        <w:keepNext w:val="0"/>
        <w:keepLines w:val="0"/>
        <w:snapToGrid w:val="0"/>
        <w:spacing w:before="0" w:line="240" w:lineRule="auto"/>
        <w:ind w:firstLine="425"/>
        <w:jc w:val="both"/>
        <w:rPr>
          <w:rFonts w:ascii="Times New Roman" w:hAnsi="Times New Roman" w:cs="Times New Roman"/>
          <w:b w:val="0"/>
          <w:color w:val="auto"/>
          <w:sz w:val="20"/>
          <w:szCs w:val="20"/>
        </w:rPr>
      </w:pPr>
      <w:r w:rsidRPr="00DC52EE">
        <w:rPr>
          <w:rFonts w:ascii="Times New Roman" w:hAnsi="Times New Roman" w:cs="Times New Roman"/>
          <w:b w:val="0"/>
          <w:color w:val="auto"/>
          <w:sz w:val="20"/>
          <w:szCs w:val="20"/>
        </w:rPr>
        <w:t>F</w:t>
      </w:r>
      <w:r w:rsidR="00CA6918" w:rsidRPr="00DC52EE">
        <w:rPr>
          <w:rFonts w:ascii="Times New Roman" w:hAnsi="Times New Roman" w:cs="Times New Roman"/>
          <w:b w:val="0"/>
          <w:color w:val="auto"/>
          <w:sz w:val="20"/>
          <w:szCs w:val="20"/>
        </w:rPr>
        <w:t xml:space="preserve">rom each of the gastrointestinal tract fecal samples were taken directly from the </w:t>
      </w:r>
      <w:r w:rsidR="00640CBA" w:rsidRPr="00DC52EE">
        <w:rPr>
          <w:rFonts w:ascii="Times New Roman" w:hAnsi="Times New Roman" w:cs="Times New Roman"/>
          <w:b w:val="0"/>
          <w:color w:val="auto"/>
          <w:sz w:val="20"/>
          <w:szCs w:val="20"/>
        </w:rPr>
        <w:t>Abomasum</w:t>
      </w:r>
      <w:r w:rsidR="00CE2694" w:rsidRPr="00DC52EE">
        <w:rPr>
          <w:rFonts w:ascii="Times New Roman" w:hAnsi="Times New Roman" w:cs="Times New Roman"/>
          <w:b w:val="0"/>
          <w:color w:val="auto"/>
          <w:sz w:val="20"/>
          <w:szCs w:val="20"/>
        </w:rPr>
        <w:t>, Small and Large intestine</w:t>
      </w:r>
      <w:r w:rsidR="00CA6918" w:rsidRPr="00DC52EE">
        <w:rPr>
          <w:rFonts w:ascii="Times New Roman" w:hAnsi="Times New Roman" w:cs="Times New Roman"/>
          <w:b w:val="0"/>
          <w:color w:val="auto"/>
          <w:sz w:val="20"/>
          <w:szCs w:val="20"/>
        </w:rPr>
        <w:t xml:space="preserve"> and </w:t>
      </w:r>
      <w:r w:rsidR="00EB4069" w:rsidRPr="00DC52EE">
        <w:rPr>
          <w:rFonts w:ascii="Times New Roman" w:hAnsi="Times New Roman" w:cs="Times New Roman"/>
          <w:b w:val="0"/>
          <w:color w:val="auto"/>
          <w:sz w:val="20"/>
          <w:szCs w:val="20"/>
        </w:rPr>
        <w:t>the collected faecal samples</w:t>
      </w:r>
      <w:r w:rsidR="00CF5954" w:rsidRPr="00DC52EE">
        <w:rPr>
          <w:rFonts w:ascii="Times New Roman" w:hAnsi="Times New Roman" w:cs="Times New Roman"/>
          <w:b w:val="0"/>
          <w:color w:val="auto"/>
          <w:sz w:val="20"/>
          <w:szCs w:val="20"/>
        </w:rPr>
        <w:t xml:space="preserve"> were processed and examined by direct faecal</w:t>
      </w:r>
      <w:r w:rsidR="00D341B6" w:rsidRPr="00DC52EE">
        <w:rPr>
          <w:rFonts w:ascii="Times New Roman" w:hAnsi="Times New Roman" w:cs="Times New Roman"/>
          <w:b w:val="0"/>
          <w:color w:val="auto"/>
          <w:sz w:val="20"/>
          <w:szCs w:val="20"/>
        </w:rPr>
        <w:t xml:space="preserve"> smear</w:t>
      </w:r>
      <w:r w:rsidR="009D3EE4" w:rsidRPr="00DC52EE">
        <w:rPr>
          <w:rFonts w:ascii="Times New Roman" w:hAnsi="Times New Roman" w:cs="Times New Roman"/>
          <w:b w:val="0"/>
          <w:color w:val="auto"/>
          <w:sz w:val="20"/>
          <w:szCs w:val="20"/>
        </w:rPr>
        <w:t xml:space="preserve"> (Annex </w:t>
      </w:r>
      <w:r w:rsidR="00753DDA" w:rsidRPr="00DC52EE">
        <w:rPr>
          <w:rFonts w:ascii="Times New Roman" w:hAnsi="Times New Roman" w:cs="Times New Roman"/>
          <w:b w:val="0"/>
          <w:color w:val="auto"/>
          <w:sz w:val="20"/>
          <w:szCs w:val="20"/>
        </w:rPr>
        <w:t>1</w:t>
      </w:r>
      <w:r w:rsidR="00CA14D2" w:rsidRPr="00DC52EE">
        <w:rPr>
          <w:rFonts w:ascii="Times New Roman" w:hAnsi="Times New Roman" w:cs="Times New Roman"/>
          <w:b w:val="0"/>
          <w:color w:val="auto"/>
          <w:sz w:val="20"/>
          <w:szCs w:val="20"/>
        </w:rPr>
        <w:t>)</w:t>
      </w:r>
      <w:r w:rsidR="00A04808" w:rsidRPr="00DC52EE">
        <w:rPr>
          <w:rFonts w:ascii="Times New Roman" w:hAnsi="Times New Roman" w:cs="Times New Roman"/>
          <w:b w:val="0"/>
          <w:color w:val="auto"/>
          <w:sz w:val="20"/>
          <w:szCs w:val="20"/>
        </w:rPr>
        <w:t xml:space="preserve"> (Zajac and Conboy, </w:t>
      </w:r>
      <w:r w:rsidR="003201B2" w:rsidRPr="00DC52EE">
        <w:rPr>
          <w:rFonts w:ascii="Times New Roman" w:hAnsi="Times New Roman" w:cs="Times New Roman"/>
          <w:b w:val="0"/>
          <w:color w:val="auto"/>
          <w:sz w:val="20"/>
          <w:szCs w:val="20"/>
        </w:rPr>
        <w:t>2006)</w:t>
      </w:r>
      <w:r w:rsidR="003A1C3E" w:rsidRPr="00DC52EE">
        <w:rPr>
          <w:rFonts w:ascii="Times New Roman" w:hAnsi="Times New Roman" w:cs="Times New Roman"/>
          <w:b w:val="0"/>
          <w:color w:val="auto"/>
          <w:sz w:val="20"/>
          <w:szCs w:val="20"/>
        </w:rPr>
        <w:t xml:space="preserve">, </w:t>
      </w:r>
      <w:r w:rsidR="00CF5954" w:rsidRPr="00DC52EE">
        <w:rPr>
          <w:rFonts w:ascii="Times New Roman" w:hAnsi="Times New Roman" w:cs="Times New Roman"/>
          <w:b w:val="0"/>
          <w:color w:val="auto"/>
          <w:sz w:val="20"/>
          <w:szCs w:val="20"/>
        </w:rPr>
        <w:t>floatation</w:t>
      </w:r>
      <w:r w:rsidR="009D3EE4" w:rsidRPr="00DC52EE">
        <w:rPr>
          <w:rFonts w:ascii="Times New Roman" w:hAnsi="Times New Roman" w:cs="Times New Roman"/>
          <w:b w:val="0"/>
          <w:color w:val="auto"/>
          <w:sz w:val="20"/>
          <w:szCs w:val="20"/>
        </w:rPr>
        <w:t xml:space="preserve"> (Annex </w:t>
      </w:r>
      <w:r w:rsidR="00753DDA" w:rsidRPr="00DC52EE">
        <w:rPr>
          <w:rFonts w:ascii="Times New Roman" w:hAnsi="Times New Roman" w:cs="Times New Roman"/>
          <w:b w:val="0"/>
          <w:color w:val="auto"/>
          <w:sz w:val="20"/>
          <w:szCs w:val="20"/>
        </w:rPr>
        <w:t>2</w:t>
      </w:r>
      <w:r w:rsidR="00CA14D2" w:rsidRPr="00DC52EE">
        <w:rPr>
          <w:rFonts w:ascii="Times New Roman" w:hAnsi="Times New Roman" w:cs="Times New Roman"/>
          <w:b w:val="0"/>
          <w:color w:val="auto"/>
          <w:sz w:val="20"/>
          <w:szCs w:val="20"/>
        </w:rPr>
        <w:t>)</w:t>
      </w:r>
      <w:r w:rsidR="003201B2" w:rsidRPr="00DC52EE">
        <w:rPr>
          <w:rFonts w:ascii="Times New Roman" w:hAnsi="Times New Roman" w:cs="Times New Roman"/>
          <w:sz w:val="20"/>
          <w:szCs w:val="20"/>
        </w:rPr>
        <w:t xml:space="preserve"> </w:t>
      </w:r>
      <w:r w:rsidR="003201B2" w:rsidRPr="00DC52EE">
        <w:rPr>
          <w:rFonts w:ascii="Times New Roman" w:hAnsi="Times New Roman" w:cs="Times New Roman"/>
          <w:b w:val="0"/>
          <w:color w:val="auto"/>
          <w:sz w:val="20"/>
          <w:szCs w:val="20"/>
        </w:rPr>
        <w:t>(</w:t>
      </w:r>
      <w:r w:rsidR="00640CBA" w:rsidRPr="00DC52EE">
        <w:rPr>
          <w:rFonts w:ascii="Times New Roman" w:hAnsi="Times New Roman" w:cs="Times New Roman"/>
          <w:b w:val="0"/>
          <w:color w:val="auto"/>
          <w:sz w:val="20"/>
          <w:szCs w:val="20"/>
        </w:rPr>
        <w:t>Hansen and P</w:t>
      </w:r>
      <w:r w:rsidR="003A1C3E" w:rsidRPr="00DC52EE">
        <w:rPr>
          <w:rFonts w:ascii="Times New Roman" w:hAnsi="Times New Roman" w:cs="Times New Roman"/>
          <w:b w:val="0"/>
          <w:color w:val="auto"/>
          <w:sz w:val="20"/>
          <w:szCs w:val="20"/>
        </w:rPr>
        <w:t>erry,</w:t>
      </w:r>
      <w:r w:rsidR="00640CBA" w:rsidRPr="00DC52EE">
        <w:rPr>
          <w:rFonts w:ascii="Times New Roman" w:hAnsi="Times New Roman" w:cs="Times New Roman"/>
          <w:b w:val="0"/>
          <w:color w:val="auto"/>
          <w:sz w:val="20"/>
          <w:szCs w:val="20"/>
        </w:rPr>
        <w:t xml:space="preserve"> </w:t>
      </w:r>
      <w:r w:rsidR="003201B2" w:rsidRPr="00DC52EE">
        <w:rPr>
          <w:rFonts w:ascii="Times New Roman" w:hAnsi="Times New Roman" w:cs="Times New Roman"/>
          <w:b w:val="0"/>
          <w:color w:val="auto"/>
          <w:sz w:val="20"/>
          <w:szCs w:val="20"/>
        </w:rPr>
        <w:t>1994)</w:t>
      </w:r>
      <w:r w:rsidR="003201B2" w:rsidRPr="00DC52EE">
        <w:rPr>
          <w:rFonts w:ascii="Times New Roman" w:hAnsi="Times New Roman" w:cs="Times New Roman"/>
          <w:b w:val="0"/>
          <w:sz w:val="20"/>
          <w:szCs w:val="20"/>
        </w:rPr>
        <w:t>.</w:t>
      </w:r>
      <w:r w:rsidR="00D341B6" w:rsidRPr="00DC52EE">
        <w:rPr>
          <w:rFonts w:ascii="Times New Roman" w:hAnsi="Times New Roman" w:cs="Times New Roman"/>
          <w:b w:val="0"/>
          <w:color w:val="auto"/>
          <w:sz w:val="20"/>
          <w:szCs w:val="20"/>
        </w:rPr>
        <w:t xml:space="preserve">and sedimentation </w:t>
      </w:r>
      <w:r w:rsidR="00CF5954" w:rsidRPr="00DC52EE">
        <w:rPr>
          <w:rFonts w:ascii="Times New Roman" w:hAnsi="Times New Roman" w:cs="Times New Roman"/>
          <w:b w:val="0"/>
          <w:color w:val="auto"/>
          <w:sz w:val="20"/>
          <w:szCs w:val="20"/>
        </w:rPr>
        <w:t>technique</w:t>
      </w:r>
      <w:r w:rsidR="006F0A04" w:rsidRPr="00DC52EE">
        <w:rPr>
          <w:rFonts w:ascii="Times New Roman" w:hAnsi="Times New Roman" w:cs="Times New Roman"/>
          <w:b w:val="0"/>
          <w:color w:val="auto"/>
          <w:sz w:val="20"/>
          <w:szCs w:val="20"/>
        </w:rPr>
        <w:t>s</w:t>
      </w:r>
      <w:r w:rsidR="009D3EE4" w:rsidRPr="00DC52EE">
        <w:rPr>
          <w:rFonts w:ascii="Times New Roman" w:hAnsi="Times New Roman" w:cs="Times New Roman"/>
          <w:b w:val="0"/>
          <w:color w:val="auto"/>
          <w:sz w:val="20"/>
          <w:szCs w:val="20"/>
        </w:rPr>
        <w:t xml:space="preserve"> (Annex </w:t>
      </w:r>
      <w:r w:rsidR="00753DDA" w:rsidRPr="00DC52EE">
        <w:rPr>
          <w:rFonts w:ascii="Times New Roman" w:hAnsi="Times New Roman" w:cs="Times New Roman"/>
          <w:b w:val="0"/>
          <w:color w:val="auto"/>
          <w:sz w:val="20"/>
          <w:szCs w:val="20"/>
        </w:rPr>
        <w:t>3</w:t>
      </w:r>
      <w:r w:rsidR="00CA14D2" w:rsidRPr="00DC52EE">
        <w:rPr>
          <w:rFonts w:ascii="Times New Roman" w:hAnsi="Times New Roman" w:cs="Times New Roman"/>
          <w:b w:val="0"/>
          <w:color w:val="auto"/>
          <w:sz w:val="20"/>
          <w:szCs w:val="20"/>
        </w:rPr>
        <w:t>)</w:t>
      </w:r>
      <w:r w:rsidR="003A1C3E" w:rsidRPr="00DC52EE">
        <w:rPr>
          <w:rFonts w:ascii="Times New Roman" w:hAnsi="Times New Roman" w:cs="Times New Roman"/>
          <w:b w:val="0"/>
          <w:color w:val="auto"/>
          <w:sz w:val="20"/>
          <w:szCs w:val="20"/>
        </w:rPr>
        <w:t xml:space="preserve"> (</w:t>
      </w:r>
      <w:r w:rsidR="003D037D" w:rsidRPr="00DC52EE">
        <w:rPr>
          <w:rFonts w:ascii="Times New Roman" w:hAnsi="Times New Roman" w:cs="Times New Roman"/>
          <w:b w:val="0"/>
          <w:color w:val="auto"/>
          <w:sz w:val="20"/>
          <w:szCs w:val="20"/>
        </w:rPr>
        <w:t>Hansen and P</w:t>
      </w:r>
      <w:r w:rsidR="003A1C3E" w:rsidRPr="00DC52EE">
        <w:rPr>
          <w:rFonts w:ascii="Times New Roman" w:hAnsi="Times New Roman" w:cs="Times New Roman"/>
          <w:b w:val="0"/>
          <w:color w:val="auto"/>
          <w:sz w:val="20"/>
          <w:szCs w:val="20"/>
        </w:rPr>
        <w:t>erry,</w:t>
      </w:r>
      <w:r w:rsidR="003D037D" w:rsidRPr="00DC52EE">
        <w:rPr>
          <w:rFonts w:ascii="Times New Roman" w:hAnsi="Times New Roman" w:cs="Times New Roman"/>
          <w:b w:val="0"/>
          <w:color w:val="auto"/>
          <w:sz w:val="20"/>
          <w:szCs w:val="20"/>
        </w:rPr>
        <w:t xml:space="preserve"> </w:t>
      </w:r>
      <w:r w:rsidR="003A1C3E" w:rsidRPr="00DC52EE">
        <w:rPr>
          <w:rFonts w:ascii="Times New Roman" w:hAnsi="Times New Roman" w:cs="Times New Roman"/>
          <w:b w:val="0"/>
          <w:color w:val="auto"/>
          <w:sz w:val="20"/>
          <w:szCs w:val="20"/>
        </w:rPr>
        <w:t>1994)</w:t>
      </w:r>
      <w:r w:rsidR="00A35676" w:rsidRPr="00DC52EE">
        <w:rPr>
          <w:rFonts w:ascii="Times New Roman" w:hAnsi="Times New Roman" w:cs="Times New Roman"/>
          <w:b w:val="0"/>
          <w:color w:val="auto"/>
          <w:sz w:val="20"/>
          <w:szCs w:val="20"/>
        </w:rPr>
        <w:t xml:space="preserve">, </w:t>
      </w:r>
      <w:r w:rsidR="00CF5954" w:rsidRPr="00DC52EE">
        <w:rPr>
          <w:rFonts w:ascii="Times New Roman" w:hAnsi="Times New Roman" w:cs="Times New Roman"/>
          <w:b w:val="0"/>
          <w:color w:val="auto"/>
          <w:sz w:val="20"/>
          <w:szCs w:val="20"/>
        </w:rPr>
        <w:t>for q</w:t>
      </w:r>
      <w:r w:rsidR="00CA14D2" w:rsidRPr="00DC52EE">
        <w:rPr>
          <w:rFonts w:ascii="Times New Roman" w:hAnsi="Times New Roman" w:cs="Times New Roman"/>
          <w:b w:val="0"/>
          <w:color w:val="auto"/>
          <w:sz w:val="20"/>
          <w:szCs w:val="20"/>
        </w:rPr>
        <w:t xml:space="preserve">ualitative investigation </w:t>
      </w:r>
      <w:r w:rsidR="00CF5954" w:rsidRPr="00DC52EE">
        <w:rPr>
          <w:rFonts w:ascii="Times New Roman" w:hAnsi="Times New Roman" w:cs="Times New Roman"/>
          <w:b w:val="0"/>
          <w:color w:val="auto"/>
          <w:sz w:val="20"/>
          <w:szCs w:val="20"/>
        </w:rPr>
        <w:t>of gastro-intestin</w:t>
      </w:r>
      <w:r w:rsidR="00D341B6" w:rsidRPr="00DC52EE">
        <w:rPr>
          <w:rFonts w:ascii="Times New Roman" w:hAnsi="Times New Roman" w:cs="Times New Roman"/>
          <w:b w:val="0"/>
          <w:color w:val="auto"/>
          <w:sz w:val="20"/>
          <w:szCs w:val="20"/>
        </w:rPr>
        <w:t xml:space="preserve">al helminthic </w:t>
      </w:r>
      <w:r w:rsidR="00CF5954" w:rsidRPr="00DC52EE">
        <w:rPr>
          <w:rFonts w:ascii="Times New Roman" w:hAnsi="Times New Roman" w:cs="Times New Roman"/>
          <w:b w:val="0"/>
          <w:color w:val="auto"/>
          <w:sz w:val="20"/>
          <w:szCs w:val="20"/>
        </w:rPr>
        <w:t>eggs</w:t>
      </w:r>
      <w:r w:rsidR="00A04C43" w:rsidRPr="00DC52EE">
        <w:rPr>
          <w:rFonts w:ascii="Times New Roman" w:hAnsi="Times New Roman" w:cs="Times New Roman"/>
          <w:b w:val="0"/>
          <w:color w:val="auto"/>
          <w:sz w:val="20"/>
          <w:szCs w:val="20"/>
        </w:rPr>
        <w:t xml:space="preserve"> and</w:t>
      </w:r>
      <w:r w:rsidR="003A1C3E" w:rsidRPr="00DC52EE">
        <w:rPr>
          <w:rFonts w:ascii="Times New Roman" w:hAnsi="Times New Roman" w:cs="Times New Roman"/>
          <w:b w:val="0"/>
          <w:color w:val="auto"/>
          <w:sz w:val="20"/>
          <w:szCs w:val="20"/>
        </w:rPr>
        <w:t xml:space="preserve"> </w:t>
      </w:r>
      <w:r w:rsidR="00A04C43" w:rsidRPr="00DC52EE">
        <w:rPr>
          <w:rFonts w:ascii="Times New Roman" w:hAnsi="Times New Roman" w:cs="Times New Roman"/>
          <w:b w:val="0"/>
          <w:color w:val="auto"/>
          <w:sz w:val="20"/>
          <w:szCs w:val="20"/>
        </w:rPr>
        <w:t>oocyst</w:t>
      </w:r>
      <w:r w:rsidR="00CA14D2" w:rsidRPr="00DC52EE">
        <w:rPr>
          <w:rFonts w:ascii="Times New Roman" w:hAnsi="Times New Roman" w:cs="Times New Roman"/>
          <w:b w:val="0"/>
          <w:color w:val="auto"/>
          <w:sz w:val="20"/>
          <w:szCs w:val="20"/>
        </w:rPr>
        <w:t xml:space="preserve"> following the standard procedures</w:t>
      </w:r>
      <w:r w:rsidR="00CF5954" w:rsidRPr="00DC52EE">
        <w:rPr>
          <w:rFonts w:ascii="Times New Roman" w:hAnsi="Times New Roman" w:cs="Times New Roman"/>
          <w:b w:val="0"/>
          <w:color w:val="auto"/>
          <w:sz w:val="20"/>
          <w:szCs w:val="20"/>
        </w:rPr>
        <w:t>.</w:t>
      </w:r>
      <w:r w:rsidR="003A1C3E" w:rsidRPr="00DC52EE">
        <w:rPr>
          <w:rFonts w:ascii="Times New Roman" w:hAnsi="Times New Roman" w:cs="Times New Roman"/>
          <w:b w:val="0"/>
          <w:color w:val="auto"/>
          <w:sz w:val="20"/>
          <w:szCs w:val="20"/>
        </w:rPr>
        <w:t xml:space="preserve"> </w:t>
      </w:r>
      <w:r w:rsidR="00FC4404" w:rsidRPr="00DC52EE">
        <w:rPr>
          <w:rFonts w:ascii="Times New Roman" w:hAnsi="Times New Roman" w:cs="Times New Roman"/>
          <w:b w:val="0"/>
          <w:color w:val="auto"/>
          <w:sz w:val="20"/>
          <w:szCs w:val="20"/>
        </w:rPr>
        <w:t xml:space="preserve">Eggs of the different parasites were identified on the basis of their morphological appearance and size (Foreit, 1999). </w:t>
      </w:r>
      <w:r w:rsidR="00707424" w:rsidRPr="00DC52EE">
        <w:rPr>
          <w:rFonts w:ascii="Times New Roman" w:hAnsi="Times New Roman" w:cs="Times New Roman"/>
          <w:b w:val="0"/>
          <w:color w:val="auto"/>
          <w:sz w:val="20"/>
          <w:szCs w:val="20"/>
        </w:rPr>
        <w:t>In this study, t</w:t>
      </w:r>
      <w:r w:rsidR="002D05ED" w:rsidRPr="00DC52EE">
        <w:rPr>
          <w:rFonts w:ascii="Times New Roman" w:hAnsi="Times New Roman" w:cs="Times New Roman"/>
          <w:b w:val="0"/>
          <w:color w:val="auto"/>
          <w:sz w:val="20"/>
          <w:szCs w:val="20"/>
        </w:rPr>
        <w:t>he floatation solution used was saturated solu</w:t>
      </w:r>
      <w:r w:rsidR="009D3EE4" w:rsidRPr="00DC52EE">
        <w:rPr>
          <w:rFonts w:ascii="Times New Roman" w:hAnsi="Times New Roman" w:cs="Times New Roman"/>
          <w:b w:val="0"/>
          <w:color w:val="auto"/>
          <w:sz w:val="20"/>
          <w:szCs w:val="20"/>
        </w:rPr>
        <w:t>tion of sodium chloride (Annex 6</w:t>
      </w:r>
      <w:r w:rsidR="002D05ED" w:rsidRPr="00DC52EE">
        <w:rPr>
          <w:rFonts w:ascii="Times New Roman" w:hAnsi="Times New Roman" w:cs="Times New Roman"/>
          <w:b w:val="0"/>
          <w:color w:val="auto"/>
          <w:sz w:val="20"/>
          <w:szCs w:val="20"/>
        </w:rPr>
        <w:t>)</w:t>
      </w:r>
      <w:r w:rsidR="001C6B98" w:rsidRPr="00DC52EE">
        <w:rPr>
          <w:rFonts w:ascii="Times New Roman" w:hAnsi="Times New Roman" w:cs="Times New Roman"/>
          <w:b w:val="0"/>
          <w:color w:val="auto"/>
          <w:sz w:val="20"/>
          <w:szCs w:val="20"/>
        </w:rPr>
        <w:t xml:space="preserve"> (Urquhart </w:t>
      </w:r>
      <w:r w:rsidR="001C6B98" w:rsidRPr="00DC52EE">
        <w:rPr>
          <w:rFonts w:ascii="Times New Roman" w:hAnsi="Times New Roman" w:cs="Times New Roman"/>
          <w:b w:val="0"/>
          <w:i/>
          <w:color w:val="auto"/>
          <w:sz w:val="20"/>
          <w:szCs w:val="20"/>
        </w:rPr>
        <w:t>et al</w:t>
      </w:r>
      <w:r w:rsidR="001C6B98" w:rsidRPr="00DC52EE">
        <w:rPr>
          <w:rFonts w:ascii="Times New Roman" w:hAnsi="Times New Roman" w:cs="Times New Roman"/>
          <w:b w:val="0"/>
          <w:color w:val="auto"/>
          <w:sz w:val="20"/>
          <w:szCs w:val="20"/>
        </w:rPr>
        <w:t xml:space="preserve">., </w:t>
      </w:r>
      <w:r w:rsidR="008402C4" w:rsidRPr="00DC52EE">
        <w:rPr>
          <w:rFonts w:ascii="Times New Roman" w:hAnsi="Times New Roman" w:cs="Times New Roman"/>
          <w:b w:val="0"/>
          <w:color w:val="auto"/>
          <w:sz w:val="20"/>
          <w:szCs w:val="20"/>
        </w:rPr>
        <w:t>1996</w:t>
      </w:r>
      <w:r w:rsidR="001C6B98" w:rsidRPr="00DC52EE">
        <w:rPr>
          <w:rFonts w:ascii="Times New Roman" w:hAnsi="Times New Roman" w:cs="Times New Roman"/>
          <w:b w:val="0"/>
          <w:color w:val="auto"/>
          <w:sz w:val="20"/>
          <w:szCs w:val="20"/>
        </w:rPr>
        <w:t>)</w:t>
      </w:r>
      <w:r w:rsidR="001F47A0" w:rsidRPr="00DC52EE">
        <w:rPr>
          <w:rFonts w:ascii="Times New Roman" w:hAnsi="Times New Roman" w:cs="Times New Roman"/>
          <w:b w:val="0"/>
          <w:color w:val="auto"/>
          <w:sz w:val="20"/>
          <w:szCs w:val="20"/>
        </w:rPr>
        <w:t>.</w:t>
      </w:r>
    </w:p>
    <w:p w:rsidR="00BB7760" w:rsidRPr="00DC52EE" w:rsidRDefault="00B43322" w:rsidP="00BB7760">
      <w:pPr>
        <w:pStyle w:val="Heading1"/>
        <w:numPr>
          <w:ilvl w:val="1"/>
          <w:numId w:val="18"/>
        </w:numPr>
        <w:snapToGrid w:val="0"/>
        <w:spacing w:before="0" w:beforeAutospacing="0" w:after="0" w:afterAutospacing="0"/>
        <w:ind w:left="0" w:firstLine="0"/>
        <w:jc w:val="both"/>
        <w:rPr>
          <w:kern w:val="0"/>
          <w:sz w:val="20"/>
          <w:szCs w:val="20"/>
        </w:rPr>
      </w:pPr>
      <w:r w:rsidRPr="00DC52EE">
        <w:rPr>
          <w:kern w:val="0"/>
          <w:sz w:val="20"/>
          <w:szCs w:val="20"/>
        </w:rPr>
        <w:t xml:space="preserve">Data </w:t>
      </w:r>
      <w:r w:rsidR="00952783" w:rsidRPr="00DC52EE">
        <w:rPr>
          <w:kern w:val="0"/>
          <w:sz w:val="20"/>
          <w:szCs w:val="20"/>
        </w:rPr>
        <w:t>Analysis</w:t>
      </w:r>
    </w:p>
    <w:p w:rsidR="00D77014" w:rsidRPr="00DC52EE" w:rsidRDefault="00903A07" w:rsidP="00BB7760">
      <w:pPr>
        <w:pStyle w:val="Heading1"/>
        <w:snapToGrid w:val="0"/>
        <w:spacing w:before="0" w:beforeAutospacing="0" w:after="0" w:afterAutospacing="0"/>
        <w:ind w:firstLine="425"/>
        <w:jc w:val="both"/>
        <w:rPr>
          <w:b w:val="0"/>
          <w:kern w:val="0"/>
          <w:sz w:val="20"/>
          <w:szCs w:val="20"/>
        </w:rPr>
      </w:pPr>
      <w:r w:rsidRPr="00DC52EE">
        <w:rPr>
          <w:b w:val="0"/>
          <w:kern w:val="0"/>
          <w:sz w:val="20"/>
          <w:szCs w:val="20"/>
        </w:rPr>
        <w:t>A</w:t>
      </w:r>
      <w:r w:rsidR="00FE5BB3" w:rsidRPr="00DC52EE">
        <w:rPr>
          <w:b w:val="0"/>
          <w:kern w:val="0"/>
          <w:sz w:val="20"/>
          <w:szCs w:val="20"/>
        </w:rPr>
        <w:t xml:space="preserve">ll the data </w:t>
      </w:r>
      <w:r w:rsidR="00FE5BB3" w:rsidRPr="00DC52EE">
        <w:rPr>
          <w:rFonts w:eastAsia="Calibri"/>
          <w:b w:val="0"/>
          <w:kern w:val="0"/>
          <w:sz w:val="20"/>
          <w:szCs w:val="20"/>
        </w:rPr>
        <w:t>entry and management was made using Microsoft Excel</w:t>
      </w:r>
      <w:r w:rsidR="00FE5BB3" w:rsidRPr="00DC52EE">
        <w:rPr>
          <w:b w:val="0"/>
          <w:kern w:val="0"/>
          <w:sz w:val="20"/>
          <w:szCs w:val="20"/>
        </w:rPr>
        <w:t xml:space="preserve"> sheets</w:t>
      </w:r>
      <w:r w:rsidR="00FE5BB3" w:rsidRPr="00DC52EE">
        <w:rPr>
          <w:rFonts w:eastAsia="Calibri"/>
          <w:b w:val="0"/>
          <w:kern w:val="0"/>
          <w:sz w:val="20"/>
          <w:szCs w:val="20"/>
        </w:rPr>
        <w:t xml:space="preserve">. Data analysis was made </w:t>
      </w:r>
      <w:r w:rsidR="00FE5BB3" w:rsidRPr="00DC52EE">
        <w:rPr>
          <w:rFonts w:eastAsia="Calibri"/>
          <w:b w:val="0"/>
          <w:kern w:val="0"/>
          <w:sz w:val="20"/>
          <w:szCs w:val="20"/>
        </w:rPr>
        <w:lastRenderedPageBreak/>
        <w:t xml:space="preserve">using </w:t>
      </w:r>
      <w:r w:rsidR="00FE5BB3" w:rsidRPr="00DC52EE">
        <w:rPr>
          <w:b w:val="0"/>
          <w:kern w:val="0"/>
          <w:sz w:val="20"/>
          <w:szCs w:val="20"/>
        </w:rPr>
        <w:t xml:space="preserve">Statistical Package for Social Science (SPSS) version 20. </w:t>
      </w:r>
      <w:r w:rsidR="00952783" w:rsidRPr="00DC52EE">
        <w:rPr>
          <w:b w:val="0"/>
          <w:kern w:val="0"/>
          <w:sz w:val="20"/>
          <w:szCs w:val="20"/>
        </w:rPr>
        <w:t xml:space="preserve">Descriptive statistics </w:t>
      </w:r>
      <w:r w:rsidR="00E30E3A" w:rsidRPr="00DC52EE">
        <w:rPr>
          <w:b w:val="0"/>
          <w:kern w:val="0"/>
          <w:sz w:val="20"/>
          <w:szCs w:val="20"/>
        </w:rPr>
        <w:t>was</w:t>
      </w:r>
      <w:r w:rsidR="00952783" w:rsidRPr="00DC52EE">
        <w:rPr>
          <w:b w:val="0"/>
          <w:kern w:val="0"/>
          <w:sz w:val="20"/>
          <w:szCs w:val="20"/>
        </w:rPr>
        <w:t xml:space="preserve"> used to determine the prevalence of the parasites and Chi-square test (χ2) </w:t>
      </w:r>
      <w:r w:rsidR="00E30E3A" w:rsidRPr="00DC52EE">
        <w:rPr>
          <w:b w:val="0"/>
          <w:kern w:val="0"/>
          <w:sz w:val="20"/>
          <w:szCs w:val="20"/>
        </w:rPr>
        <w:t>was</w:t>
      </w:r>
      <w:r w:rsidR="00952783" w:rsidRPr="00DC52EE">
        <w:rPr>
          <w:b w:val="0"/>
          <w:kern w:val="0"/>
          <w:sz w:val="20"/>
          <w:szCs w:val="20"/>
        </w:rPr>
        <w:t xml:space="preserve"> used to</w:t>
      </w:r>
      <w:r w:rsidR="006F0A04" w:rsidRPr="00DC52EE">
        <w:rPr>
          <w:b w:val="0"/>
          <w:kern w:val="0"/>
          <w:sz w:val="20"/>
          <w:szCs w:val="20"/>
        </w:rPr>
        <w:t xml:space="preserve"> determine any association between the prevalence of GIT parasites with </w:t>
      </w:r>
      <w:r w:rsidR="0085451C" w:rsidRPr="00DC52EE">
        <w:rPr>
          <w:b w:val="0"/>
          <w:kern w:val="0"/>
          <w:sz w:val="20"/>
          <w:szCs w:val="20"/>
        </w:rPr>
        <w:t>age</w:t>
      </w:r>
      <w:r w:rsidR="008E274E" w:rsidRPr="00DC52EE">
        <w:rPr>
          <w:b w:val="0"/>
          <w:kern w:val="0"/>
          <w:sz w:val="20"/>
          <w:szCs w:val="20"/>
        </w:rPr>
        <w:t>, sex and species of animals</w:t>
      </w:r>
      <w:r w:rsidR="006F0A04" w:rsidRPr="00DC52EE">
        <w:rPr>
          <w:b w:val="0"/>
          <w:kern w:val="0"/>
          <w:sz w:val="20"/>
          <w:szCs w:val="20"/>
        </w:rPr>
        <w:t>.</w:t>
      </w:r>
      <w:r w:rsidR="00952783" w:rsidRPr="00DC52EE">
        <w:rPr>
          <w:b w:val="0"/>
          <w:kern w:val="0"/>
          <w:sz w:val="20"/>
          <w:szCs w:val="20"/>
        </w:rPr>
        <w:t xml:space="preserve"> In all the analyses, confidence level </w:t>
      </w:r>
      <w:r w:rsidR="00E30E3A" w:rsidRPr="00DC52EE">
        <w:rPr>
          <w:b w:val="0"/>
          <w:kern w:val="0"/>
          <w:sz w:val="20"/>
          <w:szCs w:val="20"/>
        </w:rPr>
        <w:t>was</w:t>
      </w:r>
      <w:r w:rsidR="00952783" w:rsidRPr="00DC52EE">
        <w:rPr>
          <w:b w:val="0"/>
          <w:kern w:val="0"/>
          <w:sz w:val="20"/>
          <w:szCs w:val="20"/>
        </w:rPr>
        <w:t xml:space="preserve"> held at 95% and P&lt;0.05 </w:t>
      </w:r>
      <w:r w:rsidR="00E30E3A" w:rsidRPr="00DC52EE">
        <w:rPr>
          <w:b w:val="0"/>
          <w:kern w:val="0"/>
          <w:sz w:val="20"/>
          <w:szCs w:val="20"/>
        </w:rPr>
        <w:t>was</w:t>
      </w:r>
      <w:r w:rsidR="00A11265" w:rsidRPr="00DC52EE">
        <w:rPr>
          <w:b w:val="0"/>
          <w:kern w:val="0"/>
          <w:sz w:val="20"/>
          <w:szCs w:val="20"/>
        </w:rPr>
        <w:t xml:space="preserve"> set for significance.</w:t>
      </w:r>
    </w:p>
    <w:p w:rsidR="00AB606C" w:rsidRPr="00DC52EE" w:rsidRDefault="00AB606C" w:rsidP="00BB7760">
      <w:pPr>
        <w:pStyle w:val="Heading1"/>
        <w:snapToGrid w:val="0"/>
        <w:spacing w:before="0" w:beforeAutospacing="0" w:after="0" w:afterAutospacing="0"/>
        <w:jc w:val="both"/>
        <w:rPr>
          <w:kern w:val="0"/>
          <w:sz w:val="20"/>
          <w:szCs w:val="20"/>
        </w:rPr>
      </w:pPr>
    </w:p>
    <w:p w:rsidR="00903A07" w:rsidRPr="00DC52EE" w:rsidRDefault="00F95165" w:rsidP="00BB7760">
      <w:pPr>
        <w:pStyle w:val="Heading1"/>
        <w:snapToGrid w:val="0"/>
        <w:spacing w:before="0" w:beforeAutospacing="0" w:after="0" w:afterAutospacing="0"/>
        <w:jc w:val="both"/>
        <w:rPr>
          <w:kern w:val="0"/>
          <w:sz w:val="20"/>
          <w:szCs w:val="20"/>
        </w:rPr>
      </w:pPr>
      <w:r w:rsidRPr="00DC52EE">
        <w:rPr>
          <w:bCs w:val="0"/>
          <w:kern w:val="0"/>
          <w:sz w:val="20"/>
          <w:szCs w:val="20"/>
        </w:rPr>
        <w:t>3</w:t>
      </w:r>
      <w:r w:rsidR="00AB606C" w:rsidRPr="00DC52EE">
        <w:rPr>
          <w:bCs w:val="0"/>
          <w:kern w:val="0"/>
          <w:sz w:val="20"/>
          <w:szCs w:val="20"/>
        </w:rPr>
        <w:t>.</w:t>
      </w:r>
      <w:r w:rsidR="00282AE4" w:rsidRPr="00DC52EE">
        <w:rPr>
          <w:bCs w:val="0"/>
          <w:kern w:val="0"/>
          <w:sz w:val="20"/>
          <w:szCs w:val="20"/>
        </w:rPr>
        <w:t xml:space="preserve"> </w:t>
      </w:r>
      <w:r w:rsidR="00903B0C" w:rsidRPr="00DC52EE">
        <w:rPr>
          <w:bCs w:val="0"/>
          <w:kern w:val="0"/>
          <w:sz w:val="20"/>
          <w:szCs w:val="20"/>
        </w:rPr>
        <w:t>R</w:t>
      </w:r>
      <w:r w:rsidRPr="00DC52EE">
        <w:rPr>
          <w:bCs w:val="0"/>
          <w:kern w:val="0"/>
          <w:sz w:val="20"/>
          <w:szCs w:val="20"/>
        </w:rPr>
        <w:t>esults</w:t>
      </w:r>
    </w:p>
    <w:p w:rsidR="00903B0C" w:rsidRPr="00DC52EE" w:rsidRDefault="00903A07" w:rsidP="00BB7760">
      <w:pPr>
        <w:pStyle w:val="Heading1"/>
        <w:snapToGrid w:val="0"/>
        <w:spacing w:before="0" w:beforeAutospacing="0" w:after="0" w:afterAutospacing="0"/>
        <w:ind w:firstLine="425"/>
        <w:jc w:val="both"/>
        <w:rPr>
          <w:kern w:val="0"/>
          <w:sz w:val="20"/>
          <w:szCs w:val="20"/>
        </w:rPr>
      </w:pPr>
      <w:r w:rsidRPr="00DC52EE">
        <w:rPr>
          <w:b w:val="0"/>
          <w:kern w:val="0"/>
          <w:sz w:val="20"/>
          <w:szCs w:val="20"/>
        </w:rPr>
        <w:t>F</w:t>
      </w:r>
      <w:r w:rsidR="00282AE4" w:rsidRPr="00DC52EE">
        <w:rPr>
          <w:b w:val="0"/>
          <w:kern w:val="0"/>
          <w:sz w:val="20"/>
          <w:szCs w:val="20"/>
        </w:rPr>
        <w:t>rom a total of 384 animals (244 sheep and 1</w:t>
      </w:r>
      <w:r w:rsidR="00903B0C" w:rsidRPr="00DC52EE">
        <w:rPr>
          <w:b w:val="0"/>
          <w:kern w:val="0"/>
          <w:sz w:val="20"/>
          <w:szCs w:val="20"/>
        </w:rPr>
        <w:t>4</w:t>
      </w:r>
      <w:r w:rsidR="00282AE4" w:rsidRPr="00DC52EE">
        <w:rPr>
          <w:b w:val="0"/>
          <w:kern w:val="0"/>
          <w:sz w:val="20"/>
          <w:szCs w:val="20"/>
        </w:rPr>
        <w:t>0</w:t>
      </w:r>
      <w:r w:rsidR="00903B0C" w:rsidRPr="00DC52EE">
        <w:rPr>
          <w:b w:val="0"/>
          <w:kern w:val="0"/>
          <w:sz w:val="20"/>
          <w:szCs w:val="20"/>
        </w:rPr>
        <w:t xml:space="preserve"> goa</w:t>
      </w:r>
      <w:r w:rsidR="00167D21" w:rsidRPr="00DC52EE">
        <w:rPr>
          <w:b w:val="0"/>
          <w:kern w:val="0"/>
          <w:sz w:val="20"/>
          <w:szCs w:val="20"/>
        </w:rPr>
        <w:t>ts) examined, overall of 261 (67.9</w:t>
      </w:r>
      <w:r w:rsidR="00903B0C" w:rsidRPr="00DC52EE">
        <w:rPr>
          <w:b w:val="0"/>
          <w:kern w:val="0"/>
          <w:sz w:val="20"/>
          <w:szCs w:val="20"/>
        </w:rPr>
        <w:t>%) individual animals were harboring one or more GIT parasites. The study comprised species, sex and age of animals as a major risk factors those play</w:t>
      </w:r>
      <w:r w:rsidR="003438FD" w:rsidRPr="00DC52EE">
        <w:rPr>
          <w:b w:val="0"/>
          <w:kern w:val="0"/>
          <w:sz w:val="20"/>
          <w:szCs w:val="20"/>
        </w:rPr>
        <w:t xml:space="preserve"> a role for the existence of GIT</w:t>
      </w:r>
      <w:r w:rsidR="00903B0C" w:rsidRPr="00DC52EE">
        <w:rPr>
          <w:b w:val="0"/>
          <w:kern w:val="0"/>
          <w:sz w:val="20"/>
          <w:szCs w:val="20"/>
        </w:rPr>
        <w:t xml:space="preserve"> parasites in the study area (Table 1).</w:t>
      </w:r>
    </w:p>
    <w:p w:rsidR="00376B50" w:rsidRPr="00DC52EE" w:rsidRDefault="00F95165" w:rsidP="00BB7760">
      <w:pPr>
        <w:pStyle w:val="Heading1"/>
        <w:snapToGrid w:val="0"/>
        <w:spacing w:before="0" w:beforeAutospacing="0" w:after="0" w:afterAutospacing="0"/>
        <w:jc w:val="both"/>
        <w:rPr>
          <w:kern w:val="0"/>
          <w:sz w:val="20"/>
          <w:szCs w:val="20"/>
        </w:rPr>
      </w:pPr>
      <w:r w:rsidRPr="00DC52EE">
        <w:rPr>
          <w:kern w:val="0"/>
          <w:sz w:val="20"/>
          <w:szCs w:val="20"/>
        </w:rPr>
        <w:t>3</w:t>
      </w:r>
      <w:r w:rsidR="00D40C1C" w:rsidRPr="00DC52EE">
        <w:rPr>
          <w:kern w:val="0"/>
          <w:sz w:val="20"/>
          <w:szCs w:val="20"/>
        </w:rPr>
        <w:t xml:space="preserve">.1. </w:t>
      </w:r>
      <w:r w:rsidR="00903B0C" w:rsidRPr="00DC52EE">
        <w:rPr>
          <w:kern w:val="0"/>
          <w:sz w:val="20"/>
          <w:szCs w:val="20"/>
        </w:rPr>
        <w:t>Prevalence of GIT Parasites Based on Species, Sex and Age of Animals</w:t>
      </w:r>
    </w:p>
    <w:p w:rsidR="00903B0C" w:rsidRPr="00DC52EE" w:rsidRDefault="00903A07" w:rsidP="00BB7760">
      <w:pPr>
        <w:pStyle w:val="Heading1"/>
        <w:snapToGrid w:val="0"/>
        <w:spacing w:before="0" w:beforeAutospacing="0" w:after="0" w:afterAutospacing="0"/>
        <w:ind w:firstLine="425"/>
        <w:jc w:val="both"/>
        <w:rPr>
          <w:kern w:val="0"/>
          <w:sz w:val="20"/>
          <w:szCs w:val="20"/>
        </w:rPr>
      </w:pPr>
      <w:r w:rsidRPr="00DC52EE">
        <w:rPr>
          <w:b w:val="0"/>
          <w:kern w:val="0"/>
          <w:sz w:val="20"/>
          <w:szCs w:val="20"/>
        </w:rPr>
        <w:t>P</w:t>
      </w:r>
      <w:r w:rsidR="00903B0C" w:rsidRPr="00DC52EE">
        <w:rPr>
          <w:b w:val="0"/>
          <w:kern w:val="0"/>
          <w:sz w:val="20"/>
          <w:szCs w:val="20"/>
        </w:rPr>
        <w:t xml:space="preserve">revalence rates of GIT parasites according to the species of animals found to harboring one or more species of parasites were </w:t>
      </w:r>
      <w:r w:rsidR="004C20D5" w:rsidRPr="00DC52EE">
        <w:rPr>
          <w:b w:val="0"/>
          <w:kern w:val="0"/>
          <w:sz w:val="20"/>
          <w:szCs w:val="20"/>
        </w:rPr>
        <w:t>172 (70.4</w:t>
      </w:r>
      <w:r w:rsidR="00903B0C" w:rsidRPr="00DC52EE">
        <w:rPr>
          <w:b w:val="0"/>
          <w:kern w:val="0"/>
          <w:sz w:val="20"/>
          <w:szCs w:val="20"/>
        </w:rPr>
        <w:t xml:space="preserve">%) and </w:t>
      </w:r>
      <w:r w:rsidR="004C20D5" w:rsidRPr="00DC52EE">
        <w:rPr>
          <w:b w:val="0"/>
          <w:kern w:val="0"/>
          <w:sz w:val="20"/>
          <w:szCs w:val="20"/>
        </w:rPr>
        <w:t>89</w:t>
      </w:r>
      <w:r w:rsidR="00903B0C" w:rsidRPr="00DC52EE">
        <w:rPr>
          <w:b w:val="0"/>
          <w:kern w:val="0"/>
          <w:sz w:val="20"/>
          <w:szCs w:val="20"/>
        </w:rPr>
        <w:t xml:space="preserve"> </w:t>
      </w:r>
      <w:r w:rsidR="004C20D5" w:rsidRPr="00DC52EE">
        <w:rPr>
          <w:b w:val="0"/>
          <w:kern w:val="0"/>
          <w:sz w:val="20"/>
          <w:szCs w:val="20"/>
        </w:rPr>
        <w:t>(63.5</w:t>
      </w:r>
      <w:r w:rsidR="00903B0C" w:rsidRPr="00DC52EE">
        <w:rPr>
          <w:b w:val="0"/>
          <w:kern w:val="0"/>
          <w:sz w:val="20"/>
          <w:szCs w:val="20"/>
        </w:rPr>
        <w:t xml:space="preserve">%) sheep and goats, respectively. </w:t>
      </w:r>
      <w:r w:rsidR="00376B50" w:rsidRPr="00DC52EE">
        <w:rPr>
          <w:b w:val="0"/>
          <w:kern w:val="0"/>
          <w:sz w:val="20"/>
          <w:szCs w:val="20"/>
        </w:rPr>
        <w:t>There was statistically significant difference in prevalence of GIT parasites between of animals (P&lt;0.05, OR=2.50).</w:t>
      </w:r>
      <w:r w:rsidR="00376B50" w:rsidRPr="00DC52EE">
        <w:rPr>
          <w:b w:val="0"/>
          <w:color w:val="FF0000"/>
          <w:kern w:val="0"/>
          <w:sz w:val="20"/>
          <w:szCs w:val="20"/>
        </w:rPr>
        <w:t xml:space="preserve"> </w:t>
      </w:r>
      <w:r w:rsidR="00376B50" w:rsidRPr="00DC52EE">
        <w:rPr>
          <w:b w:val="0"/>
          <w:kern w:val="0"/>
          <w:sz w:val="20"/>
          <w:szCs w:val="20"/>
        </w:rPr>
        <w:t xml:space="preserve">This result shows </w:t>
      </w:r>
      <w:r w:rsidR="00376B50" w:rsidRPr="00DC52EE">
        <w:rPr>
          <w:b w:val="0"/>
          <w:i/>
          <w:kern w:val="0"/>
          <w:sz w:val="20"/>
          <w:szCs w:val="20"/>
        </w:rPr>
        <w:t>Ovine</w:t>
      </w:r>
      <w:r w:rsidR="00376B50" w:rsidRPr="00DC52EE">
        <w:rPr>
          <w:b w:val="0"/>
          <w:kern w:val="0"/>
          <w:sz w:val="20"/>
          <w:szCs w:val="20"/>
        </w:rPr>
        <w:t xml:space="preserve"> species were more likely to be affected by GIT parasites more than two times as compared to that of </w:t>
      </w:r>
      <w:r w:rsidR="00376B50" w:rsidRPr="00DC52EE">
        <w:rPr>
          <w:b w:val="0"/>
          <w:i/>
          <w:kern w:val="0"/>
          <w:sz w:val="20"/>
          <w:szCs w:val="20"/>
        </w:rPr>
        <w:t>Caprine</w:t>
      </w:r>
      <w:r w:rsidR="00376B50" w:rsidRPr="00DC52EE">
        <w:rPr>
          <w:b w:val="0"/>
          <w:kern w:val="0"/>
          <w:sz w:val="20"/>
          <w:szCs w:val="20"/>
        </w:rPr>
        <w:t xml:space="preserve"> species.</w:t>
      </w:r>
      <w:r w:rsidR="00376B50" w:rsidRPr="00DC52EE">
        <w:rPr>
          <w:b w:val="0"/>
          <w:color w:val="FF0000"/>
          <w:kern w:val="0"/>
          <w:sz w:val="20"/>
          <w:szCs w:val="20"/>
        </w:rPr>
        <w:t xml:space="preserve"> </w:t>
      </w:r>
      <w:r w:rsidR="00D25F72" w:rsidRPr="00DC52EE">
        <w:rPr>
          <w:b w:val="0"/>
          <w:bCs w:val="0"/>
          <w:kern w:val="0"/>
          <w:sz w:val="20"/>
          <w:szCs w:val="20"/>
        </w:rPr>
        <w:t xml:space="preserve">Sex-wise prevalence of GIT parasite was higher in female (81.4%) as compared to the male (60.4%) with statistically </w:t>
      </w:r>
      <w:r w:rsidR="00D25F72" w:rsidRPr="00DC52EE">
        <w:rPr>
          <w:b w:val="0"/>
          <w:kern w:val="0"/>
          <w:sz w:val="20"/>
          <w:szCs w:val="20"/>
        </w:rPr>
        <w:t>significant difference (P&lt;0.05, OR=2.87) between sexes groups</w:t>
      </w:r>
      <w:r w:rsidR="002B5222" w:rsidRPr="00DC52EE">
        <w:rPr>
          <w:b w:val="0"/>
          <w:kern w:val="0"/>
          <w:sz w:val="20"/>
          <w:szCs w:val="20"/>
        </w:rPr>
        <w:t xml:space="preserve">. </w:t>
      </w:r>
      <w:r w:rsidR="00903B0C" w:rsidRPr="00DC52EE">
        <w:rPr>
          <w:b w:val="0"/>
          <w:kern w:val="0"/>
          <w:sz w:val="20"/>
          <w:szCs w:val="20"/>
        </w:rPr>
        <w:t xml:space="preserve">The prevalence in young was 92.7% and 59.7% in adults and prevalence in female is 81.4% and </w:t>
      </w:r>
      <w:r w:rsidR="00435DE6" w:rsidRPr="00DC52EE">
        <w:rPr>
          <w:b w:val="0"/>
          <w:kern w:val="0"/>
          <w:sz w:val="20"/>
          <w:szCs w:val="20"/>
        </w:rPr>
        <w:t xml:space="preserve">60.6% in males </w:t>
      </w:r>
      <w:r w:rsidR="00D633CA" w:rsidRPr="00DC52EE">
        <w:rPr>
          <w:b w:val="0"/>
          <w:kern w:val="0"/>
          <w:sz w:val="20"/>
          <w:szCs w:val="20"/>
        </w:rPr>
        <w:t xml:space="preserve">(Table </w:t>
      </w:r>
      <w:r w:rsidR="00903B0C" w:rsidRPr="00DC52EE">
        <w:rPr>
          <w:b w:val="0"/>
          <w:kern w:val="0"/>
          <w:sz w:val="20"/>
          <w:szCs w:val="20"/>
        </w:rPr>
        <w:t>1).</w:t>
      </w:r>
    </w:p>
    <w:p w:rsidR="001A2699" w:rsidRPr="00DC52EE" w:rsidRDefault="00903A07" w:rsidP="00BB7760">
      <w:pPr>
        <w:snapToGrid w:val="0"/>
        <w:spacing w:after="0" w:line="240" w:lineRule="auto"/>
        <w:ind w:firstLine="425"/>
        <w:jc w:val="both"/>
        <w:rPr>
          <w:rFonts w:eastAsia="Times New Roman"/>
          <w:bCs/>
          <w:color w:val="000000"/>
          <w:sz w:val="20"/>
          <w:szCs w:val="20"/>
        </w:rPr>
      </w:pPr>
      <w:r w:rsidRPr="00DC52EE">
        <w:rPr>
          <w:rFonts w:eastAsia="Times New Roman"/>
          <w:bCs/>
          <w:color w:val="000000"/>
          <w:sz w:val="20"/>
          <w:szCs w:val="20"/>
        </w:rPr>
        <w:t>S</w:t>
      </w:r>
      <w:r w:rsidR="001A2699" w:rsidRPr="00DC52EE">
        <w:rPr>
          <w:rFonts w:eastAsia="Times New Roman"/>
          <w:bCs/>
          <w:color w:val="000000"/>
          <w:sz w:val="20"/>
          <w:szCs w:val="20"/>
        </w:rPr>
        <w:t xml:space="preserve">ix genera of gastrointestinal nematode parasites were recovered during study period. Among these </w:t>
      </w:r>
      <w:r w:rsidR="001A2699" w:rsidRPr="00DC52EE">
        <w:rPr>
          <w:rFonts w:eastAsia="Times New Roman"/>
          <w:bCs/>
          <w:i/>
          <w:color w:val="000000"/>
          <w:sz w:val="20"/>
          <w:szCs w:val="20"/>
        </w:rPr>
        <w:t>Haemonchus</w:t>
      </w:r>
      <w:r w:rsidR="001A2699" w:rsidRPr="00DC52EE">
        <w:rPr>
          <w:rFonts w:eastAsia="Times New Roman"/>
          <w:bCs/>
          <w:color w:val="000000"/>
          <w:sz w:val="20"/>
          <w:szCs w:val="20"/>
        </w:rPr>
        <w:t xml:space="preserve"> was the highest 71(27.2%) prevalent followed by </w:t>
      </w:r>
      <w:r w:rsidR="001A2699" w:rsidRPr="00DC52EE">
        <w:rPr>
          <w:rFonts w:eastAsia="Times New Roman"/>
          <w:bCs/>
          <w:i/>
          <w:color w:val="000000"/>
          <w:sz w:val="20"/>
          <w:szCs w:val="20"/>
        </w:rPr>
        <w:t xml:space="preserve">Trichostrongylus </w:t>
      </w:r>
      <w:r w:rsidR="001A2699" w:rsidRPr="00DC52EE">
        <w:rPr>
          <w:rFonts w:eastAsia="Times New Roman"/>
          <w:bCs/>
          <w:color w:val="000000"/>
          <w:sz w:val="20"/>
          <w:szCs w:val="20"/>
        </w:rPr>
        <w:t xml:space="preserve">31(11.9%), </w:t>
      </w:r>
      <w:r w:rsidR="001A2699" w:rsidRPr="00DC52EE">
        <w:rPr>
          <w:rFonts w:eastAsia="Times New Roman"/>
          <w:bCs/>
          <w:i/>
          <w:color w:val="000000"/>
          <w:sz w:val="20"/>
          <w:szCs w:val="20"/>
        </w:rPr>
        <w:t>Trichuris</w:t>
      </w:r>
      <w:r w:rsidR="001A2699" w:rsidRPr="00DC52EE">
        <w:rPr>
          <w:rFonts w:eastAsia="Times New Roman"/>
          <w:bCs/>
          <w:color w:val="000000"/>
          <w:sz w:val="20"/>
          <w:szCs w:val="20"/>
        </w:rPr>
        <w:t xml:space="preserve"> 16(6.1%), </w:t>
      </w:r>
      <w:r w:rsidR="001A2699" w:rsidRPr="00DC52EE">
        <w:rPr>
          <w:rFonts w:eastAsia="Times New Roman"/>
          <w:bCs/>
          <w:i/>
          <w:color w:val="000000"/>
          <w:sz w:val="20"/>
          <w:szCs w:val="20"/>
        </w:rPr>
        <w:t>Chabertia</w:t>
      </w:r>
      <w:r w:rsidR="001A2699" w:rsidRPr="00DC52EE">
        <w:rPr>
          <w:rFonts w:eastAsia="Times New Roman"/>
          <w:bCs/>
          <w:color w:val="000000"/>
          <w:sz w:val="20"/>
          <w:szCs w:val="20"/>
        </w:rPr>
        <w:t xml:space="preserve"> 16(6.1%), </w:t>
      </w:r>
      <w:r w:rsidR="001A2699" w:rsidRPr="00DC52EE">
        <w:rPr>
          <w:rFonts w:eastAsia="Times New Roman"/>
          <w:bCs/>
          <w:i/>
          <w:color w:val="000000"/>
          <w:sz w:val="20"/>
          <w:szCs w:val="20"/>
        </w:rPr>
        <w:t>Strongyloides</w:t>
      </w:r>
      <w:r w:rsidR="001A2699" w:rsidRPr="00DC52EE">
        <w:rPr>
          <w:rFonts w:eastAsia="Times New Roman"/>
          <w:bCs/>
          <w:color w:val="000000"/>
          <w:sz w:val="20"/>
          <w:szCs w:val="20"/>
        </w:rPr>
        <w:t xml:space="preserve"> 14(5.3), and </w:t>
      </w:r>
      <w:r w:rsidR="001A2699" w:rsidRPr="00DC52EE">
        <w:rPr>
          <w:rFonts w:eastAsia="Times New Roman"/>
          <w:bCs/>
          <w:i/>
          <w:color w:val="000000"/>
          <w:sz w:val="20"/>
          <w:szCs w:val="20"/>
        </w:rPr>
        <w:t>Ostertagia</w:t>
      </w:r>
      <w:r w:rsidR="001A2699" w:rsidRPr="00DC52EE">
        <w:rPr>
          <w:rFonts w:eastAsia="Times New Roman"/>
          <w:bCs/>
          <w:color w:val="000000"/>
          <w:sz w:val="20"/>
          <w:szCs w:val="20"/>
        </w:rPr>
        <w:t xml:space="preserve"> 10 (3.8%). </w:t>
      </w:r>
      <w:r w:rsidR="001A2699" w:rsidRPr="00DC52EE">
        <w:rPr>
          <w:rFonts w:eastAsia="Times New Roman"/>
          <w:bCs/>
          <w:i/>
          <w:color w:val="000000"/>
          <w:sz w:val="20"/>
          <w:szCs w:val="20"/>
        </w:rPr>
        <w:t>Fasciola</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Paramphistomum</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Emeria</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Chabertia</w:t>
      </w:r>
      <w:r w:rsidR="001A2699" w:rsidRPr="00DC52EE">
        <w:rPr>
          <w:rFonts w:eastAsia="Times New Roman"/>
          <w:bCs/>
          <w:color w:val="000000"/>
          <w:sz w:val="20"/>
          <w:szCs w:val="20"/>
        </w:rPr>
        <w:t xml:space="preserve"> species prevalence were higher significantly in sheep whereas the reverse is true for </w:t>
      </w:r>
      <w:r w:rsidR="001A2699" w:rsidRPr="00DC52EE">
        <w:rPr>
          <w:rFonts w:eastAsia="Times New Roman"/>
          <w:bCs/>
          <w:i/>
          <w:color w:val="000000"/>
          <w:sz w:val="20"/>
          <w:szCs w:val="20"/>
        </w:rPr>
        <w:t>Trichostrongylus</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Trichuris</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Strongyloides</w:t>
      </w:r>
      <w:r w:rsidR="001A2699" w:rsidRPr="00DC52EE">
        <w:rPr>
          <w:rFonts w:eastAsia="Times New Roman"/>
          <w:bCs/>
          <w:color w:val="000000"/>
          <w:sz w:val="20"/>
          <w:szCs w:val="20"/>
        </w:rPr>
        <w:t xml:space="preserve"> and </w:t>
      </w:r>
      <w:r w:rsidR="001A2699" w:rsidRPr="00DC52EE">
        <w:rPr>
          <w:rFonts w:eastAsia="Times New Roman"/>
          <w:bCs/>
          <w:i/>
          <w:color w:val="000000"/>
          <w:sz w:val="20"/>
          <w:szCs w:val="20"/>
        </w:rPr>
        <w:t>Ostertagia</w:t>
      </w:r>
      <w:r w:rsidR="001A2699" w:rsidRPr="00DC52EE">
        <w:rPr>
          <w:rFonts w:eastAsia="Times New Roman"/>
          <w:bCs/>
          <w:color w:val="000000"/>
          <w:sz w:val="20"/>
          <w:szCs w:val="20"/>
        </w:rPr>
        <w:t xml:space="preserve"> species in goats. The prevalence of some gastrointestinal parasites (</w:t>
      </w:r>
      <w:r w:rsidR="001A2699" w:rsidRPr="00DC52EE">
        <w:rPr>
          <w:rFonts w:eastAsia="Times New Roman"/>
          <w:bCs/>
          <w:i/>
          <w:color w:val="000000"/>
          <w:sz w:val="20"/>
          <w:szCs w:val="20"/>
        </w:rPr>
        <w:t>Haemonchus</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Emeria,</w:t>
      </w:r>
      <w:r w:rsidR="001A2699" w:rsidRPr="00DC52EE">
        <w:rPr>
          <w:rFonts w:eastAsia="Times New Roman"/>
          <w:bCs/>
          <w:color w:val="000000"/>
          <w:sz w:val="20"/>
          <w:szCs w:val="20"/>
        </w:rPr>
        <w:t xml:space="preserve"> and </w:t>
      </w:r>
      <w:r w:rsidR="001A2699" w:rsidRPr="00DC52EE">
        <w:rPr>
          <w:rFonts w:eastAsia="Times New Roman"/>
          <w:bCs/>
          <w:i/>
          <w:color w:val="000000"/>
          <w:sz w:val="20"/>
          <w:szCs w:val="20"/>
        </w:rPr>
        <w:t>Trichostrongylus</w:t>
      </w:r>
      <w:r w:rsidR="001A2699" w:rsidRPr="00DC52EE">
        <w:rPr>
          <w:rFonts w:eastAsia="Times New Roman"/>
          <w:bCs/>
          <w:color w:val="000000"/>
          <w:sz w:val="20"/>
          <w:szCs w:val="20"/>
        </w:rPr>
        <w:t xml:space="preserve"> species) were higher in young than adult, whereas </w:t>
      </w:r>
      <w:r w:rsidR="001A2699" w:rsidRPr="00DC52EE">
        <w:rPr>
          <w:rFonts w:eastAsia="Times New Roman"/>
          <w:bCs/>
          <w:i/>
          <w:color w:val="000000"/>
          <w:sz w:val="20"/>
          <w:szCs w:val="20"/>
        </w:rPr>
        <w:t xml:space="preserve">Paramphistomum </w:t>
      </w:r>
      <w:r w:rsidR="00BF0056" w:rsidRPr="00DC52EE">
        <w:rPr>
          <w:rFonts w:eastAsia="Times New Roman"/>
          <w:bCs/>
          <w:color w:val="000000"/>
          <w:sz w:val="20"/>
          <w:szCs w:val="20"/>
        </w:rPr>
        <w:t>were higher</w:t>
      </w:r>
      <w:r w:rsidR="001A2699" w:rsidRPr="00DC52EE">
        <w:rPr>
          <w:rFonts w:eastAsia="Times New Roman"/>
          <w:bCs/>
          <w:color w:val="000000"/>
          <w:sz w:val="20"/>
          <w:szCs w:val="20"/>
        </w:rPr>
        <w:t xml:space="preserve"> in younger than adult sheep and goats. (Table 2).The prevalence of </w:t>
      </w:r>
      <w:r w:rsidR="001A2699" w:rsidRPr="00DC52EE">
        <w:rPr>
          <w:rFonts w:eastAsia="Times New Roman"/>
          <w:bCs/>
          <w:i/>
          <w:color w:val="000000"/>
          <w:sz w:val="20"/>
          <w:szCs w:val="20"/>
        </w:rPr>
        <w:t>Paramphistomum,</w:t>
      </w:r>
      <w:r w:rsidR="001A2699" w:rsidRPr="00DC52EE">
        <w:rPr>
          <w:rFonts w:eastAsia="Times New Roman"/>
          <w:bCs/>
          <w:color w:val="000000"/>
          <w:sz w:val="20"/>
          <w:szCs w:val="20"/>
        </w:rPr>
        <w:t xml:space="preserve"> </w:t>
      </w:r>
      <w:r w:rsidR="001A2699" w:rsidRPr="00DC52EE">
        <w:rPr>
          <w:rFonts w:eastAsia="Times New Roman"/>
          <w:bCs/>
          <w:i/>
          <w:color w:val="000000"/>
          <w:sz w:val="20"/>
          <w:szCs w:val="20"/>
        </w:rPr>
        <w:t>Fasciola</w:t>
      </w:r>
      <w:r w:rsidR="001A2699" w:rsidRPr="00DC52EE">
        <w:rPr>
          <w:rFonts w:eastAsia="Times New Roman"/>
          <w:bCs/>
          <w:color w:val="000000"/>
          <w:sz w:val="20"/>
          <w:szCs w:val="20"/>
        </w:rPr>
        <w:t xml:space="preserve"> and </w:t>
      </w:r>
      <w:r w:rsidR="001A2699" w:rsidRPr="00DC52EE">
        <w:rPr>
          <w:rFonts w:eastAsia="Times New Roman"/>
          <w:bCs/>
          <w:i/>
          <w:color w:val="000000"/>
          <w:sz w:val="20"/>
          <w:szCs w:val="20"/>
        </w:rPr>
        <w:t>Haemonchus</w:t>
      </w:r>
      <w:r w:rsidR="001A2699" w:rsidRPr="00DC52EE">
        <w:rPr>
          <w:rFonts w:eastAsia="Times New Roman"/>
          <w:bCs/>
          <w:color w:val="000000"/>
          <w:sz w:val="20"/>
          <w:szCs w:val="20"/>
        </w:rPr>
        <w:t xml:space="preserve"> was significantly higher in female sheep and goats than males whereas </w:t>
      </w:r>
      <w:r w:rsidR="001A2699" w:rsidRPr="00DC52EE">
        <w:rPr>
          <w:rFonts w:eastAsia="Times New Roman"/>
          <w:bCs/>
          <w:i/>
          <w:color w:val="000000"/>
          <w:sz w:val="20"/>
          <w:szCs w:val="20"/>
        </w:rPr>
        <w:t>Trichostrongylus</w:t>
      </w:r>
      <w:r w:rsidR="00F702CC" w:rsidRPr="00DC52EE">
        <w:rPr>
          <w:rFonts w:eastAsia="Times New Roman"/>
          <w:bCs/>
          <w:color w:val="000000"/>
          <w:sz w:val="20"/>
          <w:szCs w:val="20"/>
        </w:rPr>
        <w:t xml:space="preserve"> were higher in Male animals. </w:t>
      </w:r>
      <w:r w:rsidR="001A2699" w:rsidRPr="00DC52EE">
        <w:rPr>
          <w:rFonts w:eastAsia="Times New Roman"/>
          <w:bCs/>
          <w:color w:val="000000"/>
          <w:sz w:val="20"/>
          <w:szCs w:val="20"/>
        </w:rPr>
        <w:t>(Table 1).</w:t>
      </w:r>
    </w:p>
    <w:p w:rsidR="00BB7760" w:rsidRPr="00DC52EE" w:rsidRDefault="00BB7760" w:rsidP="00BB7760">
      <w:pPr>
        <w:pStyle w:val="Heading1"/>
        <w:snapToGrid w:val="0"/>
        <w:spacing w:before="0" w:beforeAutospacing="0" w:after="0" w:afterAutospacing="0"/>
        <w:jc w:val="center"/>
        <w:rPr>
          <w:color w:val="000000"/>
          <w:kern w:val="0"/>
          <w:sz w:val="20"/>
          <w:szCs w:val="20"/>
        </w:rPr>
        <w:sectPr w:rsidR="00BB7760" w:rsidRPr="00DC52EE" w:rsidSect="006B1F54">
          <w:headerReference w:type="default" r:id="rId12"/>
          <w:pgSz w:w="12240" w:h="15840"/>
          <w:pgMar w:top="1440" w:right="1440" w:bottom="1440" w:left="1440" w:header="720" w:footer="720" w:gutter="0"/>
          <w:cols w:num="2" w:space="600"/>
          <w:noEndnote/>
          <w:docGrid w:linePitch="326"/>
        </w:sectPr>
      </w:pPr>
    </w:p>
    <w:p w:rsidR="00BB7760" w:rsidRPr="00DC52EE" w:rsidRDefault="00BB7760">
      <w:pPr>
        <w:rPr>
          <w:rFonts w:eastAsia="Times New Roman"/>
          <w:b/>
          <w:bCs/>
          <w:color w:val="000000"/>
          <w:sz w:val="20"/>
          <w:szCs w:val="20"/>
        </w:rPr>
      </w:pPr>
    </w:p>
    <w:p w:rsidR="00286E43" w:rsidRDefault="00286E43" w:rsidP="00BB7760">
      <w:pPr>
        <w:pStyle w:val="Heading1"/>
        <w:snapToGrid w:val="0"/>
        <w:spacing w:before="0" w:beforeAutospacing="0" w:after="0" w:afterAutospacing="0"/>
        <w:jc w:val="center"/>
        <w:rPr>
          <w:rFonts w:eastAsiaTheme="minorEastAsia"/>
          <w:color w:val="000000"/>
          <w:kern w:val="0"/>
          <w:sz w:val="20"/>
          <w:szCs w:val="20"/>
          <w:lang w:eastAsia="zh-CN"/>
        </w:rPr>
      </w:pPr>
    </w:p>
    <w:p w:rsidR="00286E43" w:rsidRDefault="00286E43" w:rsidP="00BB7760">
      <w:pPr>
        <w:pStyle w:val="Heading1"/>
        <w:snapToGrid w:val="0"/>
        <w:spacing w:before="0" w:beforeAutospacing="0" w:after="0" w:afterAutospacing="0"/>
        <w:jc w:val="center"/>
        <w:rPr>
          <w:rFonts w:eastAsiaTheme="minorEastAsia"/>
          <w:color w:val="000000"/>
          <w:kern w:val="0"/>
          <w:sz w:val="20"/>
          <w:szCs w:val="20"/>
          <w:lang w:eastAsia="zh-CN"/>
        </w:rPr>
      </w:pPr>
    </w:p>
    <w:p w:rsidR="00286E43" w:rsidRDefault="00286E43" w:rsidP="00BB7760">
      <w:pPr>
        <w:pStyle w:val="Heading1"/>
        <w:snapToGrid w:val="0"/>
        <w:spacing w:before="0" w:beforeAutospacing="0" w:after="0" w:afterAutospacing="0"/>
        <w:jc w:val="center"/>
        <w:rPr>
          <w:rFonts w:eastAsiaTheme="minorEastAsia"/>
          <w:color w:val="000000"/>
          <w:kern w:val="0"/>
          <w:sz w:val="20"/>
          <w:szCs w:val="20"/>
          <w:lang w:eastAsia="zh-CN"/>
        </w:rPr>
      </w:pPr>
    </w:p>
    <w:p w:rsidR="00903B0C" w:rsidRPr="00DC52EE" w:rsidRDefault="00903B0C" w:rsidP="00BB7760">
      <w:pPr>
        <w:pStyle w:val="Heading1"/>
        <w:snapToGrid w:val="0"/>
        <w:spacing w:before="0" w:beforeAutospacing="0" w:after="0" w:afterAutospacing="0"/>
        <w:jc w:val="center"/>
        <w:rPr>
          <w:b w:val="0"/>
          <w:kern w:val="0"/>
          <w:sz w:val="20"/>
          <w:szCs w:val="20"/>
        </w:rPr>
      </w:pPr>
      <w:r w:rsidRPr="00DC52EE">
        <w:rPr>
          <w:color w:val="000000"/>
          <w:kern w:val="0"/>
          <w:sz w:val="20"/>
          <w:szCs w:val="20"/>
        </w:rPr>
        <w:t xml:space="preserve">Table 1: </w:t>
      </w:r>
      <w:r w:rsidR="00F95165" w:rsidRPr="00DC52EE">
        <w:rPr>
          <w:b w:val="0"/>
          <w:color w:val="000000"/>
          <w:kern w:val="0"/>
          <w:sz w:val="20"/>
          <w:szCs w:val="20"/>
        </w:rPr>
        <w:t>Prevalence of Gastrointestinal</w:t>
      </w:r>
      <w:r w:rsidRPr="00DC52EE">
        <w:rPr>
          <w:b w:val="0"/>
          <w:color w:val="000000"/>
          <w:kern w:val="0"/>
          <w:sz w:val="20"/>
          <w:szCs w:val="20"/>
        </w:rPr>
        <w:t xml:space="preserve"> parasite </w:t>
      </w:r>
      <w:r w:rsidR="00F95165" w:rsidRPr="00DC52EE">
        <w:rPr>
          <w:b w:val="0"/>
          <w:color w:val="000000"/>
          <w:kern w:val="0"/>
          <w:sz w:val="20"/>
          <w:szCs w:val="20"/>
        </w:rPr>
        <w:t xml:space="preserve">in </w:t>
      </w:r>
      <w:r w:rsidR="00F95165" w:rsidRPr="00DC52EE">
        <w:rPr>
          <w:b w:val="0"/>
          <w:kern w:val="0"/>
          <w:sz w:val="20"/>
          <w:szCs w:val="20"/>
        </w:rPr>
        <w:t>Small Ruminants Based on Species, Sex and Age</w:t>
      </w:r>
      <w:r w:rsidRPr="00DC52EE">
        <w:rPr>
          <w:b w:val="0"/>
          <w:color w:val="000000"/>
          <w:kern w:val="0"/>
          <w:sz w:val="20"/>
          <w:szCs w:val="20"/>
        </w:rPr>
        <w:t xml:space="preserve"> </w:t>
      </w:r>
    </w:p>
    <w:tbl>
      <w:tblPr>
        <w:tblStyle w:val="LightShading1"/>
        <w:tblW w:w="5000" w:type="pct"/>
        <w:jc w:val="center"/>
        <w:tblCellMar>
          <w:left w:w="57" w:type="dxa"/>
          <w:right w:w="57" w:type="dxa"/>
        </w:tblCellMar>
        <w:tblLook w:val="0600"/>
      </w:tblPr>
      <w:tblGrid>
        <w:gridCol w:w="890"/>
        <w:gridCol w:w="930"/>
        <w:gridCol w:w="1749"/>
        <w:gridCol w:w="1641"/>
        <w:gridCol w:w="1264"/>
        <w:gridCol w:w="917"/>
        <w:gridCol w:w="561"/>
        <w:gridCol w:w="1522"/>
      </w:tblGrid>
      <w:tr w:rsidR="00903A07" w:rsidRPr="00DC52EE" w:rsidTr="00BB7760">
        <w:trPr>
          <w:jc w:val="center"/>
        </w:trPr>
        <w:tc>
          <w:tcPr>
            <w:tcW w:w="961" w:type="pct"/>
            <w:gridSpan w:val="2"/>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Risk factors</w:t>
            </w:r>
          </w:p>
        </w:tc>
        <w:tc>
          <w:tcPr>
            <w:tcW w:w="923" w:type="pct"/>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No of examined</w:t>
            </w:r>
          </w:p>
        </w:tc>
        <w:tc>
          <w:tcPr>
            <w:tcW w:w="866" w:type="pct"/>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No of positives</w:t>
            </w:r>
          </w:p>
        </w:tc>
        <w:tc>
          <w:tcPr>
            <w:tcW w:w="667" w:type="pct"/>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Prevalence</w:t>
            </w:r>
            <w:r w:rsidR="00BB7760" w:rsidRPr="00DC52EE">
              <w:rPr>
                <w:rFonts w:hint="eastAsia"/>
                <w:b/>
                <w:sz w:val="20"/>
                <w:szCs w:val="20"/>
                <w:lang w:eastAsia="zh-CN"/>
              </w:rPr>
              <w:t xml:space="preserve"> </w:t>
            </w:r>
            <w:r w:rsidRPr="00DC52EE">
              <w:rPr>
                <w:b/>
                <w:sz w:val="20"/>
                <w:szCs w:val="20"/>
              </w:rPr>
              <w:t>(%)</w:t>
            </w:r>
          </w:p>
        </w:tc>
        <w:tc>
          <w:tcPr>
            <w:tcW w:w="484" w:type="pct"/>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P-value</w:t>
            </w:r>
          </w:p>
        </w:tc>
        <w:tc>
          <w:tcPr>
            <w:tcW w:w="296" w:type="pct"/>
            <w:vMerge w:val="restar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OR</w:t>
            </w:r>
          </w:p>
        </w:tc>
        <w:tc>
          <w:tcPr>
            <w:tcW w:w="803" w:type="pct"/>
            <w:tcBorders>
              <w:top w:val="single" w:sz="8" w:space="0" w:color="000000" w:themeColor="text1"/>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95% CI</w:t>
            </w:r>
          </w:p>
        </w:tc>
      </w:tr>
      <w:tr w:rsidR="00903A07" w:rsidRPr="00DC52EE" w:rsidTr="00BB7760">
        <w:trPr>
          <w:jc w:val="center"/>
        </w:trPr>
        <w:tc>
          <w:tcPr>
            <w:tcW w:w="961" w:type="pct"/>
            <w:gridSpan w:val="2"/>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923"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866"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667"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484"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296"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803" w:type="pct"/>
            <w:tcBorders>
              <w:top w:val="nil"/>
              <w:bottom w:val="single" w:sz="4" w:space="0" w:color="auto"/>
            </w:tcBorders>
            <w:vAlign w:val="center"/>
          </w:tcPr>
          <w:p w:rsidR="00903B0C" w:rsidRPr="00DC52EE" w:rsidRDefault="00903B0C" w:rsidP="00BB7760">
            <w:pPr>
              <w:pStyle w:val="NoSpacing"/>
              <w:snapToGrid w:val="0"/>
              <w:jc w:val="both"/>
              <w:rPr>
                <w:b/>
                <w:sz w:val="20"/>
                <w:szCs w:val="20"/>
                <w:u w:val="single"/>
              </w:rPr>
            </w:pPr>
            <w:r w:rsidRPr="00DC52EE">
              <w:rPr>
                <w:b/>
                <w:sz w:val="20"/>
                <w:szCs w:val="20"/>
              </w:rPr>
              <w:t>Lower</w:t>
            </w:r>
            <w:r w:rsidR="00903A07" w:rsidRPr="00DC52EE">
              <w:rPr>
                <w:b/>
                <w:sz w:val="20"/>
                <w:szCs w:val="20"/>
              </w:rPr>
              <w:t xml:space="preserve"> </w:t>
            </w:r>
            <w:r w:rsidRPr="00DC52EE">
              <w:rPr>
                <w:b/>
                <w:sz w:val="20"/>
                <w:szCs w:val="20"/>
              </w:rPr>
              <w:t>Upper</w:t>
            </w:r>
          </w:p>
        </w:tc>
      </w:tr>
      <w:tr w:rsidR="00903A07" w:rsidRPr="00DC52EE" w:rsidTr="00BB7760">
        <w:trPr>
          <w:jc w:val="center"/>
        </w:trPr>
        <w:tc>
          <w:tcPr>
            <w:tcW w:w="470" w:type="pct"/>
            <w:vMerge w:val="restart"/>
            <w:tcBorders>
              <w:top w:val="single" w:sz="4" w:space="0" w:color="auto"/>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Species</w:t>
            </w:r>
          </w:p>
        </w:tc>
        <w:tc>
          <w:tcPr>
            <w:tcW w:w="491" w:type="pct"/>
            <w:tcBorders>
              <w:top w:val="single" w:sz="4" w:space="0" w:color="auto"/>
              <w:bottom w:val="nil"/>
            </w:tcBorders>
            <w:vAlign w:val="center"/>
          </w:tcPr>
          <w:p w:rsidR="00903B0C" w:rsidRPr="00DC52EE" w:rsidRDefault="00903B0C" w:rsidP="00BB7760">
            <w:pPr>
              <w:pStyle w:val="NoSpacing"/>
              <w:snapToGrid w:val="0"/>
              <w:jc w:val="both"/>
              <w:rPr>
                <w:i/>
                <w:sz w:val="20"/>
                <w:szCs w:val="20"/>
              </w:rPr>
            </w:pPr>
            <w:r w:rsidRPr="00DC52EE">
              <w:rPr>
                <w:i/>
                <w:sz w:val="20"/>
                <w:szCs w:val="20"/>
              </w:rPr>
              <w:t>Ovine</w:t>
            </w:r>
          </w:p>
        </w:tc>
        <w:tc>
          <w:tcPr>
            <w:tcW w:w="92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244</w:t>
            </w:r>
          </w:p>
        </w:tc>
        <w:tc>
          <w:tcPr>
            <w:tcW w:w="86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172</w:t>
            </w:r>
          </w:p>
        </w:tc>
        <w:tc>
          <w:tcPr>
            <w:tcW w:w="667"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70.4</w:t>
            </w:r>
          </w:p>
        </w:tc>
        <w:tc>
          <w:tcPr>
            <w:tcW w:w="484"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color w:val="000000"/>
                <w:sz w:val="20"/>
                <w:szCs w:val="20"/>
              </w:rPr>
              <w:t>0.034</w:t>
            </w:r>
          </w:p>
        </w:tc>
        <w:tc>
          <w:tcPr>
            <w:tcW w:w="29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color w:val="000000"/>
                <w:sz w:val="20"/>
                <w:szCs w:val="20"/>
              </w:rPr>
              <w:t>2.50</w:t>
            </w:r>
          </w:p>
        </w:tc>
        <w:tc>
          <w:tcPr>
            <w:tcW w:w="80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color w:val="000000"/>
                <w:sz w:val="20"/>
                <w:szCs w:val="20"/>
              </w:rPr>
              <w:t>1.074 - 5.825</w:t>
            </w:r>
          </w:p>
        </w:tc>
      </w:tr>
      <w:tr w:rsidR="00903A07" w:rsidRPr="00DC52EE" w:rsidTr="00BB7760">
        <w:trPr>
          <w:jc w:val="center"/>
        </w:trPr>
        <w:tc>
          <w:tcPr>
            <w:tcW w:w="470" w:type="pct"/>
            <w:vMerge/>
            <w:tcBorders>
              <w:top w:val="nil"/>
              <w:bottom w:val="nil"/>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nil"/>
            </w:tcBorders>
            <w:vAlign w:val="center"/>
          </w:tcPr>
          <w:p w:rsidR="00903B0C" w:rsidRPr="00DC52EE" w:rsidRDefault="00903B0C" w:rsidP="00BB7760">
            <w:pPr>
              <w:pStyle w:val="NoSpacing"/>
              <w:snapToGrid w:val="0"/>
              <w:jc w:val="both"/>
              <w:rPr>
                <w:i/>
                <w:sz w:val="20"/>
                <w:szCs w:val="20"/>
              </w:rPr>
            </w:pPr>
            <w:r w:rsidRPr="00DC52EE">
              <w:rPr>
                <w:i/>
                <w:sz w:val="20"/>
                <w:szCs w:val="20"/>
              </w:rPr>
              <w:t>Caprine</w:t>
            </w:r>
          </w:p>
        </w:tc>
        <w:tc>
          <w:tcPr>
            <w:tcW w:w="923"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140</w:t>
            </w:r>
          </w:p>
        </w:tc>
        <w:tc>
          <w:tcPr>
            <w:tcW w:w="866"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89</w:t>
            </w:r>
          </w:p>
        </w:tc>
        <w:tc>
          <w:tcPr>
            <w:tcW w:w="667"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63.5</w:t>
            </w:r>
          </w:p>
        </w:tc>
        <w:tc>
          <w:tcPr>
            <w:tcW w:w="484" w:type="pct"/>
            <w:tcBorders>
              <w:top w:val="nil"/>
              <w:bottom w:val="nil"/>
            </w:tcBorders>
            <w:vAlign w:val="center"/>
          </w:tcPr>
          <w:p w:rsidR="00903B0C" w:rsidRPr="00DC52EE" w:rsidRDefault="00903B0C" w:rsidP="00BB7760">
            <w:pPr>
              <w:pStyle w:val="NoSpacing"/>
              <w:snapToGrid w:val="0"/>
              <w:jc w:val="both"/>
              <w:rPr>
                <w:sz w:val="20"/>
                <w:szCs w:val="20"/>
              </w:rPr>
            </w:pPr>
          </w:p>
        </w:tc>
        <w:tc>
          <w:tcPr>
            <w:tcW w:w="296" w:type="pct"/>
            <w:tcBorders>
              <w:top w:val="nil"/>
              <w:bottom w:val="nil"/>
            </w:tcBorders>
            <w:vAlign w:val="center"/>
          </w:tcPr>
          <w:p w:rsidR="00903B0C" w:rsidRPr="00DC52EE" w:rsidRDefault="00903B0C" w:rsidP="00BB7760">
            <w:pPr>
              <w:pStyle w:val="NoSpacing"/>
              <w:snapToGrid w:val="0"/>
              <w:jc w:val="both"/>
              <w:rPr>
                <w:sz w:val="20"/>
                <w:szCs w:val="20"/>
              </w:rPr>
            </w:pPr>
          </w:p>
        </w:tc>
        <w:tc>
          <w:tcPr>
            <w:tcW w:w="803" w:type="pct"/>
            <w:tcBorders>
              <w:top w:val="nil"/>
              <w:bottom w:val="nil"/>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single" w:sz="4" w:space="0" w:color="auto"/>
            </w:tcBorders>
            <w:vAlign w:val="center"/>
          </w:tcPr>
          <w:p w:rsidR="00903B0C" w:rsidRPr="00DC52EE" w:rsidRDefault="00903B0C" w:rsidP="00BB7760">
            <w:pPr>
              <w:pStyle w:val="NoSpacing"/>
              <w:snapToGrid w:val="0"/>
              <w:jc w:val="both"/>
              <w:rPr>
                <w:b/>
                <w:i/>
                <w:sz w:val="20"/>
                <w:szCs w:val="20"/>
              </w:rPr>
            </w:pPr>
            <w:r w:rsidRPr="00DC52EE">
              <w:rPr>
                <w:b/>
                <w:sz w:val="20"/>
                <w:szCs w:val="20"/>
              </w:rPr>
              <w:t>Total</w:t>
            </w:r>
          </w:p>
        </w:tc>
        <w:tc>
          <w:tcPr>
            <w:tcW w:w="923"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384</w:t>
            </w:r>
          </w:p>
        </w:tc>
        <w:tc>
          <w:tcPr>
            <w:tcW w:w="866"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261</w:t>
            </w:r>
          </w:p>
        </w:tc>
        <w:tc>
          <w:tcPr>
            <w:tcW w:w="667"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484"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296"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803"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vMerge w:val="restart"/>
            <w:tcBorders>
              <w:top w:val="single" w:sz="4" w:space="0" w:color="auto"/>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Sex</w:t>
            </w:r>
          </w:p>
          <w:p w:rsidR="00903B0C" w:rsidRPr="00DC52EE" w:rsidRDefault="00903B0C" w:rsidP="00BB7760">
            <w:pPr>
              <w:pStyle w:val="NoSpacing"/>
              <w:snapToGrid w:val="0"/>
              <w:jc w:val="both"/>
              <w:rPr>
                <w:b/>
                <w:sz w:val="20"/>
                <w:szCs w:val="20"/>
              </w:rPr>
            </w:pPr>
          </w:p>
          <w:p w:rsidR="00903B0C" w:rsidRPr="00DC52EE" w:rsidRDefault="00903B0C" w:rsidP="00BB7760">
            <w:pPr>
              <w:pStyle w:val="NoSpacing"/>
              <w:snapToGrid w:val="0"/>
              <w:jc w:val="both"/>
              <w:rPr>
                <w:b/>
                <w:sz w:val="20"/>
                <w:szCs w:val="20"/>
              </w:rPr>
            </w:pPr>
          </w:p>
        </w:tc>
        <w:tc>
          <w:tcPr>
            <w:tcW w:w="491"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Male</w:t>
            </w:r>
          </w:p>
        </w:tc>
        <w:tc>
          <w:tcPr>
            <w:tcW w:w="92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249</w:t>
            </w:r>
          </w:p>
        </w:tc>
        <w:tc>
          <w:tcPr>
            <w:tcW w:w="86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151</w:t>
            </w:r>
          </w:p>
        </w:tc>
        <w:tc>
          <w:tcPr>
            <w:tcW w:w="667"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60.6</w:t>
            </w:r>
          </w:p>
        </w:tc>
        <w:tc>
          <w:tcPr>
            <w:tcW w:w="484"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p>
        </w:tc>
        <w:tc>
          <w:tcPr>
            <w:tcW w:w="29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p>
        </w:tc>
        <w:tc>
          <w:tcPr>
            <w:tcW w:w="80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vMerge/>
            <w:tcBorders>
              <w:top w:val="nil"/>
              <w:bottom w:val="nil"/>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Female</w:t>
            </w:r>
          </w:p>
        </w:tc>
        <w:tc>
          <w:tcPr>
            <w:tcW w:w="923"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135</w:t>
            </w:r>
          </w:p>
        </w:tc>
        <w:tc>
          <w:tcPr>
            <w:tcW w:w="866"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110</w:t>
            </w:r>
          </w:p>
        </w:tc>
        <w:tc>
          <w:tcPr>
            <w:tcW w:w="667"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81.4</w:t>
            </w:r>
          </w:p>
        </w:tc>
        <w:tc>
          <w:tcPr>
            <w:tcW w:w="484"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0.000</w:t>
            </w:r>
          </w:p>
        </w:tc>
        <w:tc>
          <w:tcPr>
            <w:tcW w:w="296"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2.87</w:t>
            </w:r>
          </w:p>
        </w:tc>
        <w:tc>
          <w:tcPr>
            <w:tcW w:w="803"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1.726 - 4.723</w:t>
            </w:r>
          </w:p>
        </w:tc>
      </w:tr>
      <w:tr w:rsidR="00903A07" w:rsidRPr="00DC52EE" w:rsidTr="00BB7760">
        <w:trPr>
          <w:jc w:val="center"/>
        </w:trPr>
        <w:tc>
          <w:tcPr>
            <w:tcW w:w="470"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Total</w:t>
            </w:r>
          </w:p>
        </w:tc>
        <w:tc>
          <w:tcPr>
            <w:tcW w:w="923"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384</w:t>
            </w:r>
          </w:p>
        </w:tc>
        <w:tc>
          <w:tcPr>
            <w:tcW w:w="866"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261</w:t>
            </w:r>
          </w:p>
        </w:tc>
        <w:tc>
          <w:tcPr>
            <w:tcW w:w="667"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484"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296"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803"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vMerge w:val="restart"/>
            <w:tcBorders>
              <w:top w:val="single" w:sz="4" w:space="0" w:color="auto"/>
              <w:bottom w:val="nil"/>
            </w:tcBorders>
            <w:vAlign w:val="center"/>
          </w:tcPr>
          <w:p w:rsidR="00903B0C" w:rsidRPr="00DC52EE" w:rsidRDefault="00903B0C" w:rsidP="00BB7760">
            <w:pPr>
              <w:pStyle w:val="NoSpacing"/>
              <w:snapToGrid w:val="0"/>
              <w:jc w:val="both"/>
              <w:rPr>
                <w:b/>
                <w:sz w:val="20"/>
                <w:szCs w:val="20"/>
              </w:rPr>
            </w:pPr>
            <w:r w:rsidRPr="00DC52EE">
              <w:rPr>
                <w:b/>
                <w:sz w:val="20"/>
                <w:szCs w:val="20"/>
              </w:rPr>
              <w:t>Age</w:t>
            </w:r>
          </w:p>
        </w:tc>
        <w:tc>
          <w:tcPr>
            <w:tcW w:w="491"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Young</w:t>
            </w:r>
          </w:p>
        </w:tc>
        <w:tc>
          <w:tcPr>
            <w:tcW w:w="92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96</w:t>
            </w:r>
          </w:p>
        </w:tc>
        <w:tc>
          <w:tcPr>
            <w:tcW w:w="86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89</w:t>
            </w:r>
          </w:p>
        </w:tc>
        <w:tc>
          <w:tcPr>
            <w:tcW w:w="667"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92.7</w:t>
            </w:r>
            <w:r w:rsidR="00903A07" w:rsidRPr="00DC52EE">
              <w:rPr>
                <w:sz w:val="20"/>
                <w:szCs w:val="20"/>
              </w:rPr>
              <w:t xml:space="preserve"> </w:t>
            </w:r>
          </w:p>
        </w:tc>
        <w:tc>
          <w:tcPr>
            <w:tcW w:w="484"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0.000</w:t>
            </w:r>
          </w:p>
        </w:tc>
        <w:tc>
          <w:tcPr>
            <w:tcW w:w="296"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0.12</w:t>
            </w:r>
          </w:p>
        </w:tc>
        <w:tc>
          <w:tcPr>
            <w:tcW w:w="803" w:type="pct"/>
            <w:tcBorders>
              <w:top w:val="single" w:sz="4" w:space="0" w:color="auto"/>
              <w:bottom w:val="nil"/>
            </w:tcBorders>
            <w:vAlign w:val="center"/>
          </w:tcPr>
          <w:p w:rsidR="00903B0C" w:rsidRPr="00DC52EE" w:rsidRDefault="00903B0C" w:rsidP="00BB7760">
            <w:pPr>
              <w:pStyle w:val="NoSpacing"/>
              <w:snapToGrid w:val="0"/>
              <w:jc w:val="both"/>
              <w:rPr>
                <w:sz w:val="20"/>
                <w:szCs w:val="20"/>
              </w:rPr>
            </w:pPr>
            <w:r w:rsidRPr="00DC52EE">
              <w:rPr>
                <w:sz w:val="20"/>
                <w:szCs w:val="20"/>
              </w:rPr>
              <w:t>0.052 - 0.261</w:t>
            </w:r>
          </w:p>
        </w:tc>
      </w:tr>
      <w:tr w:rsidR="00903A07" w:rsidRPr="00DC52EE" w:rsidTr="00BB7760">
        <w:trPr>
          <w:jc w:val="center"/>
        </w:trPr>
        <w:tc>
          <w:tcPr>
            <w:tcW w:w="470" w:type="pct"/>
            <w:vMerge/>
            <w:tcBorders>
              <w:top w:val="nil"/>
              <w:bottom w:val="nil"/>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Adult</w:t>
            </w:r>
          </w:p>
        </w:tc>
        <w:tc>
          <w:tcPr>
            <w:tcW w:w="923"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288</w:t>
            </w:r>
          </w:p>
        </w:tc>
        <w:tc>
          <w:tcPr>
            <w:tcW w:w="866"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172</w:t>
            </w:r>
          </w:p>
        </w:tc>
        <w:tc>
          <w:tcPr>
            <w:tcW w:w="667" w:type="pct"/>
            <w:tcBorders>
              <w:top w:val="nil"/>
              <w:bottom w:val="nil"/>
            </w:tcBorders>
            <w:vAlign w:val="center"/>
          </w:tcPr>
          <w:p w:rsidR="00903B0C" w:rsidRPr="00DC52EE" w:rsidRDefault="00903B0C" w:rsidP="00BB7760">
            <w:pPr>
              <w:pStyle w:val="NoSpacing"/>
              <w:snapToGrid w:val="0"/>
              <w:jc w:val="both"/>
              <w:rPr>
                <w:sz w:val="20"/>
                <w:szCs w:val="20"/>
              </w:rPr>
            </w:pPr>
            <w:r w:rsidRPr="00DC52EE">
              <w:rPr>
                <w:sz w:val="20"/>
                <w:szCs w:val="20"/>
              </w:rPr>
              <w:t>59.7</w:t>
            </w:r>
          </w:p>
        </w:tc>
        <w:tc>
          <w:tcPr>
            <w:tcW w:w="484" w:type="pct"/>
            <w:tcBorders>
              <w:top w:val="nil"/>
              <w:bottom w:val="nil"/>
            </w:tcBorders>
            <w:vAlign w:val="center"/>
          </w:tcPr>
          <w:p w:rsidR="00903B0C" w:rsidRPr="00DC52EE" w:rsidRDefault="00903B0C" w:rsidP="00BB7760">
            <w:pPr>
              <w:pStyle w:val="NoSpacing"/>
              <w:snapToGrid w:val="0"/>
              <w:jc w:val="both"/>
              <w:rPr>
                <w:sz w:val="20"/>
                <w:szCs w:val="20"/>
              </w:rPr>
            </w:pPr>
          </w:p>
        </w:tc>
        <w:tc>
          <w:tcPr>
            <w:tcW w:w="296" w:type="pct"/>
            <w:tcBorders>
              <w:top w:val="nil"/>
              <w:bottom w:val="nil"/>
            </w:tcBorders>
            <w:vAlign w:val="center"/>
          </w:tcPr>
          <w:p w:rsidR="00903B0C" w:rsidRPr="00DC52EE" w:rsidRDefault="00903B0C" w:rsidP="00BB7760">
            <w:pPr>
              <w:pStyle w:val="NoSpacing"/>
              <w:snapToGrid w:val="0"/>
              <w:jc w:val="both"/>
              <w:rPr>
                <w:sz w:val="20"/>
                <w:szCs w:val="20"/>
              </w:rPr>
            </w:pPr>
          </w:p>
        </w:tc>
        <w:tc>
          <w:tcPr>
            <w:tcW w:w="803" w:type="pct"/>
            <w:tcBorders>
              <w:top w:val="nil"/>
              <w:bottom w:val="nil"/>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vMerge/>
            <w:tcBorders>
              <w:top w:val="nil"/>
              <w:bottom w:val="single" w:sz="4" w:space="0" w:color="auto"/>
            </w:tcBorders>
            <w:vAlign w:val="center"/>
          </w:tcPr>
          <w:p w:rsidR="00903B0C" w:rsidRPr="00DC52EE" w:rsidRDefault="00903B0C" w:rsidP="00BB7760">
            <w:pPr>
              <w:pStyle w:val="NoSpacing"/>
              <w:snapToGrid w:val="0"/>
              <w:jc w:val="both"/>
              <w:rPr>
                <w:b/>
                <w:sz w:val="20"/>
                <w:szCs w:val="20"/>
              </w:rPr>
            </w:pPr>
          </w:p>
        </w:tc>
        <w:tc>
          <w:tcPr>
            <w:tcW w:w="491"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Total</w:t>
            </w:r>
          </w:p>
        </w:tc>
        <w:tc>
          <w:tcPr>
            <w:tcW w:w="923"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384</w:t>
            </w:r>
          </w:p>
        </w:tc>
        <w:tc>
          <w:tcPr>
            <w:tcW w:w="866" w:type="pct"/>
            <w:tcBorders>
              <w:top w:val="nil"/>
              <w:bottom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261</w:t>
            </w:r>
          </w:p>
        </w:tc>
        <w:tc>
          <w:tcPr>
            <w:tcW w:w="667"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484"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296"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c>
          <w:tcPr>
            <w:tcW w:w="803" w:type="pct"/>
            <w:tcBorders>
              <w:top w:val="nil"/>
              <w:bottom w:val="single" w:sz="4" w:space="0" w:color="auto"/>
            </w:tcBorders>
            <w:vAlign w:val="center"/>
          </w:tcPr>
          <w:p w:rsidR="00903B0C" w:rsidRPr="00DC52EE" w:rsidRDefault="00903B0C" w:rsidP="00BB7760">
            <w:pPr>
              <w:pStyle w:val="NoSpacing"/>
              <w:snapToGrid w:val="0"/>
              <w:jc w:val="both"/>
              <w:rPr>
                <w:sz w:val="20"/>
                <w:szCs w:val="20"/>
              </w:rPr>
            </w:pPr>
          </w:p>
        </w:tc>
      </w:tr>
      <w:tr w:rsidR="00903A07" w:rsidRPr="00DC52EE" w:rsidTr="00BB7760">
        <w:trPr>
          <w:jc w:val="center"/>
        </w:trPr>
        <w:tc>
          <w:tcPr>
            <w:tcW w:w="470" w:type="pct"/>
            <w:tcBorders>
              <w:top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Total</w:t>
            </w:r>
          </w:p>
        </w:tc>
        <w:tc>
          <w:tcPr>
            <w:tcW w:w="491" w:type="pct"/>
            <w:tcBorders>
              <w:top w:val="single" w:sz="4" w:space="0" w:color="auto"/>
            </w:tcBorders>
            <w:vAlign w:val="center"/>
          </w:tcPr>
          <w:p w:rsidR="00903B0C" w:rsidRPr="00DC52EE" w:rsidRDefault="00903B0C" w:rsidP="00BB7760">
            <w:pPr>
              <w:pStyle w:val="NoSpacing"/>
              <w:snapToGrid w:val="0"/>
              <w:jc w:val="both"/>
              <w:rPr>
                <w:b/>
                <w:sz w:val="20"/>
                <w:szCs w:val="20"/>
              </w:rPr>
            </w:pPr>
          </w:p>
        </w:tc>
        <w:tc>
          <w:tcPr>
            <w:tcW w:w="923" w:type="pct"/>
            <w:tcBorders>
              <w:top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384</w:t>
            </w:r>
          </w:p>
        </w:tc>
        <w:tc>
          <w:tcPr>
            <w:tcW w:w="866" w:type="pct"/>
            <w:tcBorders>
              <w:top w:val="single" w:sz="4" w:space="0" w:color="auto"/>
            </w:tcBorders>
            <w:vAlign w:val="center"/>
          </w:tcPr>
          <w:p w:rsidR="00903B0C" w:rsidRPr="00DC52EE" w:rsidRDefault="00903B0C" w:rsidP="00BB7760">
            <w:pPr>
              <w:pStyle w:val="NoSpacing"/>
              <w:snapToGrid w:val="0"/>
              <w:jc w:val="both"/>
              <w:rPr>
                <w:b/>
                <w:sz w:val="20"/>
                <w:szCs w:val="20"/>
              </w:rPr>
            </w:pPr>
            <w:r w:rsidRPr="00DC52EE">
              <w:rPr>
                <w:b/>
                <w:sz w:val="20"/>
                <w:szCs w:val="20"/>
              </w:rPr>
              <w:t>261</w:t>
            </w:r>
          </w:p>
        </w:tc>
        <w:tc>
          <w:tcPr>
            <w:tcW w:w="667" w:type="pct"/>
            <w:tcBorders>
              <w:top w:val="single" w:sz="4" w:space="0" w:color="auto"/>
            </w:tcBorders>
            <w:vAlign w:val="center"/>
          </w:tcPr>
          <w:p w:rsidR="00903B0C" w:rsidRPr="00DC52EE" w:rsidRDefault="00167D21" w:rsidP="00BB7760">
            <w:pPr>
              <w:pStyle w:val="NoSpacing"/>
              <w:snapToGrid w:val="0"/>
              <w:jc w:val="both"/>
              <w:rPr>
                <w:b/>
                <w:sz w:val="20"/>
                <w:szCs w:val="20"/>
              </w:rPr>
            </w:pPr>
            <w:r w:rsidRPr="00DC52EE">
              <w:rPr>
                <w:b/>
                <w:sz w:val="20"/>
                <w:szCs w:val="20"/>
              </w:rPr>
              <w:t>67.9</w:t>
            </w:r>
          </w:p>
        </w:tc>
        <w:tc>
          <w:tcPr>
            <w:tcW w:w="484" w:type="pct"/>
            <w:tcBorders>
              <w:top w:val="single" w:sz="4" w:space="0" w:color="auto"/>
            </w:tcBorders>
            <w:vAlign w:val="center"/>
          </w:tcPr>
          <w:p w:rsidR="00903B0C" w:rsidRPr="00DC52EE" w:rsidRDefault="00903B0C" w:rsidP="00BB7760">
            <w:pPr>
              <w:pStyle w:val="NoSpacing"/>
              <w:snapToGrid w:val="0"/>
              <w:jc w:val="both"/>
              <w:rPr>
                <w:sz w:val="20"/>
                <w:szCs w:val="20"/>
              </w:rPr>
            </w:pPr>
          </w:p>
        </w:tc>
        <w:tc>
          <w:tcPr>
            <w:tcW w:w="296" w:type="pct"/>
            <w:tcBorders>
              <w:top w:val="single" w:sz="4" w:space="0" w:color="auto"/>
            </w:tcBorders>
            <w:vAlign w:val="center"/>
          </w:tcPr>
          <w:p w:rsidR="00903B0C" w:rsidRPr="00DC52EE" w:rsidRDefault="00903B0C" w:rsidP="00BB7760">
            <w:pPr>
              <w:pStyle w:val="NoSpacing"/>
              <w:snapToGrid w:val="0"/>
              <w:jc w:val="both"/>
              <w:rPr>
                <w:sz w:val="20"/>
                <w:szCs w:val="20"/>
              </w:rPr>
            </w:pPr>
          </w:p>
        </w:tc>
        <w:tc>
          <w:tcPr>
            <w:tcW w:w="803" w:type="pct"/>
            <w:tcBorders>
              <w:top w:val="single" w:sz="4" w:space="0" w:color="auto"/>
            </w:tcBorders>
            <w:vAlign w:val="center"/>
          </w:tcPr>
          <w:p w:rsidR="00903B0C" w:rsidRPr="00DC52EE" w:rsidRDefault="00903B0C" w:rsidP="00BB7760">
            <w:pPr>
              <w:pStyle w:val="NoSpacing"/>
              <w:snapToGrid w:val="0"/>
              <w:jc w:val="both"/>
              <w:rPr>
                <w:sz w:val="20"/>
                <w:szCs w:val="20"/>
              </w:rPr>
            </w:pPr>
          </w:p>
        </w:tc>
      </w:tr>
    </w:tbl>
    <w:p w:rsidR="0044635C" w:rsidRDefault="0044635C" w:rsidP="00BB7760">
      <w:pPr>
        <w:pStyle w:val="Default"/>
        <w:snapToGrid w:val="0"/>
        <w:ind w:firstLine="425"/>
        <w:jc w:val="both"/>
        <w:rPr>
          <w:rFonts w:ascii="Times New Roman" w:hAnsi="Times New Roman" w:cs="Times New Roman"/>
          <w:color w:val="auto"/>
          <w:sz w:val="20"/>
          <w:szCs w:val="20"/>
          <w:lang w:eastAsia="zh-CN"/>
        </w:rPr>
      </w:pPr>
    </w:p>
    <w:p w:rsidR="00286E43" w:rsidRPr="00DC52EE" w:rsidRDefault="00286E43" w:rsidP="00BB7760">
      <w:pPr>
        <w:pStyle w:val="Default"/>
        <w:snapToGrid w:val="0"/>
        <w:ind w:firstLine="425"/>
        <w:jc w:val="both"/>
        <w:rPr>
          <w:rFonts w:ascii="Times New Roman" w:hAnsi="Times New Roman" w:cs="Times New Roman"/>
          <w:color w:val="auto"/>
          <w:sz w:val="20"/>
          <w:szCs w:val="20"/>
          <w:lang w:eastAsia="zh-CN"/>
        </w:rPr>
      </w:pPr>
    </w:p>
    <w:p w:rsidR="00BB7760" w:rsidRPr="00DC52EE" w:rsidRDefault="00BB7760" w:rsidP="00BB7760">
      <w:pPr>
        <w:pStyle w:val="Default"/>
        <w:snapToGrid w:val="0"/>
        <w:jc w:val="both"/>
        <w:rPr>
          <w:rFonts w:ascii="Times New Roman" w:hAnsi="Times New Roman" w:cs="Times New Roman"/>
          <w:b/>
          <w:bCs/>
          <w:sz w:val="20"/>
          <w:szCs w:val="20"/>
        </w:rPr>
        <w:sectPr w:rsidR="00BB7760" w:rsidRPr="00DC52EE" w:rsidSect="00903A07">
          <w:type w:val="continuous"/>
          <w:pgSz w:w="12240" w:h="15840"/>
          <w:pgMar w:top="1440" w:right="1440" w:bottom="1440" w:left="1440" w:header="720" w:footer="720" w:gutter="0"/>
          <w:cols w:space="720"/>
          <w:noEndnote/>
          <w:docGrid w:linePitch="326"/>
        </w:sectPr>
      </w:pPr>
    </w:p>
    <w:p w:rsidR="00C3039B" w:rsidRPr="00DC52EE" w:rsidRDefault="00F95165" w:rsidP="00BB7760">
      <w:pPr>
        <w:pStyle w:val="Default"/>
        <w:snapToGrid w:val="0"/>
        <w:jc w:val="both"/>
        <w:rPr>
          <w:rFonts w:ascii="Times New Roman" w:hAnsi="Times New Roman" w:cs="Times New Roman"/>
          <w:b/>
          <w:bCs/>
          <w:sz w:val="20"/>
          <w:szCs w:val="20"/>
        </w:rPr>
      </w:pPr>
      <w:r w:rsidRPr="00DC52EE">
        <w:rPr>
          <w:rFonts w:ascii="Times New Roman" w:hAnsi="Times New Roman" w:cs="Times New Roman"/>
          <w:b/>
          <w:bCs/>
          <w:sz w:val="20"/>
          <w:szCs w:val="20"/>
        </w:rPr>
        <w:lastRenderedPageBreak/>
        <w:t>3</w:t>
      </w:r>
      <w:r w:rsidR="00795043" w:rsidRPr="00DC52EE">
        <w:rPr>
          <w:rFonts w:ascii="Times New Roman" w:hAnsi="Times New Roman" w:cs="Times New Roman"/>
          <w:b/>
          <w:bCs/>
          <w:sz w:val="20"/>
          <w:szCs w:val="20"/>
        </w:rPr>
        <w:t xml:space="preserve">.2. </w:t>
      </w:r>
      <w:r w:rsidR="00C3039B" w:rsidRPr="00DC52EE">
        <w:rPr>
          <w:rFonts w:ascii="Times New Roman" w:hAnsi="Times New Roman" w:cs="Times New Roman"/>
          <w:b/>
          <w:bCs/>
          <w:sz w:val="20"/>
          <w:szCs w:val="20"/>
        </w:rPr>
        <w:t>Prevalence of gastrointestinal parasites identified</w:t>
      </w:r>
    </w:p>
    <w:p w:rsidR="001A2699" w:rsidRPr="00DC52EE" w:rsidRDefault="00903A07" w:rsidP="00BB7760">
      <w:pPr>
        <w:pStyle w:val="Default"/>
        <w:snapToGrid w:val="0"/>
        <w:ind w:firstLine="425"/>
        <w:jc w:val="both"/>
        <w:rPr>
          <w:rFonts w:ascii="Times New Roman" w:hAnsi="Times New Roman" w:cs="Times New Roman"/>
          <w:color w:val="auto"/>
          <w:sz w:val="20"/>
          <w:szCs w:val="20"/>
        </w:rPr>
      </w:pPr>
      <w:r w:rsidRPr="00DC52EE">
        <w:rPr>
          <w:rFonts w:ascii="Times New Roman" w:hAnsi="Times New Roman" w:cs="Times New Roman"/>
          <w:color w:val="auto"/>
          <w:sz w:val="20"/>
          <w:szCs w:val="20"/>
        </w:rPr>
        <w:t>O</w:t>
      </w:r>
      <w:r w:rsidR="00F95165" w:rsidRPr="00DC52EE">
        <w:rPr>
          <w:rFonts w:ascii="Times New Roman" w:hAnsi="Times New Roman" w:cs="Times New Roman"/>
          <w:color w:val="auto"/>
          <w:sz w:val="20"/>
          <w:szCs w:val="20"/>
        </w:rPr>
        <w:t xml:space="preserve">ut of </w:t>
      </w:r>
      <w:r w:rsidR="00C3039B" w:rsidRPr="00DC52EE">
        <w:rPr>
          <w:rFonts w:ascii="Times New Roman" w:hAnsi="Times New Roman" w:cs="Times New Roman"/>
          <w:color w:val="auto"/>
          <w:sz w:val="20"/>
          <w:szCs w:val="20"/>
        </w:rPr>
        <w:t>the total 384 sheep and goats examined</w:t>
      </w:r>
      <w:r w:rsidR="00C3039B" w:rsidRPr="00DC52EE">
        <w:rPr>
          <w:rFonts w:ascii="Times New Roman" w:hAnsi="Times New Roman" w:cs="Times New Roman"/>
          <w:bCs/>
          <w:sz w:val="20"/>
          <w:szCs w:val="20"/>
        </w:rPr>
        <w:t xml:space="preserve"> during this study</w:t>
      </w:r>
      <w:r w:rsidR="00C3039B" w:rsidRPr="00DC52EE">
        <w:rPr>
          <w:rFonts w:ascii="Times New Roman" w:hAnsi="Times New Roman" w:cs="Times New Roman"/>
          <w:color w:val="auto"/>
          <w:sz w:val="20"/>
          <w:szCs w:val="20"/>
        </w:rPr>
        <w:t xml:space="preserve">, 261 (68.0%) were found infected with different species of gastro-intestinal parasites. Out of a total </w:t>
      </w:r>
      <w:r w:rsidR="00C3039B" w:rsidRPr="00DC52EE">
        <w:rPr>
          <w:rFonts w:ascii="Times New Roman" w:hAnsi="Times New Roman" w:cs="Times New Roman"/>
          <w:bCs/>
          <w:sz w:val="20"/>
          <w:szCs w:val="20"/>
        </w:rPr>
        <w:t>parasites identified,</w:t>
      </w:r>
      <w:r w:rsidR="00C3039B" w:rsidRPr="00DC52EE">
        <w:rPr>
          <w:rFonts w:ascii="Times New Roman" w:hAnsi="Times New Roman" w:cs="Times New Roman"/>
          <w:b/>
          <w:bCs/>
          <w:sz w:val="20"/>
          <w:szCs w:val="20"/>
        </w:rPr>
        <w:t xml:space="preserve"> </w:t>
      </w:r>
      <w:r w:rsidR="00C3039B" w:rsidRPr="00DC52EE">
        <w:rPr>
          <w:rFonts w:ascii="Times New Roman" w:hAnsi="Times New Roman" w:cs="Times New Roman"/>
          <w:color w:val="auto"/>
          <w:sz w:val="20"/>
          <w:szCs w:val="20"/>
        </w:rPr>
        <w:t xml:space="preserve">71 (27.2%), 31 (11.9%), 25 (9.5%), 21 (8 %), </w:t>
      </w:r>
      <w:r w:rsidR="00C3039B" w:rsidRPr="00DC52EE">
        <w:rPr>
          <w:rFonts w:ascii="Times New Roman" w:hAnsi="Times New Roman" w:cs="Times New Roman"/>
          <w:bCs/>
          <w:color w:val="auto"/>
          <w:sz w:val="20"/>
          <w:szCs w:val="20"/>
        </w:rPr>
        <w:t xml:space="preserve">16 (6.1 </w:t>
      </w:r>
      <w:r w:rsidR="00C3039B" w:rsidRPr="00DC52EE">
        <w:rPr>
          <w:rFonts w:ascii="Times New Roman" w:hAnsi="Times New Roman" w:cs="Times New Roman"/>
          <w:color w:val="auto"/>
          <w:sz w:val="20"/>
          <w:szCs w:val="20"/>
        </w:rPr>
        <w:t xml:space="preserve">%), </w:t>
      </w:r>
      <w:r w:rsidR="00C3039B" w:rsidRPr="00DC52EE">
        <w:rPr>
          <w:rFonts w:ascii="Times New Roman" w:hAnsi="Times New Roman" w:cs="Times New Roman"/>
          <w:bCs/>
          <w:color w:val="auto"/>
          <w:sz w:val="20"/>
          <w:szCs w:val="20"/>
        </w:rPr>
        <w:t xml:space="preserve">14 (5.3%) </w:t>
      </w:r>
      <w:r w:rsidR="00C3039B" w:rsidRPr="00DC52EE">
        <w:rPr>
          <w:rFonts w:ascii="Times New Roman" w:hAnsi="Times New Roman" w:cs="Times New Roman"/>
          <w:bCs/>
          <w:color w:val="auto"/>
          <w:sz w:val="20"/>
          <w:szCs w:val="20"/>
        </w:rPr>
        <w:lastRenderedPageBreak/>
        <w:t xml:space="preserve">and 10 (3.8%) were infected with </w:t>
      </w:r>
      <w:r w:rsidR="00C3039B" w:rsidRPr="00DC52EE">
        <w:rPr>
          <w:rFonts w:ascii="Times New Roman" w:hAnsi="Times New Roman" w:cs="Times New Roman"/>
          <w:i/>
          <w:color w:val="auto"/>
          <w:sz w:val="20"/>
          <w:szCs w:val="20"/>
        </w:rPr>
        <w:t>Haemonchus</w:t>
      </w:r>
      <w:r w:rsidR="00C3039B" w:rsidRPr="00DC52EE">
        <w:rPr>
          <w:rFonts w:ascii="Times New Roman" w:hAnsi="Times New Roman" w:cs="Times New Roman"/>
          <w:i/>
          <w:sz w:val="20"/>
          <w:szCs w:val="20"/>
        </w:rPr>
        <w:t xml:space="preserve">, </w:t>
      </w:r>
      <w:r w:rsidR="00C3039B" w:rsidRPr="00DC52EE">
        <w:rPr>
          <w:rFonts w:ascii="Times New Roman" w:hAnsi="Times New Roman" w:cs="Times New Roman"/>
          <w:i/>
          <w:color w:val="auto"/>
          <w:sz w:val="20"/>
          <w:szCs w:val="20"/>
        </w:rPr>
        <w:t xml:space="preserve">Trichostrongylus </w:t>
      </w:r>
      <w:r w:rsidR="00C3039B" w:rsidRPr="00DC52EE">
        <w:rPr>
          <w:rFonts w:ascii="Times New Roman" w:hAnsi="Times New Roman" w:cs="Times New Roman"/>
          <w:color w:val="auto"/>
          <w:sz w:val="20"/>
          <w:szCs w:val="20"/>
        </w:rPr>
        <w:t>and</w:t>
      </w:r>
      <w:r w:rsidR="00C3039B" w:rsidRPr="00DC52EE">
        <w:rPr>
          <w:rFonts w:ascii="Times New Roman" w:hAnsi="Times New Roman" w:cs="Times New Roman"/>
          <w:i/>
          <w:color w:val="auto"/>
          <w:sz w:val="20"/>
          <w:szCs w:val="20"/>
        </w:rPr>
        <w:t xml:space="preserve"> </w:t>
      </w:r>
      <w:r w:rsidR="00F702CC" w:rsidRPr="00DC52EE">
        <w:rPr>
          <w:rFonts w:ascii="Times New Roman" w:hAnsi="Times New Roman" w:cs="Times New Roman"/>
          <w:i/>
          <w:color w:val="auto"/>
          <w:sz w:val="20"/>
          <w:szCs w:val="20"/>
        </w:rPr>
        <w:t>Paramphistomum</w:t>
      </w:r>
      <w:r w:rsidR="00C3039B" w:rsidRPr="00DC52EE">
        <w:rPr>
          <w:rFonts w:ascii="Times New Roman" w:hAnsi="Times New Roman" w:cs="Times New Roman"/>
          <w:i/>
          <w:sz w:val="20"/>
          <w:szCs w:val="20"/>
        </w:rPr>
        <w:t xml:space="preserve">, </w:t>
      </w:r>
      <w:r w:rsidR="00C3039B" w:rsidRPr="00DC52EE">
        <w:rPr>
          <w:rFonts w:ascii="Times New Roman" w:hAnsi="Times New Roman" w:cs="Times New Roman"/>
          <w:i/>
          <w:color w:val="auto"/>
          <w:sz w:val="20"/>
          <w:szCs w:val="20"/>
        </w:rPr>
        <w:t xml:space="preserve">Emeria </w:t>
      </w:r>
      <w:r w:rsidR="00C3039B" w:rsidRPr="00DC52EE">
        <w:rPr>
          <w:rFonts w:ascii="Times New Roman" w:hAnsi="Times New Roman" w:cs="Times New Roman"/>
          <w:color w:val="auto"/>
          <w:sz w:val="20"/>
          <w:szCs w:val="20"/>
        </w:rPr>
        <w:t>and</w:t>
      </w:r>
      <w:r w:rsidR="00C3039B" w:rsidRPr="00DC52EE">
        <w:rPr>
          <w:rFonts w:ascii="Times New Roman" w:hAnsi="Times New Roman" w:cs="Times New Roman"/>
          <w:i/>
          <w:color w:val="auto"/>
          <w:sz w:val="20"/>
          <w:szCs w:val="20"/>
        </w:rPr>
        <w:t xml:space="preserve"> Fasciola</w:t>
      </w:r>
      <w:r w:rsidR="00C3039B" w:rsidRPr="00DC52EE">
        <w:rPr>
          <w:rFonts w:ascii="Times New Roman" w:hAnsi="Times New Roman" w:cs="Times New Roman"/>
          <w:i/>
          <w:sz w:val="20"/>
          <w:szCs w:val="20"/>
        </w:rPr>
        <w:t xml:space="preserve">, </w:t>
      </w:r>
      <w:r w:rsidR="00C3039B" w:rsidRPr="00DC52EE">
        <w:rPr>
          <w:rFonts w:ascii="Times New Roman" w:hAnsi="Times New Roman" w:cs="Times New Roman"/>
          <w:i/>
          <w:color w:val="auto"/>
          <w:sz w:val="20"/>
          <w:szCs w:val="20"/>
        </w:rPr>
        <w:t>monezia</w:t>
      </w:r>
      <w:r w:rsidR="00C3039B" w:rsidRPr="00DC52EE">
        <w:rPr>
          <w:rFonts w:ascii="Times New Roman" w:hAnsi="Times New Roman" w:cs="Times New Roman"/>
          <w:bCs/>
          <w:i/>
          <w:sz w:val="20"/>
          <w:szCs w:val="20"/>
        </w:rPr>
        <w:t xml:space="preserve">, </w:t>
      </w:r>
      <w:r w:rsidR="00C3039B" w:rsidRPr="00DC52EE">
        <w:rPr>
          <w:rFonts w:ascii="Times New Roman" w:hAnsi="Times New Roman" w:cs="Times New Roman"/>
          <w:bCs/>
          <w:i/>
          <w:color w:val="auto"/>
          <w:sz w:val="20"/>
          <w:szCs w:val="20"/>
        </w:rPr>
        <w:t xml:space="preserve">Trichuris </w:t>
      </w:r>
      <w:r w:rsidR="00C3039B" w:rsidRPr="00DC52EE">
        <w:rPr>
          <w:rFonts w:ascii="Times New Roman" w:hAnsi="Times New Roman" w:cs="Times New Roman"/>
          <w:bCs/>
          <w:color w:val="auto"/>
          <w:sz w:val="20"/>
          <w:szCs w:val="20"/>
        </w:rPr>
        <w:t xml:space="preserve">and </w:t>
      </w:r>
      <w:r w:rsidR="00F702CC" w:rsidRPr="00DC52EE">
        <w:rPr>
          <w:rFonts w:ascii="Times New Roman" w:hAnsi="Times New Roman" w:cs="Times New Roman"/>
          <w:bCs/>
          <w:i/>
          <w:color w:val="auto"/>
          <w:sz w:val="20"/>
          <w:szCs w:val="20"/>
        </w:rPr>
        <w:t>Ostertagia</w:t>
      </w:r>
      <w:r w:rsidR="00C3039B" w:rsidRPr="00DC52EE">
        <w:rPr>
          <w:rFonts w:ascii="Times New Roman" w:hAnsi="Times New Roman" w:cs="Times New Roman"/>
          <w:bCs/>
          <w:i/>
          <w:sz w:val="20"/>
          <w:szCs w:val="20"/>
        </w:rPr>
        <w:t xml:space="preserve">, </w:t>
      </w:r>
      <w:r w:rsidR="00F702CC" w:rsidRPr="00DC52EE">
        <w:rPr>
          <w:rFonts w:ascii="Times New Roman" w:hAnsi="Times New Roman" w:cs="Times New Roman"/>
          <w:bCs/>
          <w:i/>
          <w:color w:val="auto"/>
          <w:sz w:val="20"/>
          <w:szCs w:val="20"/>
        </w:rPr>
        <w:t>Strongloides</w:t>
      </w:r>
      <w:r w:rsidR="00C3039B" w:rsidRPr="00DC52EE">
        <w:rPr>
          <w:rFonts w:ascii="Times New Roman" w:hAnsi="Times New Roman" w:cs="Times New Roman"/>
          <w:bCs/>
          <w:i/>
          <w:sz w:val="20"/>
          <w:szCs w:val="20"/>
        </w:rPr>
        <w:t xml:space="preserve"> </w:t>
      </w:r>
      <w:r w:rsidR="00C3039B" w:rsidRPr="00DC52EE">
        <w:rPr>
          <w:rFonts w:ascii="Times New Roman" w:hAnsi="Times New Roman" w:cs="Times New Roman"/>
          <w:bCs/>
          <w:color w:val="auto"/>
          <w:sz w:val="20"/>
          <w:szCs w:val="20"/>
        </w:rPr>
        <w:t>and</w:t>
      </w:r>
      <w:r w:rsidR="00C3039B" w:rsidRPr="00DC52EE">
        <w:rPr>
          <w:rFonts w:ascii="Times New Roman" w:hAnsi="Times New Roman" w:cs="Times New Roman"/>
          <w:bCs/>
          <w:i/>
          <w:color w:val="auto"/>
          <w:sz w:val="20"/>
          <w:szCs w:val="20"/>
        </w:rPr>
        <w:t xml:space="preserve"> Ostertagia</w:t>
      </w:r>
      <w:r w:rsidR="00C3039B" w:rsidRPr="00DC52EE">
        <w:rPr>
          <w:rFonts w:ascii="Times New Roman" w:hAnsi="Times New Roman" w:cs="Times New Roman"/>
          <w:bCs/>
          <w:color w:val="auto"/>
          <w:sz w:val="20"/>
          <w:szCs w:val="20"/>
        </w:rPr>
        <w:t xml:space="preserve"> species according to their descending order of prevalence, respectively </w:t>
      </w:r>
      <w:r w:rsidR="00840EFD" w:rsidRPr="00DC52EE">
        <w:rPr>
          <w:rFonts w:ascii="Times New Roman" w:hAnsi="Times New Roman" w:cs="Times New Roman"/>
          <w:color w:val="auto"/>
          <w:sz w:val="20"/>
          <w:szCs w:val="20"/>
        </w:rPr>
        <w:t>(Table 3</w:t>
      </w:r>
      <w:r w:rsidR="00C3039B" w:rsidRPr="00DC52EE">
        <w:rPr>
          <w:rFonts w:ascii="Times New Roman" w:hAnsi="Times New Roman" w:cs="Times New Roman"/>
          <w:color w:val="auto"/>
          <w:sz w:val="20"/>
          <w:szCs w:val="20"/>
        </w:rPr>
        <w:t>). An i</w:t>
      </w:r>
      <w:r w:rsidR="00C3039B" w:rsidRPr="00DC52EE">
        <w:rPr>
          <w:rFonts w:ascii="Times New Roman" w:hAnsi="Times New Roman" w:cs="Times New Roman"/>
          <w:bCs/>
          <w:color w:val="auto"/>
          <w:sz w:val="20"/>
          <w:szCs w:val="20"/>
        </w:rPr>
        <w:t>ndividual animal was harbored with more than one species of parasites</w:t>
      </w:r>
      <w:r w:rsidR="00C3039B" w:rsidRPr="00DC52EE">
        <w:rPr>
          <w:rFonts w:ascii="Times New Roman" w:hAnsi="Times New Roman" w:cs="Times New Roman"/>
          <w:color w:val="auto"/>
          <w:sz w:val="20"/>
          <w:szCs w:val="20"/>
        </w:rPr>
        <w:t>.</w:t>
      </w:r>
      <w:r w:rsidR="00F748E5" w:rsidRPr="00DC52EE">
        <w:rPr>
          <w:rFonts w:ascii="Times New Roman" w:hAnsi="Times New Roman" w:cs="Times New Roman"/>
          <w:color w:val="auto"/>
          <w:sz w:val="20"/>
          <w:szCs w:val="20"/>
        </w:rPr>
        <w:t xml:space="preserve"> </w:t>
      </w:r>
    </w:p>
    <w:p w:rsidR="00BB7760" w:rsidRPr="00DC52EE" w:rsidRDefault="00BB7760" w:rsidP="00BB7760">
      <w:pPr>
        <w:autoSpaceDE w:val="0"/>
        <w:autoSpaceDN w:val="0"/>
        <w:adjustRightInd w:val="0"/>
        <w:snapToGrid w:val="0"/>
        <w:spacing w:after="0" w:line="240" w:lineRule="auto"/>
        <w:jc w:val="center"/>
        <w:rPr>
          <w:color w:val="FF0000"/>
          <w:sz w:val="20"/>
          <w:szCs w:val="20"/>
        </w:rPr>
        <w:sectPr w:rsidR="00BB7760" w:rsidRPr="00DC52EE" w:rsidSect="00BB7760">
          <w:type w:val="continuous"/>
          <w:pgSz w:w="12240" w:h="15840"/>
          <w:pgMar w:top="1440" w:right="1440" w:bottom="1440" w:left="1440" w:header="720" w:footer="720" w:gutter="0"/>
          <w:cols w:num="2" w:space="600"/>
          <w:noEndnote/>
          <w:docGrid w:linePitch="326"/>
        </w:sectPr>
      </w:pPr>
    </w:p>
    <w:p w:rsidR="001A2699" w:rsidRPr="00DC52EE" w:rsidRDefault="001A2699" w:rsidP="00BB7760">
      <w:pPr>
        <w:autoSpaceDE w:val="0"/>
        <w:autoSpaceDN w:val="0"/>
        <w:adjustRightInd w:val="0"/>
        <w:snapToGrid w:val="0"/>
        <w:spacing w:after="0" w:line="240" w:lineRule="auto"/>
        <w:jc w:val="center"/>
        <w:rPr>
          <w:color w:val="FF0000"/>
          <w:sz w:val="20"/>
          <w:szCs w:val="20"/>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4B37F3" w:rsidRPr="00DC52EE" w:rsidRDefault="00286E43" w:rsidP="00BB7760">
      <w:pPr>
        <w:autoSpaceDE w:val="0"/>
        <w:autoSpaceDN w:val="0"/>
        <w:adjustRightInd w:val="0"/>
        <w:snapToGrid w:val="0"/>
        <w:spacing w:after="0" w:line="240" w:lineRule="auto"/>
        <w:jc w:val="center"/>
        <w:rPr>
          <w:color w:val="000000"/>
          <w:sz w:val="20"/>
          <w:szCs w:val="20"/>
        </w:rPr>
      </w:pPr>
      <w:r>
        <w:rPr>
          <w:b/>
          <w:color w:val="000000"/>
          <w:sz w:val="20"/>
          <w:szCs w:val="20"/>
        </w:rPr>
        <w:t>Table</w:t>
      </w:r>
      <w:r>
        <w:rPr>
          <w:rFonts w:hint="eastAsia"/>
          <w:b/>
          <w:color w:val="000000"/>
          <w:sz w:val="20"/>
          <w:szCs w:val="20"/>
          <w:lang w:eastAsia="zh-CN"/>
        </w:rPr>
        <w:t xml:space="preserve"> </w:t>
      </w:r>
      <w:r w:rsidR="004B37F3" w:rsidRPr="00DC52EE">
        <w:rPr>
          <w:b/>
          <w:color w:val="000000"/>
          <w:sz w:val="20"/>
          <w:szCs w:val="20"/>
        </w:rPr>
        <w:t>2:</w:t>
      </w:r>
      <w:r w:rsidR="004B37F3" w:rsidRPr="00DC52EE">
        <w:rPr>
          <w:color w:val="000000"/>
          <w:sz w:val="20"/>
          <w:szCs w:val="20"/>
        </w:rPr>
        <w:t xml:space="preserve"> Prevalence of GIT parasite based on different species of parasites and animals</w:t>
      </w:r>
    </w:p>
    <w:tbl>
      <w:tblPr>
        <w:tblStyle w:val="LightShading1"/>
        <w:tblW w:w="5000" w:type="pct"/>
        <w:jc w:val="center"/>
        <w:tblCellMar>
          <w:left w:w="57" w:type="dxa"/>
          <w:right w:w="57" w:type="dxa"/>
        </w:tblCellMar>
        <w:tblLook w:val="0600"/>
      </w:tblPr>
      <w:tblGrid>
        <w:gridCol w:w="1768"/>
        <w:gridCol w:w="1745"/>
        <w:gridCol w:w="1476"/>
        <w:gridCol w:w="1783"/>
        <w:gridCol w:w="792"/>
        <w:gridCol w:w="589"/>
        <w:gridCol w:w="1321"/>
      </w:tblGrid>
      <w:tr w:rsidR="004B37F3" w:rsidRPr="00DC52EE" w:rsidTr="00BB7760">
        <w:trPr>
          <w:jc w:val="center"/>
        </w:trPr>
        <w:tc>
          <w:tcPr>
            <w:tcW w:w="933"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sz w:val="20"/>
                <w:szCs w:val="20"/>
              </w:rPr>
              <w:t>Species of parasite</w:t>
            </w:r>
          </w:p>
        </w:tc>
        <w:tc>
          <w:tcPr>
            <w:tcW w:w="921"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sz w:val="20"/>
                <w:szCs w:val="20"/>
              </w:rPr>
              <w:t>Species of animals</w:t>
            </w:r>
          </w:p>
        </w:tc>
        <w:tc>
          <w:tcPr>
            <w:tcW w:w="779"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color w:val="auto"/>
                <w:sz w:val="20"/>
                <w:szCs w:val="20"/>
              </w:rPr>
              <w:t>N</w:t>
            </w:r>
            <w:r w:rsidRPr="00DC52EE">
              <w:rPr>
                <w:b/>
                <w:color w:val="auto"/>
                <w:sz w:val="20"/>
                <w:szCs w:val="20"/>
                <w:u w:val="single"/>
                <w:vertAlign w:val="superscript"/>
              </w:rPr>
              <w:t>o</w:t>
            </w:r>
            <w:r w:rsidRPr="00DC52EE">
              <w:rPr>
                <w:b/>
                <w:color w:val="auto"/>
                <w:sz w:val="20"/>
                <w:szCs w:val="20"/>
              </w:rPr>
              <w:t xml:space="preserve"> of examined</w:t>
            </w:r>
          </w:p>
        </w:tc>
        <w:tc>
          <w:tcPr>
            <w:tcW w:w="941"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color w:val="auto"/>
                <w:sz w:val="20"/>
                <w:szCs w:val="20"/>
              </w:rPr>
              <w:t>N</w:t>
            </w:r>
            <w:r w:rsidRPr="00DC52EE">
              <w:rPr>
                <w:b/>
                <w:color w:val="auto"/>
                <w:sz w:val="20"/>
                <w:szCs w:val="20"/>
                <w:u w:val="single"/>
                <w:vertAlign w:val="superscript"/>
              </w:rPr>
              <w:t>o</w:t>
            </w:r>
            <w:r w:rsidRPr="00DC52EE">
              <w:rPr>
                <w:b/>
                <w:color w:val="auto"/>
                <w:sz w:val="20"/>
                <w:szCs w:val="20"/>
              </w:rPr>
              <w:t xml:space="preserve"> of </w:t>
            </w:r>
            <w:r w:rsidRPr="00DC52EE">
              <w:rPr>
                <w:b/>
                <w:sz w:val="20"/>
                <w:szCs w:val="20"/>
              </w:rPr>
              <w:t>positives (%)</w:t>
            </w:r>
          </w:p>
        </w:tc>
        <w:tc>
          <w:tcPr>
            <w:tcW w:w="418"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color w:val="auto"/>
                <w:sz w:val="20"/>
                <w:szCs w:val="20"/>
              </w:rPr>
              <w:t>P-value</w:t>
            </w:r>
          </w:p>
        </w:tc>
        <w:tc>
          <w:tcPr>
            <w:tcW w:w="311" w:type="pct"/>
            <w:vMerge w:val="restar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color w:val="auto"/>
                <w:sz w:val="20"/>
                <w:szCs w:val="20"/>
              </w:rPr>
              <w:t>OR</w:t>
            </w:r>
          </w:p>
        </w:tc>
        <w:tc>
          <w:tcPr>
            <w:tcW w:w="697" w:type="pct"/>
            <w:tcBorders>
              <w:top w:val="single" w:sz="8" w:space="0" w:color="000000" w:themeColor="text1"/>
              <w:bottom w:val="nil"/>
            </w:tcBorders>
            <w:vAlign w:val="center"/>
          </w:tcPr>
          <w:p w:rsidR="004B37F3" w:rsidRPr="00DC52EE" w:rsidRDefault="004B37F3" w:rsidP="00BB7760">
            <w:pPr>
              <w:pStyle w:val="NoSpacing"/>
              <w:snapToGrid w:val="0"/>
              <w:jc w:val="both"/>
              <w:rPr>
                <w:b/>
                <w:sz w:val="20"/>
                <w:szCs w:val="20"/>
              </w:rPr>
            </w:pPr>
            <w:r w:rsidRPr="00DC52EE">
              <w:rPr>
                <w:b/>
                <w:sz w:val="20"/>
                <w:szCs w:val="20"/>
              </w:rPr>
              <w:t>95% C</w:t>
            </w:r>
            <w:r w:rsidRPr="00DC52EE">
              <w:rPr>
                <w:b/>
                <w:color w:val="auto"/>
                <w:sz w:val="20"/>
                <w:szCs w:val="20"/>
              </w:rPr>
              <w:t xml:space="preserve">I </w:t>
            </w:r>
          </w:p>
        </w:tc>
      </w:tr>
      <w:tr w:rsidR="004B37F3" w:rsidRPr="00DC52EE" w:rsidTr="00BB7760">
        <w:trPr>
          <w:jc w:val="center"/>
        </w:trPr>
        <w:tc>
          <w:tcPr>
            <w:tcW w:w="933" w:type="pct"/>
            <w:vMerge/>
            <w:tcBorders>
              <w:top w:val="nil"/>
              <w:bottom w:val="single" w:sz="4" w:space="0" w:color="auto"/>
            </w:tcBorders>
            <w:vAlign w:val="center"/>
          </w:tcPr>
          <w:p w:rsidR="004B37F3" w:rsidRPr="00DC52EE" w:rsidRDefault="004B37F3" w:rsidP="00BB7760">
            <w:pPr>
              <w:pStyle w:val="NoSpacing"/>
              <w:snapToGrid w:val="0"/>
              <w:jc w:val="both"/>
              <w:rPr>
                <w:b/>
                <w:sz w:val="20"/>
                <w:szCs w:val="20"/>
              </w:rPr>
            </w:pPr>
          </w:p>
        </w:tc>
        <w:tc>
          <w:tcPr>
            <w:tcW w:w="921" w:type="pct"/>
            <w:vMerge/>
            <w:tcBorders>
              <w:top w:val="nil"/>
              <w:bottom w:val="single" w:sz="4" w:space="0" w:color="auto"/>
            </w:tcBorders>
            <w:vAlign w:val="center"/>
          </w:tcPr>
          <w:p w:rsidR="004B37F3" w:rsidRPr="00DC52EE" w:rsidRDefault="004B37F3" w:rsidP="00BB7760">
            <w:pPr>
              <w:pStyle w:val="NoSpacing"/>
              <w:snapToGrid w:val="0"/>
              <w:jc w:val="both"/>
              <w:rPr>
                <w:b/>
                <w:sz w:val="20"/>
                <w:szCs w:val="20"/>
              </w:rPr>
            </w:pPr>
          </w:p>
        </w:tc>
        <w:tc>
          <w:tcPr>
            <w:tcW w:w="779" w:type="pct"/>
            <w:vMerge/>
            <w:tcBorders>
              <w:top w:val="nil"/>
              <w:bottom w:val="single" w:sz="4" w:space="0" w:color="auto"/>
            </w:tcBorders>
            <w:vAlign w:val="center"/>
          </w:tcPr>
          <w:p w:rsidR="004B37F3" w:rsidRPr="00DC52EE" w:rsidRDefault="004B37F3" w:rsidP="00BB7760">
            <w:pPr>
              <w:pStyle w:val="NoSpacing"/>
              <w:snapToGrid w:val="0"/>
              <w:jc w:val="both"/>
              <w:rPr>
                <w:b/>
                <w:color w:val="auto"/>
                <w:sz w:val="20"/>
                <w:szCs w:val="20"/>
              </w:rPr>
            </w:pPr>
          </w:p>
        </w:tc>
        <w:tc>
          <w:tcPr>
            <w:tcW w:w="941" w:type="pct"/>
            <w:vMerge/>
            <w:tcBorders>
              <w:top w:val="nil"/>
              <w:bottom w:val="single" w:sz="4" w:space="0" w:color="auto"/>
            </w:tcBorders>
            <w:vAlign w:val="center"/>
          </w:tcPr>
          <w:p w:rsidR="004B37F3" w:rsidRPr="00DC52EE" w:rsidRDefault="004B37F3" w:rsidP="00BB7760">
            <w:pPr>
              <w:pStyle w:val="NoSpacing"/>
              <w:snapToGrid w:val="0"/>
              <w:jc w:val="both"/>
              <w:rPr>
                <w:b/>
                <w:color w:val="auto"/>
                <w:sz w:val="20"/>
                <w:szCs w:val="20"/>
              </w:rPr>
            </w:pPr>
          </w:p>
        </w:tc>
        <w:tc>
          <w:tcPr>
            <w:tcW w:w="418" w:type="pct"/>
            <w:vMerge/>
            <w:tcBorders>
              <w:top w:val="nil"/>
              <w:bottom w:val="single" w:sz="4" w:space="0" w:color="auto"/>
            </w:tcBorders>
            <w:vAlign w:val="center"/>
          </w:tcPr>
          <w:p w:rsidR="004B37F3" w:rsidRPr="00DC52EE" w:rsidRDefault="004B37F3" w:rsidP="00BB7760">
            <w:pPr>
              <w:pStyle w:val="NoSpacing"/>
              <w:snapToGrid w:val="0"/>
              <w:jc w:val="both"/>
              <w:rPr>
                <w:b/>
                <w:color w:val="auto"/>
                <w:sz w:val="20"/>
                <w:szCs w:val="20"/>
              </w:rPr>
            </w:pPr>
          </w:p>
        </w:tc>
        <w:tc>
          <w:tcPr>
            <w:tcW w:w="311" w:type="pct"/>
            <w:vMerge/>
            <w:tcBorders>
              <w:top w:val="nil"/>
              <w:bottom w:val="single" w:sz="4" w:space="0" w:color="auto"/>
            </w:tcBorders>
            <w:vAlign w:val="center"/>
          </w:tcPr>
          <w:p w:rsidR="004B37F3" w:rsidRPr="00DC52EE" w:rsidRDefault="004B37F3" w:rsidP="00BB7760">
            <w:pPr>
              <w:pStyle w:val="NoSpacing"/>
              <w:snapToGrid w:val="0"/>
              <w:jc w:val="both"/>
              <w:rPr>
                <w:b/>
                <w:color w:val="auto"/>
                <w:sz w:val="20"/>
                <w:szCs w:val="20"/>
              </w:rPr>
            </w:pPr>
          </w:p>
        </w:tc>
        <w:tc>
          <w:tcPr>
            <w:tcW w:w="697" w:type="pct"/>
            <w:tcBorders>
              <w:top w:val="nil"/>
              <w:bottom w:val="single" w:sz="4" w:space="0" w:color="auto"/>
            </w:tcBorders>
            <w:vAlign w:val="center"/>
          </w:tcPr>
          <w:p w:rsidR="004B37F3" w:rsidRPr="00DC52EE" w:rsidRDefault="004B37F3" w:rsidP="00BB7760">
            <w:pPr>
              <w:pStyle w:val="NoSpacing"/>
              <w:snapToGrid w:val="0"/>
              <w:jc w:val="both"/>
              <w:rPr>
                <w:b/>
                <w:sz w:val="20"/>
                <w:szCs w:val="20"/>
                <w:u w:val="single"/>
              </w:rPr>
            </w:pPr>
            <w:r w:rsidRPr="00DC52EE">
              <w:rPr>
                <w:b/>
                <w:color w:val="auto"/>
                <w:sz w:val="20"/>
                <w:szCs w:val="20"/>
              </w:rPr>
              <w:t>Lower</w:t>
            </w:r>
            <w:r w:rsidR="00903A07" w:rsidRPr="00DC52EE">
              <w:rPr>
                <w:b/>
                <w:color w:val="auto"/>
                <w:sz w:val="20"/>
                <w:szCs w:val="20"/>
              </w:rPr>
              <w:t xml:space="preserve"> </w:t>
            </w:r>
            <w:r w:rsidRPr="00DC52EE">
              <w:rPr>
                <w:b/>
                <w:color w:val="auto"/>
                <w:sz w:val="20"/>
                <w:szCs w:val="20"/>
              </w:rPr>
              <w:t>Upper</w:t>
            </w:r>
          </w:p>
        </w:tc>
      </w:tr>
      <w:tr w:rsidR="004B37F3" w:rsidRPr="00DC52EE" w:rsidTr="00BB7760">
        <w:trPr>
          <w:jc w:val="center"/>
        </w:trPr>
        <w:tc>
          <w:tcPr>
            <w:tcW w:w="933"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Haemonchus</w:t>
            </w:r>
          </w:p>
        </w:tc>
        <w:tc>
          <w:tcPr>
            <w:tcW w:w="921"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58</w:t>
            </w:r>
          </w:p>
        </w:tc>
        <w:tc>
          <w:tcPr>
            <w:tcW w:w="418"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0.230</w:t>
            </w:r>
          </w:p>
        </w:tc>
        <w:tc>
          <w:tcPr>
            <w:tcW w:w="311"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0.337</w:t>
            </w:r>
          </w:p>
        </w:tc>
        <w:tc>
          <w:tcPr>
            <w:tcW w:w="697" w:type="pct"/>
            <w:tcBorders>
              <w:top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0.684 - 4.870</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13</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Trichostrongylus</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14</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0.042</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2.148</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1.118 - 3.962</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17</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Strongyles</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8</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0.365</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0.545</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0.147 - 2.026</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6</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Trichuris</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4</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0.004</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1.825</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3.035 - 5.538</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12</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Ostertagia</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5</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0.231</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0.409</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0.095 - 1.765</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5</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840EFD" w:rsidP="00BB7760">
            <w:pPr>
              <w:pStyle w:val="NoSpacing"/>
              <w:snapToGrid w:val="0"/>
              <w:jc w:val="both"/>
              <w:rPr>
                <w:sz w:val="20"/>
                <w:szCs w:val="20"/>
              </w:rPr>
            </w:pPr>
            <w:r w:rsidRPr="00DC52EE">
              <w:rPr>
                <w:sz w:val="20"/>
                <w:szCs w:val="20"/>
              </w:rPr>
              <w:t>Chabertia</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11</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0.875</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0.900</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0.243 - 3.339</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5</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Fasciola</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21</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0.257</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0.136</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0.573 - 8.047</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4</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r w:rsidRPr="00DC52EE">
              <w:rPr>
                <w:sz w:val="20"/>
                <w:szCs w:val="20"/>
              </w:rPr>
              <w:t>Emeria</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17</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0.810</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0.869</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0.277 - 2.728</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8</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Align w:val="center"/>
          </w:tcPr>
          <w:p w:rsidR="004B37F3" w:rsidRPr="00DC52EE" w:rsidRDefault="00840EFD" w:rsidP="00BB7760">
            <w:pPr>
              <w:pStyle w:val="NoSpacing"/>
              <w:snapToGrid w:val="0"/>
              <w:jc w:val="both"/>
              <w:rPr>
                <w:sz w:val="20"/>
                <w:szCs w:val="20"/>
              </w:rPr>
            </w:pPr>
            <w:r w:rsidRPr="00DC52EE">
              <w:rPr>
                <w:sz w:val="20"/>
                <w:szCs w:val="20"/>
              </w:rPr>
              <w:t>Monezia</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22</w:t>
            </w:r>
          </w:p>
        </w:tc>
        <w:tc>
          <w:tcPr>
            <w:tcW w:w="418" w:type="pct"/>
            <w:vAlign w:val="center"/>
          </w:tcPr>
          <w:p w:rsidR="004B37F3" w:rsidRPr="00DC52EE" w:rsidRDefault="004B37F3" w:rsidP="00BB7760">
            <w:pPr>
              <w:pStyle w:val="NoSpacing"/>
              <w:snapToGrid w:val="0"/>
              <w:jc w:val="both"/>
              <w:rPr>
                <w:sz w:val="20"/>
                <w:szCs w:val="20"/>
              </w:rPr>
            </w:pPr>
            <w:r w:rsidRPr="00DC52EE">
              <w:rPr>
                <w:sz w:val="20"/>
                <w:szCs w:val="20"/>
              </w:rPr>
              <w:t>0.306</w:t>
            </w:r>
          </w:p>
        </w:tc>
        <w:tc>
          <w:tcPr>
            <w:tcW w:w="311" w:type="pct"/>
            <w:vAlign w:val="center"/>
          </w:tcPr>
          <w:p w:rsidR="004B37F3" w:rsidRPr="00DC52EE" w:rsidRDefault="004B37F3" w:rsidP="00BB7760">
            <w:pPr>
              <w:pStyle w:val="NoSpacing"/>
              <w:snapToGrid w:val="0"/>
              <w:jc w:val="both"/>
              <w:rPr>
                <w:sz w:val="20"/>
                <w:szCs w:val="20"/>
              </w:rPr>
            </w:pPr>
            <w:r w:rsidRPr="00DC52EE">
              <w:rPr>
                <w:sz w:val="20"/>
                <w:szCs w:val="20"/>
              </w:rPr>
              <w:t>0.545</w:t>
            </w: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0.171 - 1.742</w:t>
            </w:r>
          </w:p>
        </w:tc>
      </w:tr>
      <w:tr w:rsidR="004B37F3" w:rsidRPr="00DC52EE" w:rsidTr="00BB7760">
        <w:trPr>
          <w:jc w:val="center"/>
        </w:trPr>
        <w:tc>
          <w:tcPr>
            <w:tcW w:w="933" w:type="pct"/>
            <w:vAlign w:val="center"/>
          </w:tcPr>
          <w:p w:rsidR="004B37F3" w:rsidRPr="00DC52EE" w:rsidRDefault="004B37F3" w:rsidP="00BB7760">
            <w:pPr>
              <w:pStyle w:val="NoSpacing"/>
              <w:snapToGrid w:val="0"/>
              <w:jc w:val="both"/>
              <w:rPr>
                <w:sz w:val="20"/>
                <w:szCs w:val="20"/>
              </w:rPr>
            </w:pP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9</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r w:rsidRPr="00DC52EE">
              <w:rPr>
                <w:sz w:val="20"/>
                <w:szCs w:val="20"/>
              </w:rPr>
              <w:t>-</w:t>
            </w:r>
          </w:p>
        </w:tc>
      </w:tr>
      <w:tr w:rsidR="004B37F3" w:rsidRPr="00DC52EE" w:rsidTr="00BB7760">
        <w:trPr>
          <w:jc w:val="center"/>
        </w:trPr>
        <w:tc>
          <w:tcPr>
            <w:tcW w:w="933" w:type="pct"/>
            <w:vMerge w:val="restart"/>
            <w:vAlign w:val="center"/>
          </w:tcPr>
          <w:p w:rsidR="004B37F3" w:rsidRPr="00DC52EE" w:rsidRDefault="004B37F3" w:rsidP="00BB7760">
            <w:pPr>
              <w:pStyle w:val="NoSpacing"/>
              <w:snapToGrid w:val="0"/>
              <w:jc w:val="both"/>
              <w:rPr>
                <w:sz w:val="20"/>
                <w:szCs w:val="20"/>
              </w:rPr>
            </w:pPr>
            <w:r w:rsidRPr="00DC52EE">
              <w:rPr>
                <w:sz w:val="20"/>
                <w:szCs w:val="20"/>
              </w:rPr>
              <w:t>Paraphistomum</w:t>
            </w:r>
          </w:p>
        </w:tc>
        <w:tc>
          <w:tcPr>
            <w:tcW w:w="921" w:type="pct"/>
            <w:vAlign w:val="center"/>
          </w:tcPr>
          <w:p w:rsidR="004B37F3" w:rsidRPr="00DC52EE" w:rsidRDefault="004B37F3" w:rsidP="00BB7760">
            <w:pPr>
              <w:pStyle w:val="NoSpacing"/>
              <w:snapToGrid w:val="0"/>
              <w:jc w:val="both"/>
              <w:rPr>
                <w:sz w:val="20"/>
                <w:szCs w:val="20"/>
              </w:rPr>
            </w:pPr>
            <w:r w:rsidRPr="00DC52EE">
              <w:rPr>
                <w:sz w:val="20"/>
                <w:szCs w:val="20"/>
              </w:rPr>
              <w:t>Ovine</w:t>
            </w:r>
          </w:p>
        </w:tc>
        <w:tc>
          <w:tcPr>
            <w:tcW w:w="779" w:type="pct"/>
            <w:vAlign w:val="center"/>
          </w:tcPr>
          <w:p w:rsidR="004B37F3" w:rsidRPr="00DC52EE" w:rsidRDefault="004B37F3" w:rsidP="00BB7760">
            <w:pPr>
              <w:pStyle w:val="NoSpacing"/>
              <w:snapToGrid w:val="0"/>
              <w:jc w:val="both"/>
              <w:rPr>
                <w:sz w:val="20"/>
                <w:szCs w:val="20"/>
              </w:rPr>
            </w:pPr>
            <w:r w:rsidRPr="00DC52EE">
              <w:rPr>
                <w:sz w:val="20"/>
                <w:szCs w:val="20"/>
              </w:rPr>
              <w:t>244</w:t>
            </w:r>
          </w:p>
        </w:tc>
        <w:tc>
          <w:tcPr>
            <w:tcW w:w="941" w:type="pct"/>
            <w:vAlign w:val="center"/>
          </w:tcPr>
          <w:p w:rsidR="004B37F3" w:rsidRPr="00DC52EE" w:rsidRDefault="004B37F3" w:rsidP="00BB7760">
            <w:pPr>
              <w:pStyle w:val="NoSpacing"/>
              <w:snapToGrid w:val="0"/>
              <w:jc w:val="both"/>
              <w:rPr>
                <w:sz w:val="20"/>
                <w:szCs w:val="20"/>
              </w:rPr>
            </w:pPr>
            <w:r w:rsidRPr="00DC52EE">
              <w:rPr>
                <w:sz w:val="20"/>
                <w:szCs w:val="20"/>
              </w:rPr>
              <w:t>22</w:t>
            </w:r>
          </w:p>
        </w:tc>
        <w:tc>
          <w:tcPr>
            <w:tcW w:w="418" w:type="pct"/>
            <w:vAlign w:val="center"/>
          </w:tcPr>
          <w:p w:rsidR="004B37F3" w:rsidRPr="00DC52EE" w:rsidRDefault="004B37F3" w:rsidP="00BB7760">
            <w:pPr>
              <w:pStyle w:val="NoSpacing"/>
              <w:snapToGrid w:val="0"/>
              <w:jc w:val="both"/>
              <w:rPr>
                <w:sz w:val="20"/>
                <w:szCs w:val="20"/>
              </w:rPr>
            </w:pPr>
          </w:p>
        </w:tc>
        <w:tc>
          <w:tcPr>
            <w:tcW w:w="311" w:type="pct"/>
            <w:vAlign w:val="center"/>
          </w:tcPr>
          <w:p w:rsidR="004B37F3" w:rsidRPr="00DC52EE" w:rsidRDefault="004B37F3" w:rsidP="00BB7760">
            <w:pPr>
              <w:pStyle w:val="NoSpacing"/>
              <w:snapToGrid w:val="0"/>
              <w:jc w:val="both"/>
              <w:rPr>
                <w:sz w:val="20"/>
                <w:szCs w:val="20"/>
              </w:rPr>
            </w:pPr>
          </w:p>
        </w:tc>
        <w:tc>
          <w:tcPr>
            <w:tcW w:w="697" w:type="pct"/>
            <w:vAlign w:val="center"/>
          </w:tcPr>
          <w:p w:rsidR="004B37F3" w:rsidRPr="00DC52EE" w:rsidRDefault="004B37F3" w:rsidP="00BB7760">
            <w:pPr>
              <w:pStyle w:val="NoSpacing"/>
              <w:snapToGrid w:val="0"/>
              <w:jc w:val="both"/>
              <w:rPr>
                <w:sz w:val="20"/>
                <w:szCs w:val="20"/>
              </w:rPr>
            </w:pPr>
          </w:p>
        </w:tc>
      </w:tr>
      <w:tr w:rsidR="004B37F3" w:rsidRPr="00DC52EE" w:rsidTr="00BB7760">
        <w:trPr>
          <w:jc w:val="center"/>
        </w:trPr>
        <w:tc>
          <w:tcPr>
            <w:tcW w:w="933" w:type="pct"/>
            <w:vMerge/>
            <w:tcBorders>
              <w:bottom w:val="single" w:sz="4" w:space="0" w:color="auto"/>
            </w:tcBorders>
            <w:vAlign w:val="center"/>
          </w:tcPr>
          <w:p w:rsidR="004B37F3" w:rsidRPr="00DC52EE" w:rsidRDefault="004B37F3" w:rsidP="00BB7760">
            <w:pPr>
              <w:pStyle w:val="NoSpacing"/>
              <w:snapToGrid w:val="0"/>
              <w:jc w:val="both"/>
              <w:rPr>
                <w:sz w:val="20"/>
                <w:szCs w:val="20"/>
              </w:rPr>
            </w:pPr>
          </w:p>
        </w:tc>
        <w:tc>
          <w:tcPr>
            <w:tcW w:w="921" w:type="pct"/>
            <w:tcBorders>
              <w:bottom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Caprine</w:t>
            </w:r>
          </w:p>
        </w:tc>
        <w:tc>
          <w:tcPr>
            <w:tcW w:w="779" w:type="pct"/>
            <w:tcBorders>
              <w:bottom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140</w:t>
            </w:r>
          </w:p>
        </w:tc>
        <w:tc>
          <w:tcPr>
            <w:tcW w:w="941" w:type="pct"/>
            <w:tcBorders>
              <w:bottom w:val="single" w:sz="4" w:space="0" w:color="auto"/>
            </w:tcBorders>
            <w:vAlign w:val="center"/>
          </w:tcPr>
          <w:p w:rsidR="004B37F3" w:rsidRPr="00DC52EE" w:rsidRDefault="004B37F3" w:rsidP="00BB7760">
            <w:pPr>
              <w:pStyle w:val="NoSpacing"/>
              <w:snapToGrid w:val="0"/>
              <w:jc w:val="both"/>
              <w:rPr>
                <w:sz w:val="20"/>
                <w:szCs w:val="20"/>
              </w:rPr>
            </w:pPr>
            <w:r w:rsidRPr="00DC52EE">
              <w:rPr>
                <w:sz w:val="20"/>
                <w:szCs w:val="20"/>
              </w:rPr>
              <w:t>9</w:t>
            </w:r>
          </w:p>
        </w:tc>
        <w:tc>
          <w:tcPr>
            <w:tcW w:w="418" w:type="pct"/>
            <w:tcBorders>
              <w:bottom w:val="single" w:sz="4" w:space="0" w:color="auto"/>
            </w:tcBorders>
            <w:vAlign w:val="center"/>
          </w:tcPr>
          <w:p w:rsidR="004B37F3" w:rsidRPr="00DC52EE" w:rsidRDefault="004B37F3" w:rsidP="00BB7760">
            <w:pPr>
              <w:pStyle w:val="NoSpacing"/>
              <w:snapToGrid w:val="0"/>
              <w:jc w:val="both"/>
              <w:rPr>
                <w:sz w:val="20"/>
                <w:szCs w:val="20"/>
              </w:rPr>
            </w:pPr>
          </w:p>
        </w:tc>
        <w:tc>
          <w:tcPr>
            <w:tcW w:w="311" w:type="pct"/>
            <w:tcBorders>
              <w:bottom w:val="single" w:sz="4" w:space="0" w:color="auto"/>
            </w:tcBorders>
            <w:vAlign w:val="center"/>
          </w:tcPr>
          <w:p w:rsidR="004B37F3" w:rsidRPr="00DC52EE" w:rsidRDefault="004B37F3" w:rsidP="00BB7760">
            <w:pPr>
              <w:pStyle w:val="NoSpacing"/>
              <w:snapToGrid w:val="0"/>
              <w:jc w:val="both"/>
              <w:rPr>
                <w:sz w:val="20"/>
                <w:szCs w:val="20"/>
              </w:rPr>
            </w:pPr>
          </w:p>
        </w:tc>
        <w:tc>
          <w:tcPr>
            <w:tcW w:w="697" w:type="pct"/>
            <w:tcBorders>
              <w:bottom w:val="single" w:sz="4" w:space="0" w:color="auto"/>
            </w:tcBorders>
            <w:vAlign w:val="center"/>
          </w:tcPr>
          <w:p w:rsidR="004B37F3" w:rsidRPr="00DC52EE" w:rsidRDefault="004B37F3" w:rsidP="00BB7760">
            <w:pPr>
              <w:pStyle w:val="NoSpacing"/>
              <w:snapToGrid w:val="0"/>
              <w:jc w:val="both"/>
              <w:rPr>
                <w:sz w:val="20"/>
                <w:szCs w:val="20"/>
              </w:rPr>
            </w:pPr>
          </w:p>
        </w:tc>
      </w:tr>
      <w:tr w:rsidR="004B37F3" w:rsidRPr="00DC52EE" w:rsidTr="00BB7760">
        <w:trPr>
          <w:jc w:val="center"/>
        </w:trPr>
        <w:tc>
          <w:tcPr>
            <w:tcW w:w="933"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r w:rsidRPr="00DC52EE">
              <w:rPr>
                <w:b/>
                <w:sz w:val="20"/>
                <w:szCs w:val="20"/>
              </w:rPr>
              <w:t>Total</w:t>
            </w:r>
          </w:p>
        </w:tc>
        <w:tc>
          <w:tcPr>
            <w:tcW w:w="921"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i/>
                <w:sz w:val="20"/>
                <w:szCs w:val="20"/>
              </w:rPr>
            </w:pPr>
          </w:p>
        </w:tc>
        <w:tc>
          <w:tcPr>
            <w:tcW w:w="779"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r w:rsidRPr="00DC52EE">
              <w:rPr>
                <w:b/>
                <w:sz w:val="20"/>
                <w:szCs w:val="20"/>
              </w:rPr>
              <w:t>384</w:t>
            </w:r>
          </w:p>
        </w:tc>
        <w:tc>
          <w:tcPr>
            <w:tcW w:w="941"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r w:rsidRPr="00DC52EE">
              <w:rPr>
                <w:b/>
                <w:sz w:val="20"/>
                <w:szCs w:val="20"/>
              </w:rPr>
              <w:t>261</w:t>
            </w:r>
            <w:r w:rsidR="00167D21" w:rsidRPr="00DC52EE">
              <w:rPr>
                <w:b/>
                <w:sz w:val="20"/>
                <w:szCs w:val="20"/>
              </w:rPr>
              <w:t xml:space="preserve"> (67.9%</w:t>
            </w:r>
            <w:r w:rsidRPr="00DC52EE">
              <w:rPr>
                <w:b/>
                <w:sz w:val="20"/>
                <w:szCs w:val="20"/>
              </w:rPr>
              <w:t>)</w:t>
            </w:r>
          </w:p>
        </w:tc>
        <w:tc>
          <w:tcPr>
            <w:tcW w:w="418"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p>
        </w:tc>
        <w:tc>
          <w:tcPr>
            <w:tcW w:w="311"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p>
        </w:tc>
        <w:tc>
          <w:tcPr>
            <w:tcW w:w="697" w:type="pct"/>
            <w:tcBorders>
              <w:top w:val="single" w:sz="4" w:space="0" w:color="auto"/>
              <w:bottom w:val="single" w:sz="8" w:space="0" w:color="000000" w:themeColor="text1"/>
            </w:tcBorders>
            <w:vAlign w:val="center"/>
          </w:tcPr>
          <w:p w:rsidR="004B37F3" w:rsidRPr="00DC52EE" w:rsidRDefault="004B37F3" w:rsidP="00BB7760">
            <w:pPr>
              <w:pStyle w:val="NoSpacing"/>
              <w:snapToGrid w:val="0"/>
              <w:jc w:val="both"/>
              <w:rPr>
                <w:b/>
                <w:sz w:val="20"/>
                <w:szCs w:val="20"/>
              </w:rPr>
            </w:pPr>
          </w:p>
        </w:tc>
      </w:tr>
    </w:tbl>
    <w:p w:rsidR="00AA6956" w:rsidRPr="00DC52EE" w:rsidRDefault="00AA6956" w:rsidP="00BB7760">
      <w:pPr>
        <w:autoSpaceDE w:val="0"/>
        <w:autoSpaceDN w:val="0"/>
        <w:adjustRightInd w:val="0"/>
        <w:snapToGrid w:val="0"/>
        <w:spacing w:after="0" w:line="240" w:lineRule="auto"/>
        <w:jc w:val="center"/>
        <w:rPr>
          <w:b/>
          <w:color w:val="000000"/>
          <w:sz w:val="20"/>
          <w:szCs w:val="20"/>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286E43" w:rsidRDefault="00286E43" w:rsidP="00BB7760">
      <w:pPr>
        <w:autoSpaceDE w:val="0"/>
        <w:autoSpaceDN w:val="0"/>
        <w:adjustRightInd w:val="0"/>
        <w:snapToGrid w:val="0"/>
        <w:spacing w:after="0" w:line="240" w:lineRule="auto"/>
        <w:jc w:val="center"/>
        <w:rPr>
          <w:b/>
          <w:color w:val="000000"/>
          <w:sz w:val="20"/>
          <w:szCs w:val="20"/>
          <w:lang w:eastAsia="zh-CN"/>
        </w:rPr>
      </w:pPr>
    </w:p>
    <w:p w:rsidR="00903B0C" w:rsidRPr="00DC52EE" w:rsidRDefault="00736DA9" w:rsidP="00BB7760">
      <w:pPr>
        <w:autoSpaceDE w:val="0"/>
        <w:autoSpaceDN w:val="0"/>
        <w:adjustRightInd w:val="0"/>
        <w:snapToGrid w:val="0"/>
        <w:spacing w:after="0" w:line="240" w:lineRule="auto"/>
        <w:jc w:val="center"/>
        <w:rPr>
          <w:color w:val="000000"/>
          <w:sz w:val="20"/>
          <w:szCs w:val="20"/>
        </w:rPr>
      </w:pPr>
      <w:r w:rsidRPr="00DC52EE">
        <w:rPr>
          <w:b/>
          <w:color w:val="000000"/>
          <w:sz w:val="20"/>
          <w:szCs w:val="20"/>
        </w:rPr>
        <w:t>Table</w:t>
      </w:r>
      <w:r w:rsidR="00286E43">
        <w:rPr>
          <w:rFonts w:hint="eastAsia"/>
          <w:b/>
          <w:color w:val="000000"/>
          <w:sz w:val="20"/>
          <w:szCs w:val="20"/>
          <w:lang w:eastAsia="zh-CN"/>
        </w:rPr>
        <w:t xml:space="preserve"> </w:t>
      </w:r>
      <w:r w:rsidRPr="00DC52EE">
        <w:rPr>
          <w:b/>
          <w:color w:val="000000"/>
          <w:sz w:val="20"/>
          <w:szCs w:val="20"/>
        </w:rPr>
        <w:t>3</w:t>
      </w:r>
      <w:r w:rsidR="00903B0C" w:rsidRPr="00DC52EE">
        <w:rPr>
          <w:b/>
          <w:color w:val="000000"/>
          <w:sz w:val="20"/>
          <w:szCs w:val="20"/>
        </w:rPr>
        <w:t>:</w:t>
      </w:r>
      <w:r w:rsidR="00F95165" w:rsidRPr="00DC52EE">
        <w:rPr>
          <w:color w:val="000000"/>
          <w:sz w:val="20"/>
          <w:szCs w:val="20"/>
        </w:rPr>
        <w:t xml:space="preserve"> Prevalence of Gastrointestinal parasite</w:t>
      </w:r>
      <w:r w:rsidR="00903B0C" w:rsidRPr="00DC52EE">
        <w:rPr>
          <w:color w:val="000000"/>
          <w:sz w:val="20"/>
          <w:szCs w:val="20"/>
        </w:rPr>
        <w:t xml:space="preserve"> based on different species of parasites and animals</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00"/>
      </w:tblPr>
      <w:tblGrid>
        <w:gridCol w:w="816"/>
        <w:gridCol w:w="1000"/>
        <w:gridCol w:w="1082"/>
        <w:gridCol w:w="741"/>
        <w:gridCol w:w="934"/>
        <w:gridCol w:w="781"/>
        <w:gridCol w:w="554"/>
        <w:gridCol w:w="608"/>
        <w:gridCol w:w="581"/>
        <w:gridCol w:w="514"/>
        <w:gridCol w:w="461"/>
        <w:gridCol w:w="534"/>
        <w:gridCol w:w="868"/>
      </w:tblGrid>
      <w:tr w:rsidR="00BB7760" w:rsidRPr="00286E43" w:rsidTr="00286E43">
        <w:trPr>
          <w:cantSplit/>
          <w:jc w:val="center"/>
        </w:trPr>
        <w:tc>
          <w:tcPr>
            <w:tcW w:w="0" w:type="auto"/>
            <w:vMerge w:val="restart"/>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Variables</w:t>
            </w:r>
          </w:p>
        </w:tc>
        <w:tc>
          <w:tcPr>
            <w:tcW w:w="0" w:type="auto"/>
            <w:vMerge w:val="restart"/>
            <w:vAlign w:val="center"/>
          </w:tcPr>
          <w:p w:rsidR="00903B0C" w:rsidRPr="00286E43" w:rsidRDefault="00903B0C" w:rsidP="00286E43">
            <w:pPr>
              <w:autoSpaceDE w:val="0"/>
              <w:autoSpaceDN w:val="0"/>
              <w:adjustRightInd w:val="0"/>
              <w:snapToGrid w:val="0"/>
              <w:rPr>
                <w:sz w:val="12"/>
                <w:szCs w:val="12"/>
              </w:rPr>
            </w:pPr>
            <w:r w:rsidRPr="00286E43">
              <w:rPr>
                <w:sz w:val="12"/>
                <w:szCs w:val="12"/>
              </w:rPr>
              <w:t>No of</w:t>
            </w:r>
            <w:r w:rsidR="00903A07" w:rsidRPr="00286E43">
              <w:rPr>
                <w:sz w:val="12"/>
                <w:szCs w:val="12"/>
              </w:rPr>
              <w:t xml:space="preserve"> </w:t>
            </w:r>
            <w:r w:rsidRPr="00286E43">
              <w:rPr>
                <w:sz w:val="12"/>
                <w:szCs w:val="12"/>
              </w:rPr>
              <w:t>animals examined</w:t>
            </w:r>
          </w:p>
        </w:tc>
        <w:tc>
          <w:tcPr>
            <w:tcW w:w="0" w:type="auto"/>
            <w:vMerge w:val="restart"/>
            <w:vAlign w:val="center"/>
          </w:tcPr>
          <w:p w:rsidR="00903B0C" w:rsidRPr="00286E43" w:rsidRDefault="00903B0C" w:rsidP="00286E43">
            <w:pPr>
              <w:autoSpaceDE w:val="0"/>
              <w:autoSpaceDN w:val="0"/>
              <w:adjustRightInd w:val="0"/>
              <w:snapToGrid w:val="0"/>
              <w:rPr>
                <w:sz w:val="12"/>
                <w:szCs w:val="12"/>
              </w:rPr>
            </w:pPr>
            <w:r w:rsidRPr="00286E43">
              <w:rPr>
                <w:sz w:val="12"/>
                <w:szCs w:val="12"/>
              </w:rPr>
              <w:t>No of overall</w:t>
            </w:r>
            <w:r w:rsidR="00BB7760" w:rsidRPr="00286E43">
              <w:rPr>
                <w:sz w:val="12"/>
                <w:szCs w:val="12"/>
              </w:rPr>
              <w:t xml:space="preserve"> </w:t>
            </w:r>
            <w:r w:rsidRPr="00286E43">
              <w:rPr>
                <w:sz w:val="12"/>
                <w:szCs w:val="12"/>
              </w:rPr>
              <w:t>Positives (%)</w:t>
            </w:r>
            <w:r w:rsidR="00BB7760" w:rsidRPr="00286E43">
              <w:rPr>
                <w:sz w:val="12"/>
                <w:szCs w:val="12"/>
              </w:rPr>
              <w:t xml:space="preserve"> </w:t>
            </w:r>
          </w:p>
        </w:tc>
        <w:tc>
          <w:tcPr>
            <w:tcW w:w="0" w:type="auto"/>
            <w:gridSpan w:val="8"/>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Species of Parasites </w:t>
            </w:r>
            <w:r w:rsidRPr="00286E43">
              <w:rPr>
                <w:sz w:val="12"/>
                <w:szCs w:val="12"/>
              </w:rPr>
              <w:t>(%)</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r>
      <w:tr w:rsidR="00BB7760" w:rsidRPr="00286E43" w:rsidTr="00286E43">
        <w:trPr>
          <w:cantSplit/>
          <w:jc w:val="center"/>
        </w:trPr>
        <w:tc>
          <w:tcPr>
            <w:tcW w:w="0" w:type="auto"/>
            <w:vMerge/>
            <w:vAlign w:val="center"/>
          </w:tcPr>
          <w:p w:rsidR="00903B0C" w:rsidRPr="00286E43" w:rsidRDefault="00903B0C" w:rsidP="00286E43">
            <w:pPr>
              <w:autoSpaceDE w:val="0"/>
              <w:autoSpaceDN w:val="0"/>
              <w:adjustRightInd w:val="0"/>
              <w:snapToGrid w:val="0"/>
              <w:rPr>
                <w:color w:val="000000"/>
                <w:sz w:val="12"/>
                <w:szCs w:val="12"/>
              </w:rPr>
            </w:pPr>
          </w:p>
        </w:tc>
        <w:tc>
          <w:tcPr>
            <w:tcW w:w="0" w:type="auto"/>
            <w:vMerge/>
            <w:vAlign w:val="center"/>
          </w:tcPr>
          <w:p w:rsidR="00903B0C" w:rsidRPr="00286E43" w:rsidRDefault="00903B0C" w:rsidP="00286E43">
            <w:pPr>
              <w:autoSpaceDE w:val="0"/>
              <w:autoSpaceDN w:val="0"/>
              <w:adjustRightInd w:val="0"/>
              <w:snapToGrid w:val="0"/>
              <w:rPr>
                <w:color w:val="000000"/>
                <w:sz w:val="12"/>
                <w:szCs w:val="12"/>
              </w:rPr>
            </w:pPr>
          </w:p>
        </w:tc>
        <w:tc>
          <w:tcPr>
            <w:tcW w:w="0" w:type="auto"/>
            <w:vMerge/>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Haemonchus</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 xml:space="preserve">Trichostrongylus </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 xml:space="preserve">Strongyloides </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Trichuris</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Ostertagia</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Chabertia</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Fasciola</w:t>
            </w:r>
          </w:p>
        </w:tc>
        <w:tc>
          <w:tcPr>
            <w:tcW w:w="0" w:type="auto"/>
            <w:vAlign w:val="center"/>
          </w:tcPr>
          <w:p w:rsidR="00903B0C" w:rsidRPr="00286E43" w:rsidRDefault="00903B0C" w:rsidP="00286E43">
            <w:pPr>
              <w:autoSpaceDE w:val="0"/>
              <w:autoSpaceDN w:val="0"/>
              <w:adjustRightInd w:val="0"/>
              <w:snapToGrid w:val="0"/>
              <w:rPr>
                <w:color w:val="000000"/>
                <w:sz w:val="12"/>
                <w:szCs w:val="12"/>
                <w:u w:val="single"/>
              </w:rPr>
            </w:pPr>
            <w:r w:rsidRPr="00286E43">
              <w:rPr>
                <w:color w:val="000000"/>
                <w:sz w:val="12"/>
                <w:szCs w:val="12"/>
              </w:rPr>
              <w:t>Emeria</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Monezia</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Paraphistomum</w:t>
            </w:r>
          </w:p>
        </w:tc>
      </w:tr>
      <w:tr w:rsidR="00BB7760" w:rsidRPr="00286E43" w:rsidTr="00286E43">
        <w:trPr>
          <w:cantSplit/>
          <w:jc w:val="center"/>
        </w:trPr>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b/>
                <w:color w:val="000000"/>
                <w:sz w:val="12"/>
                <w:szCs w:val="12"/>
              </w:rPr>
              <w:t xml:space="preserve">Animal Species </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b/>
                <w:color w:val="000000"/>
                <w:sz w:val="12"/>
                <w:szCs w:val="12"/>
              </w:rPr>
            </w:pPr>
          </w:p>
        </w:tc>
      </w:tr>
      <w:tr w:rsidR="00BB7760" w:rsidRPr="00286E43" w:rsidTr="00286E43">
        <w:trPr>
          <w:cantSplit/>
          <w:jc w:val="center"/>
        </w:trPr>
        <w:tc>
          <w:tcPr>
            <w:tcW w:w="0" w:type="auto"/>
            <w:vMerge w:val="restart"/>
            <w:vAlign w:val="center"/>
          </w:tcPr>
          <w:p w:rsidR="00903B0C" w:rsidRPr="00286E43" w:rsidRDefault="00903A07" w:rsidP="00286E43">
            <w:pPr>
              <w:autoSpaceDE w:val="0"/>
              <w:autoSpaceDN w:val="0"/>
              <w:adjustRightInd w:val="0"/>
              <w:snapToGrid w:val="0"/>
              <w:rPr>
                <w:i/>
                <w:color w:val="000000"/>
                <w:sz w:val="12"/>
                <w:szCs w:val="12"/>
              </w:rPr>
            </w:pPr>
            <w:r w:rsidRPr="00286E43">
              <w:rPr>
                <w:i/>
                <w:color w:val="000000"/>
                <w:sz w:val="12"/>
                <w:szCs w:val="12"/>
              </w:rPr>
              <w:t xml:space="preserve"> </w:t>
            </w:r>
            <w:r w:rsidR="00903B0C" w:rsidRPr="00286E43">
              <w:rPr>
                <w:i/>
                <w:color w:val="000000"/>
                <w:sz w:val="12"/>
                <w:szCs w:val="12"/>
              </w:rPr>
              <w:t>Ovine</w:t>
            </w:r>
            <w:r w:rsidR="00BB7760" w:rsidRPr="00286E43">
              <w:rPr>
                <w:i/>
                <w:color w:val="000000"/>
                <w:sz w:val="12"/>
                <w:szCs w:val="12"/>
              </w:rPr>
              <w:t xml:space="preserve"> </w:t>
            </w:r>
            <w:r w:rsidRPr="00286E43">
              <w:rPr>
                <w:i/>
                <w:color w:val="000000"/>
                <w:sz w:val="12"/>
                <w:szCs w:val="12"/>
              </w:rPr>
              <w:t>C</w:t>
            </w:r>
            <w:r w:rsidR="00903B0C" w:rsidRPr="00286E43">
              <w:rPr>
                <w:i/>
                <w:color w:val="000000"/>
                <w:sz w:val="12"/>
                <w:szCs w:val="12"/>
              </w:rPr>
              <w:t>aprine</w:t>
            </w:r>
          </w:p>
        </w:tc>
        <w:tc>
          <w:tcPr>
            <w:tcW w:w="0" w:type="auto"/>
            <w:vAlign w:val="center"/>
          </w:tcPr>
          <w:p w:rsidR="00903B0C" w:rsidRPr="00286E43" w:rsidRDefault="00903B0C" w:rsidP="00286E43">
            <w:pPr>
              <w:pStyle w:val="NoSpacing"/>
              <w:snapToGrid w:val="0"/>
              <w:rPr>
                <w:sz w:val="12"/>
                <w:szCs w:val="12"/>
              </w:rPr>
            </w:pPr>
            <w:r w:rsidRPr="00286E43">
              <w:rPr>
                <w:sz w:val="12"/>
                <w:szCs w:val="12"/>
              </w:rPr>
              <w:t>244</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172(70.5)</w:t>
            </w:r>
          </w:p>
        </w:tc>
        <w:tc>
          <w:tcPr>
            <w:tcW w:w="0" w:type="auto"/>
            <w:vAlign w:val="center"/>
          </w:tcPr>
          <w:p w:rsidR="00903B0C" w:rsidRPr="00286E43" w:rsidRDefault="00903B0C" w:rsidP="00286E43">
            <w:pPr>
              <w:pStyle w:val="NoSpacing"/>
              <w:snapToGrid w:val="0"/>
              <w:rPr>
                <w:sz w:val="12"/>
                <w:szCs w:val="12"/>
              </w:rPr>
            </w:pPr>
            <w:r w:rsidRPr="00286E43">
              <w:rPr>
                <w:sz w:val="12"/>
                <w:szCs w:val="12"/>
              </w:rPr>
              <w:t>58</w:t>
            </w:r>
            <w:r w:rsidR="0069696A" w:rsidRPr="00286E43">
              <w:rPr>
                <w:sz w:val="12"/>
                <w:szCs w:val="12"/>
              </w:rPr>
              <w:t>(23.8</w:t>
            </w:r>
            <w:r w:rsidRPr="00286E43">
              <w:rPr>
                <w:sz w:val="12"/>
                <w:szCs w:val="12"/>
              </w:rPr>
              <w:t>)</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14 (5.7)</w:t>
            </w:r>
          </w:p>
        </w:tc>
        <w:tc>
          <w:tcPr>
            <w:tcW w:w="0" w:type="auto"/>
            <w:vAlign w:val="center"/>
          </w:tcPr>
          <w:p w:rsidR="00903B0C" w:rsidRPr="00286E43" w:rsidRDefault="00903B0C" w:rsidP="00286E43">
            <w:pPr>
              <w:pStyle w:val="NoSpacing"/>
              <w:snapToGrid w:val="0"/>
              <w:rPr>
                <w:sz w:val="12"/>
                <w:szCs w:val="12"/>
              </w:rPr>
            </w:pPr>
            <w:r w:rsidRPr="00286E43">
              <w:rPr>
                <w:sz w:val="12"/>
                <w:szCs w:val="12"/>
              </w:rPr>
              <w:t>8 (3.3)</w:t>
            </w:r>
          </w:p>
        </w:tc>
        <w:tc>
          <w:tcPr>
            <w:tcW w:w="0" w:type="auto"/>
            <w:vAlign w:val="center"/>
          </w:tcPr>
          <w:p w:rsidR="00903B0C" w:rsidRPr="00286E43" w:rsidRDefault="00903B0C" w:rsidP="00286E43">
            <w:pPr>
              <w:pStyle w:val="NoSpacing"/>
              <w:snapToGrid w:val="0"/>
              <w:rPr>
                <w:sz w:val="12"/>
                <w:szCs w:val="12"/>
              </w:rPr>
            </w:pPr>
            <w:r w:rsidRPr="00286E43">
              <w:rPr>
                <w:sz w:val="12"/>
                <w:szCs w:val="12"/>
              </w:rPr>
              <w:t>4 (1.6)</w:t>
            </w:r>
          </w:p>
        </w:tc>
        <w:tc>
          <w:tcPr>
            <w:tcW w:w="0" w:type="auto"/>
            <w:vAlign w:val="center"/>
          </w:tcPr>
          <w:p w:rsidR="00903B0C" w:rsidRPr="00286E43" w:rsidRDefault="00903B0C" w:rsidP="00286E43">
            <w:pPr>
              <w:pStyle w:val="NoSpacing"/>
              <w:snapToGrid w:val="0"/>
              <w:rPr>
                <w:sz w:val="12"/>
                <w:szCs w:val="12"/>
              </w:rPr>
            </w:pPr>
            <w:r w:rsidRPr="00286E43">
              <w:rPr>
                <w:sz w:val="12"/>
                <w:szCs w:val="12"/>
              </w:rPr>
              <w:t>5 (2)</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11(4.5)</w:t>
            </w:r>
          </w:p>
        </w:tc>
        <w:tc>
          <w:tcPr>
            <w:tcW w:w="0" w:type="auto"/>
            <w:vAlign w:val="center"/>
          </w:tcPr>
          <w:p w:rsidR="00903B0C" w:rsidRPr="00286E43" w:rsidRDefault="00903B0C" w:rsidP="00286E43">
            <w:pPr>
              <w:pStyle w:val="NoSpacing"/>
              <w:snapToGrid w:val="0"/>
              <w:rPr>
                <w:sz w:val="10"/>
                <w:szCs w:val="10"/>
              </w:rPr>
            </w:pPr>
            <w:r w:rsidRPr="00286E43">
              <w:rPr>
                <w:sz w:val="10"/>
                <w:szCs w:val="10"/>
              </w:rPr>
              <w:t>21(8.6)</w:t>
            </w:r>
          </w:p>
        </w:tc>
        <w:tc>
          <w:tcPr>
            <w:tcW w:w="0" w:type="auto"/>
            <w:vAlign w:val="center"/>
          </w:tcPr>
          <w:p w:rsidR="00903B0C" w:rsidRPr="00286E43" w:rsidRDefault="00903B0C" w:rsidP="00286E43">
            <w:pPr>
              <w:pStyle w:val="NoSpacing"/>
              <w:snapToGrid w:val="0"/>
              <w:rPr>
                <w:sz w:val="10"/>
                <w:szCs w:val="10"/>
              </w:rPr>
            </w:pPr>
            <w:r w:rsidRPr="00286E43">
              <w:rPr>
                <w:sz w:val="10"/>
                <w:szCs w:val="10"/>
              </w:rPr>
              <w:t>17 (7)</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12 (5)</w:t>
            </w:r>
          </w:p>
        </w:tc>
        <w:tc>
          <w:tcPr>
            <w:tcW w:w="0" w:type="auto"/>
            <w:vAlign w:val="center"/>
          </w:tcPr>
          <w:p w:rsidR="00903B0C" w:rsidRPr="00286E43" w:rsidRDefault="00903B0C" w:rsidP="00286E43">
            <w:pPr>
              <w:pStyle w:val="NoSpacing"/>
              <w:snapToGrid w:val="0"/>
              <w:rPr>
                <w:sz w:val="12"/>
                <w:szCs w:val="12"/>
              </w:rPr>
            </w:pPr>
            <w:r w:rsidRPr="00286E43">
              <w:rPr>
                <w:sz w:val="12"/>
                <w:szCs w:val="12"/>
              </w:rPr>
              <w:t>22 (9)</w:t>
            </w:r>
          </w:p>
        </w:tc>
      </w:tr>
      <w:tr w:rsidR="00BB7760" w:rsidRPr="00286E43" w:rsidTr="00286E43">
        <w:trPr>
          <w:cantSplit/>
          <w:jc w:val="center"/>
        </w:trPr>
        <w:tc>
          <w:tcPr>
            <w:tcW w:w="0" w:type="auto"/>
            <w:vMerge/>
            <w:vAlign w:val="center"/>
          </w:tcPr>
          <w:p w:rsidR="00903B0C" w:rsidRPr="00286E43" w:rsidRDefault="00903B0C" w:rsidP="00286E43">
            <w:pPr>
              <w:autoSpaceDE w:val="0"/>
              <w:autoSpaceDN w:val="0"/>
              <w:adjustRightInd w:val="0"/>
              <w:snapToGrid w:val="0"/>
              <w:rPr>
                <w:i/>
                <w:color w:val="000000"/>
                <w:sz w:val="12"/>
                <w:szCs w:val="12"/>
              </w:rPr>
            </w:pPr>
          </w:p>
        </w:tc>
        <w:tc>
          <w:tcPr>
            <w:tcW w:w="0" w:type="auto"/>
            <w:vAlign w:val="center"/>
          </w:tcPr>
          <w:p w:rsidR="00903B0C" w:rsidRPr="00286E43" w:rsidRDefault="00903B0C" w:rsidP="00286E43">
            <w:pPr>
              <w:pStyle w:val="NoSpacing"/>
              <w:snapToGrid w:val="0"/>
              <w:rPr>
                <w:sz w:val="12"/>
                <w:szCs w:val="12"/>
              </w:rPr>
            </w:pPr>
            <w:r w:rsidRPr="00286E43">
              <w:rPr>
                <w:sz w:val="12"/>
                <w:szCs w:val="12"/>
              </w:rPr>
              <w:t>140</w:t>
            </w:r>
          </w:p>
        </w:tc>
        <w:tc>
          <w:tcPr>
            <w:tcW w:w="0" w:type="auto"/>
            <w:vAlign w:val="center"/>
          </w:tcPr>
          <w:p w:rsidR="00903B0C" w:rsidRPr="00286E43" w:rsidRDefault="00903B0C" w:rsidP="00286E43">
            <w:pPr>
              <w:pStyle w:val="NoSpacing"/>
              <w:snapToGrid w:val="0"/>
              <w:rPr>
                <w:sz w:val="12"/>
                <w:szCs w:val="12"/>
              </w:rPr>
            </w:pPr>
            <w:r w:rsidRPr="00286E43">
              <w:rPr>
                <w:sz w:val="12"/>
                <w:szCs w:val="12"/>
              </w:rPr>
              <w:t>89(63.6)</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13</w:t>
            </w:r>
            <w:r w:rsidR="00772ADE" w:rsidRPr="00286E43">
              <w:rPr>
                <w:sz w:val="12"/>
                <w:szCs w:val="12"/>
              </w:rPr>
              <w:t>(9.3</w:t>
            </w:r>
            <w:r w:rsidRPr="00286E43">
              <w:rPr>
                <w:sz w:val="12"/>
                <w:szCs w:val="12"/>
              </w:rPr>
              <w:t>)</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17</w:t>
            </w:r>
            <w:r w:rsidR="00902145" w:rsidRPr="00286E43">
              <w:rPr>
                <w:sz w:val="12"/>
                <w:szCs w:val="12"/>
              </w:rPr>
              <w:t>(12</w:t>
            </w:r>
            <w:r w:rsidR="006A628B" w:rsidRPr="00286E43">
              <w:rPr>
                <w:sz w:val="12"/>
                <w:szCs w:val="12"/>
              </w:rPr>
              <w:t>.1</w:t>
            </w:r>
            <w:r w:rsidRPr="00286E43">
              <w:rPr>
                <w:sz w:val="12"/>
                <w:szCs w:val="12"/>
              </w:rPr>
              <w:t>)</w:t>
            </w:r>
          </w:p>
        </w:tc>
        <w:tc>
          <w:tcPr>
            <w:tcW w:w="0" w:type="auto"/>
            <w:vAlign w:val="center"/>
          </w:tcPr>
          <w:p w:rsidR="00903B0C" w:rsidRPr="00286E43" w:rsidRDefault="00903B0C" w:rsidP="00286E43">
            <w:pPr>
              <w:pStyle w:val="NoSpacing"/>
              <w:snapToGrid w:val="0"/>
              <w:rPr>
                <w:sz w:val="12"/>
                <w:szCs w:val="12"/>
              </w:rPr>
            </w:pPr>
            <w:r w:rsidRPr="00286E43">
              <w:rPr>
                <w:sz w:val="12"/>
                <w:szCs w:val="12"/>
              </w:rPr>
              <w:t>6</w:t>
            </w:r>
            <w:r w:rsidR="00902145" w:rsidRPr="00286E43">
              <w:rPr>
                <w:sz w:val="12"/>
                <w:szCs w:val="12"/>
              </w:rPr>
              <w:t xml:space="preserve"> (4.3</w:t>
            </w:r>
            <w:r w:rsidRPr="00286E43">
              <w:rPr>
                <w:sz w:val="12"/>
                <w:szCs w:val="12"/>
              </w:rPr>
              <w:t>)</w:t>
            </w:r>
          </w:p>
        </w:tc>
        <w:tc>
          <w:tcPr>
            <w:tcW w:w="0" w:type="auto"/>
            <w:vAlign w:val="center"/>
          </w:tcPr>
          <w:p w:rsidR="00903B0C" w:rsidRPr="00286E43" w:rsidRDefault="00903B0C" w:rsidP="00286E43">
            <w:pPr>
              <w:pStyle w:val="NoSpacing"/>
              <w:snapToGrid w:val="0"/>
              <w:rPr>
                <w:sz w:val="12"/>
                <w:szCs w:val="12"/>
              </w:rPr>
            </w:pPr>
            <w:r w:rsidRPr="00286E43">
              <w:rPr>
                <w:sz w:val="12"/>
                <w:szCs w:val="12"/>
              </w:rPr>
              <w:t>12 (8.6)</w:t>
            </w:r>
          </w:p>
        </w:tc>
        <w:tc>
          <w:tcPr>
            <w:tcW w:w="0" w:type="auto"/>
            <w:vAlign w:val="center"/>
          </w:tcPr>
          <w:p w:rsidR="00903B0C" w:rsidRPr="00286E43" w:rsidRDefault="00903B0C" w:rsidP="00286E43">
            <w:pPr>
              <w:pStyle w:val="NoSpacing"/>
              <w:snapToGrid w:val="0"/>
              <w:rPr>
                <w:sz w:val="12"/>
                <w:szCs w:val="12"/>
              </w:rPr>
            </w:pPr>
            <w:r w:rsidRPr="00286E43">
              <w:rPr>
                <w:sz w:val="12"/>
                <w:szCs w:val="12"/>
              </w:rPr>
              <w:t>5 (3.6)</w:t>
            </w:r>
          </w:p>
        </w:tc>
        <w:tc>
          <w:tcPr>
            <w:tcW w:w="0" w:type="auto"/>
            <w:vAlign w:val="center"/>
          </w:tcPr>
          <w:p w:rsidR="00903B0C" w:rsidRPr="00286E43" w:rsidRDefault="00903B0C" w:rsidP="00286E43">
            <w:pPr>
              <w:pStyle w:val="NoSpacing"/>
              <w:snapToGrid w:val="0"/>
              <w:rPr>
                <w:sz w:val="12"/>
                <w:szCs w:val="12"/>
              </w:rPr>
            </w:pPr>
            <w:r w:rsidRPr="00286E43">
              <w:rPr>
                <w:sz w:val="12"/>
                <w:szCs w:val="12"/>
              </w:rPr>
              <w:t>5 (3.6)</w:t>
            </w:r>
          </w:p>
        </w:tc>
        <w:tc>
          <w:tcPr>
            <w:tcW w:w="0" w:type="auto"/>
            <w:vAlign w:val="center"/>
          </w:tcPr>
          <w:p w:rsidR="00903B0C" w:rsidRPr="00286E43" w:rsidRDefault="00903B0C" w:rsidP="00286E43">
            <w:pPr>
              <w:pStyle w:val="NoSpacing"/>
              <w:snapToGrid w:val="0"/>
              <w:rPr>
                <w:sz w:val="10"/>
                <w:szCs w:val="10"/>
              </w:rPr>
            </w:pPr>
            <w:r w:rsidRPr="00286E43">
              <w:rPr>
                <w:sz w:val="10"/>
                <w:szCs w:val="10"/>
              </w:rPr>
              <w:t>4 (2.8)</w:t>
            </w:r>
          </w:p>
        </w:tc>
        <w:tc>
          <w:tcPr>
            <w:tcW w:w="0" w:type="auto"/>
            <w:vAlign w:val="center"/>
          </w:tcPr>
          <w:p w:rsidR="00903B0C" w:rsidRPr="00286E43" w:rsidRDefault="00903B0C" w:rsidP="00286E43">
            <w:pPr>
              <w:pStyle w:val="NoSpacing"/>
              <w:snapToGrid w:val="0"/>
              <w:rPr>
                <w:sz w:val="10"/>
                <w:szCs w:val="10"/>
              </w:rPr>
            </w:pPr>
            <w:r w:rsidRPr="00286E43">
              <w:rPr>
                <w:sz w:val="10"/>
                <w:szCs w:val="10"/>
              </w:rPr>
              <w:t>8 (5.7)</w:t>
            </w:r>
          </w:p>
        </w:tc>
        <w:tc>
          <w:tcPr>
            <w:tcW w:w="0" w:type="auto"/>
            <w:vAlign w:val="center"/>
          </w:tcPr>
          <w:p w:rsidR="00903B0C" w:rsidRPr="00286E43" w:rsidRDefault="00903B0C" w:rsidP="00286E43">
            <w:pPr>
              <w:pStyle w:val="NoSpacing"/>
              <w:snapToGrid w:val="0"/>
              <w:rPr>
                <w:sz w:val="12"/>
                <w:szCs w:val="12"/>
              </w:rPr>
            </w:pPr>
            <w:r w:rsidRPr="00286E43">
              <w:rPr>
                <w:sz w:val="12"/>
                <w:szCs w:val="12"/>
              </w:rPr>
              <w:t>9 (6.4)</w:t>
            </w:r>
          </w:p>
        </w:tc>
        <w:tc>
          <w:tcPr>
            <w:tcW w:w="0" w:type="auto"/>
            <w:vAlign w:val="center"/>
          </w:tcPr>
          <w:p w:rsidR="00903B0C" w:rsidRPr="00286E43" w:rsidRDefault="00903B0C" w:rsidP="00286E43">
            <w:pPr>
              <w:pStyle w:val="NoSpacing"/>
              <w:snapToGrid w:val="0"/>
              <w:rPr>
                <w:sz w:val="12"/>
                <w:szCs w:val="12"/>
              </w:rPr>
            </w:pPr>
            <w:r w:rsidRPr="00286E43">
              <w:rPr>
                <w:sz w:val="12"/>
                <w:szCs w:val="12"/>
              </w:rPr>
              <w:t>9 (6.4)</w:t>
            </w:r>
          </w:p>
        </w:tc>
      </w:tr>
      <w:tr w:rsidR="00BB7760" w:rsidRPr="00286E43" w:rsidTr="00286E43">
        <w:trPr>
          <w:cantSplit/>
          <w:jc w:val="center"/>
        </w:trPr>
        <w:tc>
          <w:tcPr>
            <w:tcW w:w="0" w:type="auto"/>
            <w:vMerge w:val="restart"/>
            <w:vAlign w:val="center"/>
          </w:tcPr>
          <w:p w:rsidR="00903B0C" w:rsidRPr="00286E43" w:rsidRDefault="00903B0C" w:rsidP="00286E43">
            <w:pPr>
              <w:autoSpaceDE w:val="0"/>
              <w:autoSpaceDN w:val="0"/>
              <w:adjustRightInd w:val="0"/>
              <w:snapToGrid w:val="0"/>
              <w:rPr>
                <w:b/>
                <w:color w:val="000000"/>
                <w:sz w:val="12"/>
                <w:szCs w:val="12"/>
              </w:rPr>
            </w:pPr>
            <w:r w:rsidRPr="00286E43">
              <w:rPr>
                <w:b/>
                <w:color w:val="000000"/>
                <w:sz w:val="12"/>
                <w:szCs w:val="12"/>
              </w:rPr>
              <w:t>Age</w:t>
            </w:r>
            <w:r w:rsidR="00BB7760" w:rsidRPr="00286E43">
              <w:rPr>
                <w:b/>
                <w:color w:val="000000"/>
                <w:sz w:val="12"/>
                <w:szCs w:val="12"/>
              </w:rPr>
              <w:t xml:space="preserve"> </w:t>
            </w:r>
            <w:r w:rsidR="00903A07" w:rsidRPr="00286E43">
              <w:rPr>
                <w:color w:val="000000"/>
                <w:sz w:val="12"/>
                <w:szCs w:val="12"/>
              </w:rPr>
              <w:t>A</w:t>
            </w:r>
            <w:r w:rsidRPr="00286E43">
              <w:rPr>
                <w:color w:val="000000"/>
                <w:sz w:val="12"/>
                <w:szCs w:val="12"/>
              </w:rPr>
              <w:t>dult</w:t>
            </w:r>
            <w:r w:rsidR="00BB7760" w:rsidRPr="00286E43">
              <w:rPr>
                <w:b/>
                <w:color w:val="000000"/>
                <w:sz w:val="12"/>
                <w:szCs w:val="12"/>
              </w:rPr>
              <w:t xml:space="preserve"> </w:t>
            </w:r>
            <w:r w:rsidR="00903A07" w:rsidRPr="00286E43">
              <w:rPr>
                <w:color w:val="000000"/>
                <w:sz w:val="12"/>
                <w:szCs w:val="12"/>
              </w:rPr>
              <w:t>Y</w:t>
            </w:r>
            <w:r w:rsidRPr="00286E43">
              <w:rPr>
                <w:color w:val="000000"/>
                <w:sz w:val="12"/>
                <w:szCs w:val="12"/>
              </w:rPr>
              <w:t>oung</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0"/>
                <w:szCs w:val="10"/>
              </w:rPr>
            </w:pPr>
          </w:p>
        </w:tc>
        <w:tc>
          <w:tcPr>
            <w:tcW w:w="0" w:type="auto"/>
            <w:vAlign w:val="center"/>
          </w:tcPr>
          <w:p w:rsidR="00903B0C" w:rsidRPr="00286E43" w:rsidRDefault="00903B0C" w:rsidP="00286E43">
            <w:pPr>
              <w:snapToGrid w:val="0"/>
              <w:rPr>
                <w:sz w:val="10"/>
                <w:szCs w:val="10"/>
              </w:rPr>
            </w:pPr>
          </w:p>
        </w:tc>
        <w:tc>
          <w:tcPr>
            <w:tcW w:w="0" w:type="auto"/>
            <w:vAlign w:val="center"/>
          </w:tcPr>
          <w:p w:rsidR="00903B0C" w:rsidRPr="00286E43" w:rsidRDefault="00903B0C" w:rsidP="00286E43">
            <w:pPr>
              <w:snapToGrid w:val="0"/>
              <w:rPr>
                <w:sz w:val="12"/>
                <w:szCs w:val="12"/>
              </w:rPr>
            </w:pPr>
          </w:p>
        </w:tc>
        <w:tc>
          <w:tcPr>
            <w:tcW w:w="0" w:type="auto"/>
            <w:vAlign w:val="center"/>
          </w:tcPr>
          <w:p w:rsidR="00903B0C" w:rsidRPr="00286E43" w:rsidRDefault="00903B0C" w:rsidP="00286E43">
            <w:pPr>
              <w:snapToGrid w:val="0"/>
              <w:rPr>
                <w:sz w:val="12"/>
                <w:szCs w:val="12"/>
              </w:rPr>
            </w:pPr>
          </w:p>
        </w:tc>
      </w:tr>
      <w:tr w:rsidR="00BB7760" w:rsidRPr="00286E43" w:rsidTr="00286E43">
        <w:trPr>
          <w:cantSplit/>
          <w:jc w:val="center"/>
        </w:trPr>
        <w:tc>
          <w:tcPr>
            <w:tcW w:w="0" w:type="auto"/>
            <w:vMerge/>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288</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auto"/>
                <w:sz w:val="12"/>
                <w:szCs w:val="12"/>
              </w:rPr>
              <w:t>172</w:t>
            </w:r>
            <w:r w:rsidRPr="00286E43">
              <w:rPr>
                <w:sz w:val="12"/>
                <w:szCs w:val="12"/>
              </w:rPr>
              <w:t>(</w:t>
            </w:r>
            <w:r w:rsidRPr="00286E43">
              <w:rPr>
                <w:color w:val="auto"/>
                <w:sz w:val="12"/>
                <w:szCs w:val="12"/>
              </w:rPr>
              <w:t>59.7</w:t>
            </w:r>
            <w:r w:rsidRPr="00286E43">
              <w:rPr>
                <w:sz w:val="12"/>
                <w:szCs w:val="12"/>
              </w:rPr>
              <w:t>)</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53</w:t>
            </w:r>
            <w:r w:rsidRPr="00286E43">
              <w:rPr>
                <w:sz w:val="12"/>
                <w:szCs w:val="12"/>
              </w:rPr>
              <w:t>(18.4)</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19 </w:t>
            </w:r>
            <w:r w:rsidRPr="00286E43">
              <w:rPr>
                <w:sz w:val="12"/>
                <w:szCs w:val="12"/>
              </w:rPr>
              <w:t>(6.7)</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9 </w:t>
            </w:r>
            <w:r w:rsidRPr="00286E43">
              <w:rPr>
                <w:sz w:val="12"/>
                <w:szCs w:val="12"/>
              </w:rPr>
              <w:t>(3.1)</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12 </w:t>
            </w:r>
            <w:r w:rsidRPr="00286E43">
              <w:rPr>
                <w:sz w:val="12"/>
                <w:szCs w:val="12"/>
              </w:rPr>
              <w:t>(4.2)</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4 </w:t>
            </w:r>
            <w:r w:rsidRPr="00286E43">
              <w:rPr>
                <w:sz w:val="12"/>
                <w:szCs w:val="12"/>
              </w:rPr>
              <w:t>(1.4)</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12 </w:t>
            </w:r>
            <w:r w:rsidRPr="00286E43">
              <w:rPr>
                <w:sz w:val="12"/>
                <w:szCs w:val="12"/>
              </w:rPr>
              <w:t>(4.7)</w:t>
            </w:r>
          </w:p>
        </w:tc>
        <w:tc>
          <w:tcPr>
            <w:tcW w:w="0" w:type="auto"/>
            <w:vAlign w:val="center"/>
          </w:tcPr>
          <w:p w:rsidR="00903B0C" w:rsidRPr="00286E43" w:rsidRDefault="00903B0C" w:rsidP="00286E43">
            <w:pPr>
              <w:autoSpaceDE w:val="0"/>
              <w:autoSpaceDN w:val="0"/>
              <w:adjustRightInd w:val="0"/>
              <w:snapToGrid w:val="0"/>
              <w:rPr>
                <w:color w:val="000000"/>
                <w:sz w:val="10"/>
                <w:szCs w:val="10"/>
              </w:rPr>
            </w:pPr>
            <w:r w:rsidRPr="00286E43">
              <w:rPr>
                <w:color w:val="000000"/>
                <w:sz w:val="10"/>
                <w:szCs w:val="10"/>
              </w:rPr>
              <w:t xml:space="preserve">14 </w:t>
            </w:r>
            <w:r w:rsidRPr="00286E43">
              <w:rPr>
                <w:sz w:val="10"/>
                <w:szCs w:val="10"/>
              </w:rPr>
              <w:t>(4.9)</w:t>
            </w:r>
          </w:p>
        </w:tc>
        <w:tc>
          <w:tcPr>
            <w:tcW w:w="0" w:type="auto"/>
            <w:vAlign w:val="center"/>
          </w:tcPr>
          <w:p w:rsidR="00903B0C" w:rsidRPr="00286E43" w:rsidRDefault="00903B0C" w:rsidP="00286E43">
            <w:pPr>
              <w:autoSpaceDE w:val="0"/>
              <w:autoSpaceDN w:val="0"/>
              <w:adjustRightInd w:val="0"/>
              <w:snapToGrid w:val="0"/>
              <w:rPr>
                <w:color w:val="000000"/>
                <w:sz w:val="10"/>
                <w:szCs w:val="10"/>
              </w:rPr>
            </w:pPr>
            <w:r w:rsidRPr="00286E43">
              <w:rPr>
                <w:color w:val="000000"/>
                <w:sz w:val="10"/>
                <w:szCs w:val="10"/>
              </w:rPr>
              <w:t xml:space="preserve">13 </w:t>
            </w:r>
            <w:r w:rsidRPr="00286E43">
              <w:rPr>
                <w:sz w:val="10"/>
                <w:szCs w:val="10"/>
              </w:rPr>
              <w:t>(4.5)</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12 </w:t>
            </w:r>
            <w:r w:rsidRPr="00286E43">
              <w:rPr>
                <w:sz w:val="12"/>
                <w:szCs w:val="12"/>
              </w:rPr>
              <w:t>(4.7)</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24 </w:t>
            </w:r>
            <w:r w:rsidRPr="00286E43">
              <w:rPr>
                <w:sz w:val="12"/>
                <w:szCs w:val="12"/>
              </w:rPr>
              <w:t>(8.4)</w:t>
            </w:r>
          </w:p>
        </w:tc>
      </w:tr>
      <w:tr w:rsidR="00BB7760" w:rsidRPr="00286E43" w:rsidTr="00286E43">
        <w:trPr>
          <w:cantSplit/>
          <w:jc w:val="center"/>
        </w:trPr>
        <w:tc>
          <w:tcPr>
            <w:tcW w:w="0" w:type="auto"/>
            <w:vMerge/>
            <w:vAlign w:val="center"/>
          </w:tcPr>
          <w:p w:rsidR="00903B0C" w:rsidRPr="00286E43" w:rsidRDefault="00903B0C" w:rsidP="00286E43">
            <w:pPr>
              <w:autoSpaceDE w:val="0"/>
              <w:autoSpaceDN w:val="0"/>
              <w:adjustRightInd w:val="0"/>
              <w:snapToGrid w:val="0"/>
              <w:rPr>
                <w:b/>
                <w:color w:val="000000"/>
                <w:sz w:val="12"/>
                <w:szCs w:val="12"/>
              </w:rPr>
            </w:pP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96</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auto"/>
                <w:sz w:val="12"/>
                <w:szCs w:val="12"/>
              </w:rPr>
              <w:t>89</w:t>
            </w:r>
            <w:r w:rsidRPr="00286E43">
              <w:rPr>
                <w:sz w:val="12"/>
                <w:szCs w:val="12"/>
              </w:rPr>
              <w:t>(</w:t>
            </w:r>
            <w:r w:rsidRPr="00286E43">
              <w:rPr>
                <w:color w:val="auto"/>
                <w:sz w:val="12"/>
                <w:szCs w:val="12"/>
              </w:rPr>
              <w:t>92.7</w:t>
            </w:r>
            <w:r w:rsidRPr="00286E43">
              <w:rPr>
                <w:sz w:val="12"/>
                <w:szCs w:val="12"/>
              </w:rPr>
              <w:t>)</w:t>
            </w:r>
            <w:r w:rsidR="00903A07" w:rsidRPr="00286E43">
              <w:rPr>
                <w:color w:val="auto"/>
                <w:sz w:val="12"/>
                <w:szCs w:val="12"/>
              </w:rPr>
              <w:t xml:space="preserve"> </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18</w:t>
            </w:r>
            <w:r w:rsidRPr="00286E43">
              <w:rPr>
                <w:sz w:val="12"/>
                <w:szCs w:val="12"/>
              </w:rPr>
              <w:t>(18.7)</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12</w:t>
            </w:r>
            <w:r w:rsidRPr="00286E43">
              <w:rPr>
                <w:sz w:val="12"/>
                <w:szCs w:val="12"/>
              </w:rPr>
              <w:t>(12.5)</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5 </w:t>
            </w:r>
            <w:r w:rsidRPr="00286E43">
              <w:rPr>
                <w:sz w:val="12"/>
                <w:szCs w:val="12"/>
              </w:rPr>
              <w:t>(5.2)</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4 </w:t>
            </w:r>
            <w:r w:rsidRPr="00286E43">
              <w:rPr>
                <w:sz w:val="12"/>
                <w:szCs w:val="12"/>
              </w:rPr>
              <w:t>(4.2)</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6 </w:t>
            </w:r>
            <w:r w:rsidRPr="00286E43">
              <w:rPr>
                <w:sz w:val="12"/>
                <w:szCs w:val="12"/>
              </w:rPr>
              <w:t>(6.25)</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4 </w:t>
            </w:r>
            <w:r w:rsidRPr="00286E43">
              <w:rPr>
                <w:sz w:val="12"/>
                <w:szCs w:val="12"/>
              </w:rPr>
              <w:t>(4.2)</w:t>
            </w:r>
          </w:p>
        </w:tc>
        <w:tc>
          <w:tcPr>
            <w:tcW w:w="0" w:type="auto"/>
            <w:vAlign w:val="center"/>
          </w:tcPr>
          <w:p w:rsidR="00903B0C" w:rsidRPr="00286E43" w:rsidRDefault="00903B0C" w:rsidP="00286E43">
            <w:pPr>
              <w:autoSpaceDE w:val="0"/>
              <w:autoSpaceDN w:val="0"/>
              <w:adjustRightInd w:val="0"/>
              <w:snapToGrid w:val="0"/>
              <w:rPr>
                <w:color w:val="000000"/>
                <w:sz w:val="10"/>
                <w:szCs w:val="10"/>
              </w:rPr>
            </w:pPr>
            <w:r w:rsidRPr="00286E43">
              <w:rPr>
                <w:color w:val="000000"/>
                <w:sz w:val="10"/>
                <w:szCs w:val="10"/>
              </w:rPr>
              <w:t>11</w:t>
            </w:r>
            <w:r w:rsidRPr="00286E43">
              <w:rPr>
                <w:sz w:val="10"/>
                <w:szCs w:val="10"/>
              </w:rPr>
              <w:t>(11.4</w:t>
            </w:r>
          </w:p>
        </w:tc>
        <w:tc>
          <w:tcPr>
            <w:tcW w:w="0" w:type="auto"/>
            <w:vAlign w:val="center"/>
          </w:tcPr>
          <w:p w:rsidR="00903B0C" w:rsidRPr="00286E43" w:rsidRDefault="00903B0C" w:rsidP="00286E43">
            <w:pPr>
              <w:autoSpaceDE w:val="0"/>
              <w:autoSpaceDN w:val="0"/>
              <w:adjustRightInd w:val="0"/>
              <w:snapToGrid w:val="0"/>
              <w:rPr>
                <w:color w:val="000000"/>
                <w:sz w:val="10"/>
                <w:szCs w:val="10"/>
              </w:rPr>
            </w:pPr>
            <w:r w:rsidRPr="00286E43">
              <w:rPr>
                <w:color w:val="000000"/>
                <w:sz w:val="10"/>
                <w:szCs w:val="10"/>
              </w:rPr>
              <w:t>12</w:t>
            </w:r>
            <w:r w:rsidRPr="00286E43">
              <w:rPr>
                <w:sz w:val="10"/>
                <w:szCs w:val="10"/>
              </w:rPr>
              <w:t>(12.5</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9 </w:t>
            </w:r>
            <w:r w:rsidRPr="00286E43">
              <w:rPr>
                <w:sz w:val="12"/>
                <w:szCs w:val="12"/>
              </w:rPr>
              <w:t>(9.4)</w:t>
            </w:r>
          </w:p>
        </w:tc>
        <w:tc>
          <w:tcPr>
            <w:tcW w:w="0" w:type="auto"/>
            <w:vAlign w:val="center"/>
          </w:tcPr>
          <w:p w:rsidR="00903B0C" w:rsidRPr="00286E43" w:rsidRDefault="00903B0C" w:rsidP="00286E43">
            <w:pPr>
              <w:autoSpaceDE w:val="0"/>
              <w:autoSpaceDN w:val="0"/>
              <w:adjustRightInd w:val="0"/>
              <w:snapToGrid w:val="0"/>
              <w:rPr>
                <w:color w:val="000000"/>
                <w:sz w:val="12"/>
                <w:szCs w:val="12"/>
              </w:rPr>
            </w:pPr>
            <w:r w:rsidRPr="00286E43">
              <w:rPr>
                <w:color w:val="000000"/>
                <w:sz w:val="12"/>
                <w:szCs w:val="12"/>
              </w:rPr>
              <w:t xml:space="preserve">7 </w:t>
            </w:r>
            <w:r w:rsidRPr="00286E43">
              <w:rPr>
                <w:sz w:val="12"/>
                <w:szCs w:val="12"/>
              </w:rPr>
              <w:t>(7.3)</w:t>
            </w:r>
          </w:p>
        </w:tc>
      </w:tr>
      <w:tr w:rsidR="00BB7760" w:rsidRPr="00286E43" w:rsidTr="00286E43">
        <w:trPr>
          <w:cantSplit/>
          <w:jc w:val="center"/>
        </w:trPr>
        <w:tc>
          <w:tcPr>
            <w:tcW w:w="0" w:type="auto"/>
            <w:vMerge w:val="restart"/>
            <w:vAlign w:val="center"/>
          </w:tcPr>
          <w:p w:rsidR="00903B0C" w:rsidRPr="00286E43" w:rsidRDefault="00903A07" w:rsidP="00286E43">
            <w:pPr>
              <w:pStyle w:val="NoSpacing"/>
              <w:snapToGrid w:val="0"/>
              <w:rPr>
                <w:sz w:val="12"/>
                <w:szCs w:val="12"/>
              </w:rPr>
            </w:pPr>
            <w:r w:rsidRPr="00286E43">
              <w:rPr>
                <w:b/>
                <w:sz w:val="12"/>
                <w:szCs w:val="12"/>
              </w:rPr>
              <w:t xml:space="preserve"> </w:t>
            </w:r>
            <w:r w:rsidR="00903B0C" w:rsidRPr="00286E43">
              <w:rPr>
                <w:b/>
                <w:sz w:val="12"/>
                <w:szCs w:val="12"/>
              </w:rPr>
              <w:t>Sex</w:t>
            </w:r>
            <w:r w:rsidR="00BB7760" w:rsidRPr="00286E43">
              <w:rPr>
                <w:b/>
                <w:sz w:val="12"/>
                <w:szCs w:val="12"/>
              </w:rPr>
              <w:t xml:space="preserve"> </w:t>
            </w:r>
            <w:r w:rsidR="00903B0C" w:rsidRPr="00286E43">
              <w:rPr>
                <w:sz w:val="12"/>
                <w:szCs w:val="12"/>
              </w:rPr>
              <w:t>Male</w:t>
            </w:r>
            <w:r w:rsidR="00BB7760" w:rsidRPr="00286E43">
              <w:rPr>
                <w:sz w:val="12"/>
                <w:szCs w:val="12"/>
              </w:rPr>
              <w:t xml:space="preserve"> </w:t>
            </w:r>
            <w:r w:rsidRPr="00286E43">
              <w:rPr>
                <w:sz w:val="12"/>
                <w:szCs w:val="12"/>
              </w:rPr>
              <w:t>F</w:t>
            </w:r>
            <w:r w:rsidR="00903B0C" w:rsidRPr="00286E43">
              <w:rPr>
                <w:sz w:val="12"/>
                <w:szCs w:val="12"/>
              </w:rPr>
              <w:t>emale</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249</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151(60.6)</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40(16.1)</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21(8.4)</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A07" w:rsidRPr="00286E43">
              <w:rPr>
                <w:sz w:val="12"/>
                <w:szCs w:val="12"/>
              </w:rPr>
              <w:t>8</w:t>
            </w:r>
            <w:r w:rsidR="00903B0C" w:rsidRPr="00286E43">
              <w:rPr>
                <w:sz w:val="12"/>
                <w:szCs w:val="12"/>
              </w:rPr>
              <w:t>(3.2)</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13(5.2)</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3(1.2)</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A07" w:rsidRPr="00286E43">
              <w:rPr>
                <w:sz w:val="12"/>
                <w:szCs w:val="12"/>
              </w:rPr>
              <w:t>1</w:t>
            </w:r>
            <w:r w:rsidR="00903B0C" w:rsidRPr="00286E43">
              <w:rPr>
                <w:sz w:val="12"/>
                <w:szCs w:val="12"/>
              </w:rPr>
              <w:t>1(4.4)</w:t>
            </w:r>
          </w:p>
        </w:tc>
        <w:tc>
          <w:tcPr>
            <w:tcW w:w="0" w:type="auto"/>
            <w:vAlign w:val="center"/>
          </w:tcPr>
          <w:p w:rsidR="00903B0C" w:rsidRPr="00286E43" w:rsidRDefault="00BB7760" w:rsidP="00286E43">
            <w:pPr>
              <w:pStyle w:val="NoSpacing"/>
              <w:snapToGrid w:val="0"/>
              <w:rPr>
                <w:sz w:val="10"/>
                <w:szCs w:val="10"/>
              </w:rPr>
            </w:pPr>
            <w:r w:rsidRPr="00286E43">
              <w:rPr>
                <w:sz w:val="10"/>
                <w:szCs w:val="10"/>
              </w:rPr>
              <w:t xml:space="preserve"> </w:t>
            </w:r>
            <w:r w:rsidR="00903B0C" w:rsidRPr="00286E43">
              <w:rPr>
                <w:sz w:val="10"/>
                <w:szCs w:val="10"/>
              </w:rPr>
              <w:t>11(4.4)</w:t>
            </w:r>
          </w:p>
        </w:tc>
        <w:tc>
          <w:tcPr>
            <w:tcW w:w="0" w:type="auto"/>
            <w:vAlign w:val="center"/>
          </w:tcPr>
          <w:p w:rsidR="00903B0C" w:rsidRPr="00286E43" w:rsidRDefault="00BB7760" w:rsidP="00286E43">
            <w:pPr>
              <w:pStyle w:val="NoSpacing"/>
              <w:snapToGrid w:val="0"/>
              <w:rPr>
                <w:sz w:val="10"/>
                <w:szCs w:val="10"/>
              </w:rPr>
            </w:pPr>
            <w:r w:rsidRPr="00286E43">
              <w:rPr>
                <w:sz w:val="10"/>
                <w:szCs w:val="10"/>
              </w:rPr>
              <w:t xml:space="preserve"> </w:t>
            </w:r>
            <w:r w:rsidR="00903A07" w:rsidRPr="00286E43">
              <w:rPr>
                <w:sz w:val="10"/>
                <w:szCs w:val="10"/>
              </w:rPr>
              <w:t>1</w:t>
            </w:r>
            <w:r w:rsidR="00903B0C" w:rsidRPr="00286E43">
              <w:rPr>
                <w:sz w:val="10"/>
                <w:szCs w:val="10"/>
              </w:rPr>
              <w:t>4(5.6)</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A07" w:rsidRPr="00286E43">
              <w:rPr>
                <w:sz w:val="12"/>
                <w:szCs w:val="12"/>
              </w:rPr>
              <w:t>1</w:t>
            </w:r>
            <w:r w:rsidR="00903B0C" w:rsidRPr="00286E43">
              <w:rPr>
                <w:sz w:val="12"/>
                <w:szCs w:val="12"/>
              </w:rPr>
              <w:t>0(4)</w:t>
            </w:r>
          </w:p>
        </w:tc>
        <w:tc>
          <w:tcPr>
            <w:tcW w:w="0" w:type="auto"/>
            <w:vAlign w:val="center"/>
          </w:tcPr>
          <w:p w:rsidR="00903B0C" w:rsidRPr="00286E43" w:rsidRDefault="00BB7760" w:rsidP="00286E43">
            <w:pPr>
              <w:pStyle w:val="NoSpacing"/>
              <w:snapToGrid w:val="0"/>
              <w:rPr>
                <w:sz w:val="12"/>
                <w:szCs w:val="12"/>
              </w:rPr>
            </w:pPr>
            <w:r w:rsidRPr="00286E43">
              <w:rPr>
                <w:sz w:val="12"/>
                <w:szCs w:val="12"/>
              </w:rPr>
              <w:t xml:space="preserve"> </w:t>
            </w:r>
            <w:r w:rsidR="00903B0C" w:rsidRPr="00286E43">
              <w:rPr>
                <w:sz w:val="12"/>
                <w:szCs w:val="12"/>
              </w:rPr>
              <w:t>19(7.6)</w:t>
            </w:r>
          </w:p>
        </w:tc>
      </w:tr>
      <w:tr w:rsidR="00BB7760" w:rsidRPr="00286E43" w:rsidTr="00286E43">
        <w:trPr>
          <w:cantSplit/>
          <w:jc w:val="center"/>
        </w:trPr>
        <w:tc>
          <w:tcPr>
            <w:tcW w:w="0" w:type="auto"/>
            <w:vMerge/>
            <w:vAlign w:val="center"/>
          </w:tcPr>
          <w:p w:rsidR="00BB7760" w:rsidRPr="00286E43" w:rsidRDefault="00BB7760" w:rsidP="00286E43">
            <w:pPr>
              <w:pStyle w:val="NoSpacing"/>
              <w:snapToGrid w:val="0"/>
              <w:rPr>
                <w:sz w:val="12"/>
                <w:szCs w:val="12"/>
              </w:rPr>
            </w:pPr>
          </w:p>
        </w:tc>
        <w:tc>
          <w:tcPr>
            <w:tcW w:w="0" w:type="auto"/>
            <w:vAlign w:val="center"/>
          </w:tcPr>
          <w:p w:rsidR="00BB7760" w:rsidRPr="00286E43" w:rsidRDefault="00BB7760" w:rsidP="00286E43">
            <w:pPr>
              <w:pStyle w:val="NoSpacing"/>
              <w:snapToGrid w:val="0"/>
              <w:rPr>
                <w:sz w:val="12"/>
                <w:szCs w:val="12"/>
              </w:rPr>
            </w:pPr>
            <w:r w:rsidRPr="00286E43">
              <w:rPr>
                <w:sz w:val="12"/>
                <w:szCs w:val="12"/>
              </w:rPr>
              <w:t xml:space="preserve">135 </w:t>
            </w:r>
          </w:p>
        </w:tc>
        <w:tc>
          <w:tcPr>
            <w:tcW w:w="0" w:type="auto"/>
            <w:vAlign w:val="center"/>
          </w:tcPr>
          <w:p w:rsidR="00BB7760" w:rsidRPr="00286E43" w:rsidRDefault="00BB7760" w:rsidP="00286E43">
            <w:pPr>
              <w:pStyle w:val="NoSpacing"/>
              <w:snapToGrid w:val="0"/>
              <w:rPr>
                <w:sz w:val="12"/>
                <w:szCs w:val="12"/>
              </w:rPr>
            </w:pPr>
            <w:r w:rsidRPr="00286E43">
              <w:rPr>
                <w:color w:val="auto"/>
                <w:sz w:val="12"/>
                <w:szCs w:val="12"/>
              </w:rPr>
              <w:t>110</w:t>
            </w:r>
            <w:r w:rsidRPr="00286E43">
              <w:rPr>
                <w:sz w:val="12"/>
                <w:szCs w:val="12"/>
              </w:rPr>
              <w:t>(</w:t>
            </w:r>
            <w:r w:rsidRPr="00286E43">
              <w:rPr>
                <w:color w:val="auto"/>
                <w:sz w:val="12"/>
                <w:szCs w:val="12"/>
              </w:rPr>
              <w:t>81.4</w:t>
            </w:r>
            <w:r w:rsidRPr="00286E43">
              <w:rPr>
                <w:sz w:val="12"/>
                <w:szCs w:val="12"/>
              </w:rPr>
              <w:t>)</w:t>
            </w:r>
          </w:p>
        </w:tc>
        <w:tc>
          <w:tcPr>
            <w:tcW w:w="0" w:type="auto"/>
            <w:vAlign w:val="center"/>
          </w:tcPr>
          <w:p w:rsidR="00BB7760" w:rsidRPr="00286E43" w:rsidRDefault="00BB7760" w:rsidP="00286E43">
            <w:pPr>
              <w:pStyle w:val="NoSpacing"/>
              <w:snapToGrid w:val="0"/>
              <w:rPr>
                <w:sz w:val="12"/>
                <w:szCs w:val="12"/>
              </w:rPr>
            </w:pPr>
            <w:r w:rsidRPr="00286E43">
              <w:rPr>
                <w:sz w:val="12"/>
                <w:szCs w:val="12"/>
              </w:rPr>
              <w:t>31(23)</w:t>
            </w:r>
          </w:p>
        </w:tc>
        <w:tc>
          <w:tcPr>
            <w:tcW w:w="0" w:type="auto"/>
            <w:vAlign w:val="center"/>
          </w:tcPr>
          <w:p w:rsidR="00BB7760" w:rsidRPr="00286E43" w:rsidRDefault="00BB7760" w:rsidP="00286E43">
            <w:pPr>
              <w:pStyle w:val="NoSpacing"/>
              <w:snapToGrid w:val="0"/>
              <w:rPr>
                <w:sz w:val="12"/>
                <w:szCs w:val="12"/>
              </w:rPr>
            </w:pPr>
            <w:r w:rsidRPr="00286E43">
              <w:rPr>
                <w:sz w:val="12"/>
                <w:szCs w:val="12"/>
              </w:rPr>
              <w:t xml:space="preserve"> 10 (7.4)</w:t>
            </w:r>
          </w:p>
        </w:tc>
        <w:tc>
          <w:tcPr>
            <w:tcW w:w="0" w:type="auto"/>
            <w:vAlign w:val="center"/>
          </w:tcPr>
          <w:p w:rsidR="00BB7760" w:rsidRPr="00286E43" w:rsidRDefault="00BB7760" w:rsidP="00286E43">
            <w:pPr>
              <w:pStyle w:val="NoSpacing"/>
              <w:snapToGrid w:val="0"/>
              <w:rPr>
                <w:sz w:val="12"/>
                <w:szCs w:val="12"/>
              </w:rPr>
            </w:pPr>
            <w:r w:rsidRPr="00286E43">
              <w:rPr>
                <w:sz w:val="12"/>
                <w:szCs w:val="12"/>
              </w:rPr>
              <w:t>6 (4.5)</w:t>
            </w:r>
          </w:p>
        </w:tc>
        <w:tc>
          <w:tcPr>
            <w:tcW w:w="0" w:type="auto"/>
            <w:vAlign w:val="center"/>
          </w:tcPr>
          <w:p w:rsidR="00BB7760" w:rsidRPr="00286E43" w:rsidRDefault="00BB7760" w:rsidP="00286E43">
            <w:pPr>
              <w:pStyle w:val="NoSpacing"/>
              <w:snapToGrid w:val="0"/>
              <w:rPr>
                <w:sz w:val="12"/>
                <w:szCs w:val="12"/>
              </w:rPr>
            </w:pPr>
            <w:r w:rsidRPr="00286E43">
              <w:rPr>
                <w:sz w:val="12"/>
                <w:szCs w:val="12"/>
              </w:rPr>
              <w:t xml:space="preserve"> 3 (2.3)</w:t>
            </w:r>
          </w:p>
        </w:tc>
        <w:tc>
          <w:tcPr>
            <w:tcW w:w="0" w:type="auto"/>
            <w:vAlign w:val="center"/>
          </w:tcPr>
          <w:p w:rsidR="00BB7760" w:rsidRPr="00286E43" w:rsidRDefault="00BB7760" w:rsidP="00286E43">
            <w:pPr>
              <w:pStyle w:val="NoSpacing"/>
              <w:snapToGrid w:val="0"/>
              <w:rPr>
                <w:sz w:val="12"/>
                <w:szCs w:val="12"/>
              </w:rPr>
            </w:pPr>
            <w:r w:rsidRPr="00286E43">
              <w:rPr>
                <w:sz w:val="12"/>
                <w:szCs w:val="12"/>
              </w:rPr>
              <w:t>7 (5.2)</w:t>
            </w:r>
          </w:p>
        </w:tc>
        <w:tc>
          <w:tcPr>
            <w:tcW w:w="0" w:type="auto"/>
            <w:vAlign w:val="center"/>
          </w:tcPr>
          <w:p w:rsidR="00BB7760" w:rsidRPr="00286E43" w:rsidRDefault="00BB7760" w:rsidP="00286E43">
            <w:pPr>
              <w:pStyle w:val="NoSpacing"/>
              <w:snapToGrid w:val="0"/>
              <w:rPr>
                <w:sz w:val="12"/>
                <w:szCs w:val="12"/>
              </w:rPr>
            </w:pPr>
            <w:r w:rsidRPr="00286E43">
              <w:rPr>
                <w:sz w:val="12"/>
                <w:szCs w:val="12"/>
              </w:rPr>
              <w:t xml:space="preserve"> 5(3.7)</w:t>
            </w:r>
          </w:p>
        </w:tc>
        <w:tc>
          <w:tcPr>
            <w:tcW w:w="0" w:type="auto"/>
            <w:vAlign w:val="center"/>
          </w:tcPr>
          <w:p w:rsidR="00BB7760" w:rsidRPr="00286E43" w:rsidRDefault="00BB7760" w:rsidP="00286E43">
            <w:pPr>
              <w:pStyle w:val="NoSpacing"/>
              <w:snapToGrid w:val="0"/>
              <w:rPr>
                <w:sz w:val="10"/>
                <w:szCs w:val="10"/>
              </w:rPr>
            </w:pPr>
            <w:r w:rsidRPr="00286E43">
              <w:rPr>
                <w:sz w:val="10"/>
                <w:szCs w:val="10"/>
              </w:rPr>
              <w:t>14(10.4</w:t>
            </w:r>
          </w:p>
        </w:tc>
        <w:tc>
          <w:tcPr>
            <w:tcW w:w="0" w:type="auto"/>
            <w:vAlign w:val="center"/>
          </w:tcPr>
          <w:p w:rsidR="00BB7760" w:rsidRPr="00286E43" w:rsidRDefault="00BB7760" w:rsidP="00286E43">
            <w:pPr>
              <w:pStyle w:val="NoSpacing"/>
              <w:snapToGrid w:val="0"/>
              <w:rPr>
                <w:sz w:val="10"/>
                <w:szCs w:val="10"/>
              </w:rPr>
            </w:pPr>
            <w:r w:rsidRPr="00286E43">
              <w:rPr>
                <w:sz w:val="10"/>
                <w:szCs w:val="10"/>
              </w:rPr>
              <w:t>11 (8.1)</w:t>
            </w:r>
          </w:p>
        </w:tc>
        <w:tc>
          <w:tcPr>
            <w:tcW w:w="0" w:type="auto"/>
            <w:vAlign w:val="center"/>
          </w:tcPr>
          <w:p w:rsidR="00BB7760" w:rsidRPr="00286E43" w:rsidRDefault="00BB7760" w:rsidP="00286E43">
            <w:pPr>
              <w:pStyle w:val="NoSpacing"/>
              <w:snapToGrid w:val="0"/>
              <w:rPr>
                <w:sz w:val="12"/>
                <w:szCs w:val="12"/>
              </w:rPr>
            </w:pPr>
            <w:r w:rsidRPr="00286E43">
              <w:rPr>
                <w:sz w:val="12"/>
                <w:szCs w:val="12"/>
              </w:rPr>
              <w:t xml:space="preserve">11(8.1) </w:t>
            </w:r>
          </w:p>
        </w:tc>
        <w:tc>
          <w:tcPr>
            <w:tcW w:w="0" w:type="auto"/>
            <w:vAlign w:val="center"/>
          </w:tcPr>
          <w:p w:rsidR="00BB7760" w:rsidRPr="00286E43" w:rsidRDefault="00BB7760" w:rsidP="00286E43">
            <w:pPr>
              <w:pStyle w:val="NoSpacing"/>
              <w:snapToGrid w:val="0"/>
              <w:rPr>
                <w:sz w:val="12"/>
                <w:szCs w:val="12"/>
              </w:rPr>
            </w:pPr>
            <w:r w:rsidRPr="00286E43">
              <w:rPr>
                <w:sz w:val="12"/>
                <w:szCs w:val="12"/>
              </w:rPr>
              <w:t>12(8.9)</w:t>
            </w:r>
          </w:p>
        </w:tc>
      </w:tr>
      <w:tr w:rsidR="00BB7760" w:rsidRPr="00286E43" w:rsidTr="00286E43">
        <w:trPr>
          <w:cantSplit/>
          <w:jc w:val="center"/>
        </w:trPr>
        <w:tc>
          <w:tcPr>
            <w:tcW w:w="0" w:type="auto"/>
            <w:vAlign w:val="center"/>
          </w:tcPr>
          <w:p w:rsidR="00903B0C" w:rsidRPr="00286E43" w:rsidRDefault="00903B0C" w:rsidP="00286E43">
            <w:pPr>
              <w:pStyle w:val="NoSpacing"/>
              <w:snapToGrid w:val="0"/>
              <w:rPr>
                <w:b/>
                <w:sz w:val="12"/>
                <w:szCs w:val="12"/>
              </w:rPr>
            </w:pPr>
            <w:r w:rsidRPr="00286E43">
              <w:rPr>
                <w:b/>
                <w:sz w:val="12"/>
                <w:szCs w:val="12"/>
              </w:rPr>
              <w:t>Total</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384</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261(68.0)</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71(27.2)</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31(11.9)</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14 (5.3)</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16 (6.1)</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10 (3.8)</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16 (6.1)</w:t>
            </w:r>
          </w:p>
        </w:tc>
        <w:tc>
          <w:tcPr>
            <w:tcW w:w="0" w:type="auto"/>
            <w:vAlign w:val="center"/>
          </w:tcPr>
          <w:p w:rsidR="00903B0C" w:rsidRPr="00286E43" w:rsidRDefault="00903B0C" w:rsidP="00286E43">
            <w:pPr>
              <w:pStyle w:val="NoSpacing"/>
              <w:snapToGrid w:val="0"/>
              <w:rPr>
                <w:b/>
                <w:sz w:val="10"/>
                <w:szCs w:val="10"/>
              </w:rPr>
            </w:pPr>
            <w:r w:rsidRPr="00286E43">
              <w:rPr>
                <w:b/>
                <w:sz w:val="10"/>
                <w:szCs w:val="10"/>
              </w:rPr>
              <w:t>25 (9.5)</w:t>
            </w:r>
          </w:p>
        </w:tc>
        <w:tc>
          <w:tcPr>
            <w:tcW w:w="0" w:type="auto"/>
            <w:vAlign w:val="center"/>
          </w:tcPr>
          <w:p w:rsidR="00903B0C" w:rsidRPr="00286E43" w:rsidRDefault="00903B0C" w:rsidP="00286E43">
            <w:pPr>
              <w:pStyle w:val="NoSpacing"/>
              <w:snapToGrid w:val="0"/>
              <w:rPr>
                <w:b/>
                <w:sz w:val="10"/>
                <w:szCs w:val="10"/>
              </w:rPr>
            </w:pPr>
            <w:r w:rsidRPr="00286E43">
              <w:rPr>
                <w:b/>
                <w:sz w:val="10"/>
                <w:szCs w:val="10"/>
              </w:rPr>
              <w:t>25(9.5)</w:t>
            </w:r>
          </w:p>
        </w:tc>
        <w:tc>
          <w:tcPr>
            <w:tcW w:w="0" w:type="auto"/>
            <w:vAlign w:val="center"/>
          </w:tcPr>
          <w:p w:rsidR="00903B0C" w:rsidRPr="00286E43" w:rsidRDefault="00903B0C" w:rsidP="00286E43">
            <w:pPr>
              <w:pStyle w:val="NoSpacing"/>
              <w:snapToGrid w:val="0"/>
              <w:rPr>
                <w:b/>
                <w:sz w:val="12"/>
                <w:szCs w:val="12"/>
              </w:rPr>
            </w:pPr>
            <w:r w:rsidRPr="00286E43">
              <w:rPr>
                <w:b/>
                <w:sz w:val="12"/>
                <w:szCs w:val="12"/>
              </w:rPr>
              <w:t>21(8.0)</w:t>
            </w:r>
          </w:p>
        </w:tc>
        <w:tc>
          <w:tcPr>
            <w:tcW w:w="0" w:type="auto"/>
            <w:vAlign w:val="center"/>
          </w:tcPr>
          <w:p w:rsidR="00903B0C" w:rsidRPr="00286E43" w:rsidRDefault="00692917" w:rsidP="00286E43">
            <w:pPr>
              <w:pStyle w:val="NoSpacing"/>
              <w:snapToGrid w:val="0"/>
              <w:rPr>
                <w:b/>
                <w:sz w:val="12"/>
                <w:szCs w:val="12"/>
              </w:rPr>
            </w:pPr>
            <w:r w:rsidRPr="00286E43">
              <w:rPr>
                <w:b/>
                <w:sz w:val="12"/>
                <w:szCs w:val="12"/>
              </w:rPr>
              <w:t>31</w:t>
            </w:r>
            <w:r w:rsidR="00903B0C" w:rsidRPr="00286E43">
              <w:rPr>
                <w:b/>
                <w:sz w:val="12"/>
                <w:szCs w:val="12"/>
              </w:rPr>
              <w:t>(11.9)</w:t>
            </w:r>
          </w:p>
        </w:tc>
      </w:tr>
    </w:tbl>
    <w:p w:rsidR="00903B0C" w:rsidRDefault="00903B0C" w:rsidP="00BB7760">
      <w:pPr>
        <w:autoSpaceDE w:val="0"/>
        <w:autoSpaceDN w:val="0"/>
        <w:adjustRightInd w:val="0"/>
        <w:snapToGrid w:val="0"/>
        <w:spacing w:after="0" w:line="240" w:lineRule="auto"/>
        <w:jc w:val="both"/>
        <w:rPr>
          <w:b/>
          <w:color w:val="000000"/>
          <w:sz w:val="20"/>
          <w:szCs w:val="20"/>
          <w:lang w:eastAsia="zh-CN"/>
        </w:rPr>
      </w:pPr>
    </w:p>
    <w:p w:rsidR="00286E43" w:rsidRDefault="00286E43" w:rsidP="00BB7760">
      <w:pPr>
        <w:autoSpaceDE w:val="0"/>
        <w:autoSpaceDN w:val="0"/>
        <w:adjustRightInd w:val="0"/>
        <w:snapToGrid w:val="0"/>
        <w:spacing w:after="0" w:line="240" w:lineRule="auto"/>
        <w:jc w:val="both"/>
        <w:rPr>
          <w:b/>
          <w:color w:val="000000"/>
          <w:sz w:val="20"/>
          <w:szCs w:val="20"/>
          <w:lang w:eastAsia="zh-CN"/>
        </w:rPr>
      </w:pPr>
    </w:p>
    <w:p w:rsidR="00286E43" w:rsidRPr="00DC52EE" w:rsidRDefault="00286E43" w:rsidP="00BB7760">
      <w:pPr>
        <w:autoSpaceDE w:val="0"/>
        <w:autoSpaceDN w:val="0"/>
        <w:adjustRightInd w:val="0"/>
        <w:snapToGrid w:val="0"/>
        <w:spacing w:after="0" w:line="240" w:lineRule="auto"/>
        <w:jc w:val="both"/>
        <w:rPr>
          <w:b/>
          <w:color w:val="000000"/>
          <w:sz w:val="20"/>
          <w:szCs w:val="20"/>
          <w:lang w:eastAsia="zh-CN"/>
        </w:rPr>
      </w:pPr>
    </w:p>
    <w:p w:rsidR="00BB7760" w:rsidRPr="00DC52EE" w:rsidRDefault="00BB7760" w:rsidP="00BB7760">
      <w:pPr>
        <w:pStyle w:val="Default"/>
        <w:snapToGrid w:val="0"/>
        <w:jc w:val="both"/>
        <w:rPr>
          <w:rFonts w:ascii="Times New Roman" w:hAnsi="Times New Roman" w:cs="Times New Roman"/>
          <w:b/>
          <w:bCs/>
          <w:sz w:val="20"/>
          <w:szCs w:val="20"/>
        </w:rPr>
        <w:sectPr w:rsidR="00BB7760" w:rsidRPr="00DC52EE" w:rsidSect="00903A07">
          <w:type w:val="continuous"/>
          <w:pgSz w:w="12240" w:h="15840"/>
          <w:pgMar w:top="1440" w:right="1440" w:bottom="1440" w:left="1440" w:header="720" w:footer="720" w:gutter="0"/>
          <w:cols w:space="720"/>
          <w:noEndnote/>
          <w:docGrid w:linePitch="326"/>
        </w:sectPr>
      </w:pPr>
    </w:p>
    <w:p w:rsidR="00BB7760" w:rsidRPr="00DC52EE" w:rsidRDefault="00461FB5" w:rsidP="00BB7760">
      <w:pPr>
        <w:pStyle w:val="Default"/>
        <w:snapToGrid w:val="0"/>
        <w:jc w:val="both"/>
        <w:rPr>
          <w:rFonts w:ascii="Times New Roman" w:hAnsi="Times New Roman" w:cs="Times New Roman"/>
          <w:b/>
          <w:sz w:val="20"/>
          <w:szCs w:val="20"/>
        </w:rPr>
      </w:pPr>
      <w:r w:rsidRPr="00DC52EE">
        <w:rPr>
          <w:rFonts w:ascii="Times New Roman" w:hAnsi="Times New Roman" w:cs="Times New Roman"/>
          <w:b/>
          <w:bCs/>
          <w:sz w:val="20"/>
          <w:szCs w:val="20"/>
        </w:rPr>
        <w:lastRenderedPageBreak/>
        <w:t>4</w:t>
      </w:r>
      <w:r w:rsidR="008F389B" w:rsidRPr="00DC52EE">
        <w:rPr>
          <w:rFonts w:ascii="Times New Roman" w:hAnsi="Times New Roman" w:cs="Times New Roman"/>
          <w:b/>
          <w:bCs/>
          <w:sz w:val="20"/>
          <w:szCs w:val="20"/>
        </w:rPr>
        <w:t xml:space="preserve">. </w:t>
      </w:r>
      <w:r w:rsidR="00C014C1" w:rsidRPr="00DC52EE">
        <w:rPr>
          <w:rFonts w:ascii="Times New Roman" w:hAnsi="Times New Roman" w:cs="Times New Roman"/>
          <w:b/>
          <w:bCs/>
          <w:sz w:val="20"/>
          <w:szCs w:val="20"/>
        </w:rPr>
        <w:t>D</w:t>
      </w:r>
      <w:r w:rsidRPr="00DC52EE">
        <w:rPr>
          <w:rFonts w:ascii="Times New Roman" w:hAnsi="Times New Roman" w:cs="Times New Roman"/>
          <w:b/>
          <w:bCs/>
          <w:sz w:val="20"/>
          <w:szCs w:val="20"/>
        </w:rPr>
        <w:t>iscussion</w:t>
      </w:r>
      <w:r w:rsidRPr="00DC52EE">
        <w:rPr>
          <w:rFonts w:ascii="Times New Roman" w:hAnsi="Times New Roman" w:cs="Times New Roman"/>
          <w:b/>
          <w:sz w:val="20"/>
          <w:szCs w:val="20"/>
        </w:rPr>
        <w:t xml:space="preserve"> </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eastAsia="Times New Roman" w:hAnsi="Times New Roman" w:cs="Times New Roman"/>
          <w:sz w:val="20"/>
          <w:szCs w:val="20"/>
        </w:rPr>
        <w:t>T</w:t>
      </w:r>
      <w:r w:rsidR="00C014C1" w:rsidRPr="00DC52EE">
        <w:rPr>
          <w:rFonts w:ascii="Times New Roman" w:eastAsia="Times New Roman" w:hAnsi="Times New Roman" w:cs="Times New Roman"/>
          <w:sz w:val="20"/>
          <w:szCs w:val="20"/>
        </w:rPr>
        <w:t>he present study on the prevalence of GIT helminthes was conducted in Nekemte town and the result revealed the existence of GI</w:t>
      </w:r>
      <w:r w:rsidR="00C014C1" w:rsidRPr="00DC52EE">
        <w:rPr>
          <w:rFonts w:ascii="Times New Roman" w:hAnsi="Times New Roman" w:cs="Times New Roman"/>
          <w:sz w:val="20"/>
          <w:szCs w:val="20"/>
        </w:rPr>
        <w:t xml:space="preserve"> </w:t>
      </w:r>
      <w:r w:rsidR="00C014C1" w:rsidRPr="00DC52EE">
        <w:rPr>
          <w:rFonts w:ascii="Times New Roman" w:eastAsia="Times New Roman" w:hAnsi="Times New Roman" w:cs="Times New Roman"/>
          <w:sz w:val="20"/>
          <w:szCs w:val="20"/>
        </w:rPr>
        <w:t>helminth parasites with an overall prevalence of</w:t>
      </w:r>
      <w:r w:rsidR="00167D21" w:rsidRPr="00DC52EE">
        <w:rPr>
          <w:rFonts w:ascii="Times New Roman" w:hAnsi="Times New Roman" w:cs="Times New Roman"/>
          <w:sz w:val="20"/>
          <w:szCs w:val="20"/>
        </w:rPr>
        <w:t xml:space="preserve"> 67.9</w:t>
      </w:r>
      <w:r w:rsidR="00C014C1" w:rsidRPr="00DC52EE">
        <w:rPr>
          <w:rFonts w:ascii="Times New Roman" w:hAnsi="Times New Roman" w:cs="Times New Roman"/>
          <w:sz w:val="20"/>
          <w:szCs w:val="20"/>
        </w:rPr>
        <w:t xml:space="preserve">% (n=384) in both </w:t>
      </w:r>
      <w:r w:rsidR="00C014C1" w:rsidRPr="00DC52EE">
        <w:rPr>
          <w:rFonts w:ascii="Times New Roman" w:eastAsia="Times New Roman" w:hAnsi="Times New Roman" w:cs="Times New Roman"/>
          <w:sz w:val="20"/>
          <w:szCs w:val="20"/>
        </w:rPr>
        <w:t>sheep and goats.</w:t>
      </w:r>
      <w:r w:rsidR="00C014C1" w:rsidRPr="00DC52EE">
        <w:rPr>
          <w:rFonts w:ascii="Times New Roman" w:hAnsi="Times New Roman" w:cs="Times New Roman"/>
          <w:sz w:val="20"/>
          <w:szCs w:val="20"/>
        </w:rPr>
        <w:t xml:space="preserve"> The current prevalence of gastrointestinal agrees with reports of previous studies conducted in different parts of Ethiopia by Tesfaye (1998), Tigist (2008), Temesgen (2008) and Ragassa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 xml:space="preserve"> (2006) who reported prevalence of 56.6%, 66.6% and 70.2%, respectively. </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hAnsi="Times New Roman" w:cs="Times New Roman"/>
          <w:sz w:val="20"/>
          <w:szCs w:val="20"/>
        </w:rPr>
        <w:t>C</w:t>
      </w:r>
      <w:r w:rsidR="00C014C1" w:rsidRPr="00DC52EE">
        <w:rPr>
          <w:rFonts w:ascii="Times New Roman" w:hAnsi="Times New Roman" w:cs="Times New Roman"/>
          <w:sz w:val="20"/>
          <w:szCs w:val="20"/>
        </w:rPr>
        <w:t xml:space="preserve">omparatively the result of this study was slightly lower than the report of various findings conducted in different parts of Ethiopia by Bikila </w:t>
      </w:r>
      <w:r w:rsidR="00C014C1" w:rsidRPr="00DC52EE">
        <w:rPr>
          <w:rFonts w:ascii="Times New Roman" w:hAnsi="Times New Roman" w:cs="Times New Roman"/>
          <w:i/>
          <w:sz w:val="20"/>
          <w:szCs w:val="20"/>
        </w:rPr>
        <w:t>et al</w:t>
      </w:r>
      <w:r w:rsidR="000C2A62"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(2013), Melkamu (1991) in and around Kombolcha, Bayou (1992) from Gonder, Yoseph (1993) from Mendayo district of Bale, Genene (1994) from four Awrajas of Eastern Showa, Getachew (1998) from Buno province, Tefera </w:t>
      </w:r>
      <w:r w:rsidR="00C014C1" w:rsidRPr="00DC52EE">
        <w:rPr>
          <w:rFonts w:ascii="Times New Roman" w:hAnsi="Times New Roman" w:cs="Times New Roman"/>
          <w:i/>
          <w:iCs/>
          <w:sz w:val="20"/>
          <w:szCs w:val="20"/>
        </w:rPr>
        <w:t xml:space="preserve">et al., </w:t>
      </w:r>
      <w:r w:rsidR="00C014C1" w:rsidRPr="00DC52EE">
        <w:rPr>
          <w:rFonts w:ascii="Times New Roman" w:hAnsi="Times New Roman" w:cs="Times New Roman"/>
          <w:iCs/>
          <w:sz w:val="20"/>
          <w:szCs w:val="20"/>
        </w:rPr>
        <w:t>(2011)</w:t>
      </w:r>
      <w:r w:rsidR="00C014C1" w:rsidRPr="00DC52EE">
        <w:rPr>
          <w:rFonts w:ascii="Times New Roman" w:hAnsi="Times New Roman" w:cs="Times New Roman"/>
          <w:sz w:val="20"/>
          <w:szCs w:val="20"/>
        </w:rPr>
        <w:t xml:space="preserve"> in and around Bedelle who reported 84.3%, 91.4%, 90.9%, 92.2%, 93.2%, 90.2%, 93.29%, respectively. Abebe and Eseyas (2001) reported prevalence of 97.03% which is higher than the current finding. This difference in prevalence rate in different parts of the country might be attributed to the difference in agro ecology and variation in managemental practice of animals in consideration.</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hAnsi="Times New Roman" w:cs="Times New Roman"/>
          <w:sz w:val="20"/>
          <w:szCs w:val="20"/>
        </w:rPr>
        <w:t>P</w:t>
      </w:r>
      <w:r w:rsidR="00C014C1" w:rsidRPr="00DC52EE">
        <w:rPr>
          <w:rFonts w:ascii="Times New Roman" w:hAnsi="Times New Roman" w:cs="Times New Roman"/>
          <w:sz w:val="20"/>
          <w:szCs w:val="20"/>
        </w:rPr>
        <w:t xml:space="preserve">ost </w:t>
      </w:r>
      <w:r w:rsidR="0096480F" w:rsidRPr="00DC52EE">
        <w:rPr>
          <w:rFonts w:ascii="Times New Roman" w:hAnsi="Times New Roman" w:cs="Times New Roman"/>
          <w:sz w:val="20"/>
          <w:szCs w:val="20"/>
        </w:rPr>
        <w:t>mortem</w:t>
      </w:r>
      <w:r w:rsidR="00C014C1" w:rsidRPr="00DC52EE">
        <w:rPr>
          <w:rFonts w:ascii="Times New Roman" w:hAnsi="Times New Roman" w:cs="Times New Roman"/>
          <w:sz w:val="20"/>
          <w:szCs w:val="20"/>
        </w:rPr>
        <w:t xml:space="preserve"> examination was made and the result revealed that sheep and goats were affected by different species of parasites like</w:t>
      </w:r>
      <w:r w:rsidR="00C014C1" w:rsidRPr="00DC52EE">
        <w:rPr>
          <w:rFonts w:ascii="Times New Roman" w:hAnsi="Times New Roman" w:cs="Times New Roman"/>
          <w:i/>
          <w:sz w:val="20"/>
          <w:szCs w:val="20"/>
        </w:rPr>
        <w:t xml:space="preserve"> </w:t>
      </w:r>
      <w:r w:rsidR="0096480F" w:rsidRPr="00DC52EE">
        <w:rPr>
          <w:rFonts w:ascii="Times New Roman" w:hAnsi="Times New Roman" w:cs="Times New Roman"/>
          <w:i/>
          <w:sz w:val="20"/>
          <w:szCs w:val="20"/>
        </w:rPr>
        <w:t xml:space="preserve">Haemonchus, </w:t>
      </w:r>
      <w:r w:rsidR="00570E62" w:rsidRPr="00DC52EE">
        <w:rPr>
          <w:rFonts w:ascii="Times New Roman" w:hAnsi="Times New Roman" w:cs="Times New Roman"/>
          <w:i/>
          <w:sz w:val="20"/>
          <w:szCs w:val="20"/>
        </w:rPr>
        <w:t>Trichostrongylus</w:t>
      </w:r>
      <w:r w:rsidR="0096480F" w:rsidRPr="00DC52EE">
        <w:rPr>
          <w:rFonts w:ascii="Times New Roman" w:hAnsi="Times New Roman" w:cs="Times New Roman"/>
          <w:i/>
          <w:sz w:val="20"/>
          <w:szCs w:val="20"/>
        </w:rPr>
        <w:t xml:space="preserve">, Chabertia, </w:t>
      </w:r>
      <w:r w:rsidR="00570E62" w:rsidRPr="00DC52EE">
        <w:rPr>
          <w:rFonts w:ascii="Times New Roman" w:hAnsi="Times New Roman" w:cs="Times New Roman"/>
          <w:i/>
          <w:sz w:val="20"/>
          <w:szCs w:val="20"/>
        </w:rPr>
        <w:t>Ostertagia</w:t>
      </w:r>
      <w:r w:rsidR="00C014C1" w:rsidRPr="00DC52EE">
        <w:rPr>
          <w:rFonts w:ascii="Times New Roman" w:hAnsi="Times New Roman" w:cs="Times New Roman"/>
          <w:sz w:val="20"/>
          <w:szCs w:val="20"/>
        </w:rPr>
        <w:t xml:space="preserve">, </w:t>
      </w:r>
      <w:r w:rsidR="00C014C1" w:rsidRPr="00DC52EE">
        <w:rPr>
          <w:rFonts w:ascii="Times New Roman" w:hAnsi="Times New Roman" w:cs="Times New Roman"/>
          <w:i/>
          <w:iCs/>
          <w:sz w:val="20"/>
          <w:szCs w:val="20"/>
        </w:rPr>
        <w:t>Trichuris</w:t>
      </w:r>
      <w:r w:rsidR="00C014C1" w:rsidRPr="00DC52EE">
        <w:rPr>
          <w:rFonts w:ascii="Times New Roman" w:hAnsi="Times New Roman" w:cs="Times New Roman"/>
          <w:sz w:val="20"/>
          <w:szCs w:val="20"/>
        </w:rPr>
        <w:t xml:space="preserve"> and </w:t>
      </w:r>
      <w:r w:rsidR="00C014C1" w:rsidRPr="00DC52EE">
        <w:rPr>
          <w:rFonts w:ascii="Times New Roman" w:hAnsi="Times New Roman" w:cs="Times New Roman"/>
          <w:i/>
          <w:iCs/>
          <w:sz w:val="20"/>
          <w:szCs w:val="20"/>
        </w:rPr>
        <w:t xml:space="preserve">Strongloides </w:t>
      </w:r>
      <w:r w:rsidR="00C014C1" w:rsidRPr="00DC52EE">
        <w:rPr>
          <w:rFonts w:ascii="Times New Roman" w:hAnsi="Times New Roman" w:cs="Times New Roman"/>
          <w:sz w:val="20"/>
          <w:szCs w:val="20"/>
        </w:rPr>
        <w:t xml:space="preserve">(nematodes), </w:t>
      </w:r>
      <w:r w:rsidR="00C014C1" w:rsidRPr="00DC52EE">
        <w:rPr>
          <w:rFonts w:ascii="Times New Roman" w:hAnsi="Times New Roman" w:cs="Times New Roman"/>
          <w:i/>
          <w:iCs/>
          <w:sz w:val="20"/>
          <w:szCs w:val="20"/>
        </w:rPr>
        <w:t xml:space="preserve">Moniezia </w:t>
      </w:r>
      <w:r w:rsidR="00C014C1" w:rsidRPr="00DC52EE">
        <w:rPr>
          <w:rFonts w:ascii="Times New Roman" w:hAnsi="Times New Roman" w:cs="Times New Roman"/>
          <w:sz w:val="20"/>
          <w:szCs w:val="20"/>
        </w:rPr>
        <w:t>(</w:t>
      </w:r>
      <w:r w:rsidR="0096480F" w:rsidRPr="00DC52EE">
        <w:rPr>
          <w:rFonts w:ascii="Times New Roman" w:hAnsi="Times New Roman" w:cs="Times New Roman"/>
          <w:sz w:val="20"/>
          <w:szCs w:val="20"/>
        </w:rPr>
        <w:t>Cestodes</w:t>
      </w:r>
      <w:r w:rsidR="00C014C1" w:rsidRPr="00DC52EE">
        <w:rPr>
          <w:rFonts w:ascii="Times New Roman" w:hAnsi="Times New Roman" w:cs="Times New Roman"/>
          <w:sz w:val="20"/>
          <w:szCs w:val="20"/>
        </w:rPr>
        <w:t xml:space="preserve">), </w:t>
      </w:r>
      <w:r w:rsidR="00C014C1" w:rsidRPr="00DC52EE">
        <w:rPr>
          <w:rFonts w:ascii="Times New Roman" w:hAnsi="Times New Roman" w:cs="Times New Roman"/>
          <w:i/>
          <w:iCs/>
          <w:sz w:val="20"/>
          <w:szCs w:val="20"/>
        </w:rPr>
        <w:t xml:space="preserve">Fasciola </w:t>
      </w:r>
      <w:r w:rsidR="00C014C1" w:rsidRPr="00DC52EE">
        <w:rPr>
          <w:rFonts w:ascii="Times New Roman" w:hAnsi="Times New Roman" w:cs="Times New Roman"/>
          <w:iCs/>
          <w:sz w:val="20"/>
          <w:szCs w:val="20"/>
        </w:rPr>
        <w:t xml:space="preserve">and </w:t>
      </w:r>
      <w:r w:rsidR="00C014C1" w:rsidRPr="00DC52EE">
        <w:rPr>
          <w:rFonts w:ascii="Times New Roman" w:hAnsi="Times New Roman" w:cs="Times New Roman"/>
          <w:i/>
          <w:iCs/>
          <w:sz w:val="20"/>
          <w:szCs w:val="20"/>
        </w:rPr>
        <w:t xml:space="preserve">Paramphistomum </w:t>
      </w:r>
      <w:r w:rsidR="00C014C1" w:rsidRPr="00DC52EE">
        <w:rPr>
          <w:rFonts w:ascii="Times New Roman" w:hAnsi="Times New Roman" w:cs="Times New Roman"/>
          <w:sz w:val="20"/>
          <w:szCs w:val="20"/>
        </w:rPr>
        <w:t>(</w:t>
      </w:r>
      <w:r w:rsidR="0096480F" w:rsidRPr="00DC52EE">
        <w:rPr>
          <w:rFonts w:ascii="Times New Roman" w:hAnsi="Times New Roman" w:cs="Times New Roman"/>
          <w:sz w:val="20"/>
          <w:szCs w:val="20"/>
        </w:rPr>
        <w:t>Trematodes</w:t>
      </w:r>
      <w:r w:rsidR="00C014C1" w:rsidRPr="00DC52EE">
        <w:rPr>
          <w:rFonts w:ascii="Times New Roman" w:hAnsi="Times New Roman" w:cs="Times New Roman"/>
          <w:sz w:val="20"/>
          <w:szCs w:val="20"/>
        </w:rPr>
        <w:t xml:space="preserve">) and </w:t>
      </w:r>
      <w:r w:rsidR="00C014C1" w:rsidRPr="00DC52EE">
        <w:rPr>
          <w:rFonts w:ascii="Times New Roman" w:hAnsi="Times New Roman" w:cs="Times New Roman"/>
          <w:i/>
          <w:iCs/>
          <w:sz w:val="20"/>
          <w:szCs w:val="20"/>
        </w:rPr>
        <w:t xml:space="preserve">Emeria </w:t>
      </w:r>
      <w:r w:rsidR="00C014C1" w:rsidRPr="00DC52EE">
        <w:rPr>
          <w:rFonts w:ascii="Times New Roman" w:hAnsi="Times New Roman" w:cs="Times New Roman"/>
          <w:sz w:val="20"/>
          <w:szCs w:val="20"/>
        </w:rPr>
        <w:t xml:space="preserve">(protozoa). During this study, more than one species of genera of helminthes were identified from a single host. This finding is in harmonious with reports of previous studies conducted in Ethiopia by Fikru </w:t>
      </w:r>
      <w:r w:rsidR="00C014C1" w:rsidRPr="00DC52EE">
        <w:rPr>
          <w:rFonts w:ascii="Times New Roman" w:hAnsi="Times New Roman" w:cs="Times New Roman"/>
          <w:i/>
          <w:sz w:val="20"/>
          <w:szCs w:val="20"/>
        </w:rPr>
        <w:t>et al</w:t>
      </w:r>
      <w:r w:rsidR="0096480F"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(2006), Hailelul (2002) and Tefera </w:t>
      </w:r>
      <w:r w:rsidR="00C014C1" w:rsidRPr="00DC52EE">
        <w:rPr>
          <w:rFonts w:ascii="Times New Roman" w:hAnsi="Times New Roman" w:cs="Times New Roman"/>
          <w:i/>
          <w:sz w:val="20"/>
          <w:szCs w:val="20"/>
        </w:rPr>
        <w:t>et al</w:t>
      </w:r>
      <w:r w:rsidR="0096480F"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(2011). </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hAnsi="Times New Roman" w:cs="Times New Roman"/>
          <w:color w:val="auto"/>
          <w:sz w:val="20"/>
          <w:szCs w:val="20"/>
        </w:rPr>
        <w:t>I</w:t>
      </w:r>
      <w:r w:rsidR="00C014C1" w:rsidRPr="00DC52EE">
        <w:rPr>
          <w:rFonts w:ascii="Times New Roman" w:hAnsi="Times New Roman" w:cs="Times New Roman"/>
          <w:color w:val="auto"/>
          <w:sz w:val="20"/>
          <w:szCs w:val="20"/>
        </w:rPr>
        <w:t>n the present study</w:t>
      </w:r>
      <w:r w:rsidR="00C014C1" w:rsidRPr="00DC52EE">
        <w:rPr>
          <w:rFonts w:ascii="Times New Roman" w:eastAsia="TimesNewRoman" w:hAnsi="Times New Roman" w:cs="Times New Roman"/>
          <w:i/>
          <w:color w:val="auto"/>
          <w:sz w:val="20"/>
          <w:szCs w:val="20"/>
        </w:rPr>
        <w:t>,</w:t>
      </w:r>
      <w:r w:rsidR="00C014C1" w:rsidRPr="00DC52EE">
        <w:rPr>
          <w:rFonts w:ascii="Times New Roman" w:hAnsi="Times New Roman" w:cs="Times New Roman"/>
          <w:color w:val="auto"/>
          <w:sz w:val="20"/>
          <w:szCs w:val="20"/>
        </w:rPr>
        <w:t xml:space="preserve"> an attempt has also been made to compare prevalence of GIT helminthes infection between sex groups. The higher rate of infection was observed in female animals (81.4%) as </w:t>
      </w:r>
      <w:r w:rsidR="00C014C1" w:rsidRPr="00DC52EE">
        <w:rPr>
          <w:rFonts w:ascii="Times New Roman" w:hAnsi="Times New Roman" w:cs="Times New Roman"/>
          <w:color w:val="auto"/>
          <w:sz w:val="20"/>
          <w:szCs w:val="20"/>
        </w:rPr>
        <w:lastRenderedPageBreak/>
        <w:t>compared to males (60.6%).</w:t>
      </w:r>
      <w:r w:rsidR="00C014C1" w:rsidRPr="00DC52EE">
        <w:rPr>
          <w:rFonts w:ascii="Times New Roman" w:hAnsi="Times New Roman" w:cs="Times New Roman"/>
          <w:color w:val="FF0000"/>
          <w:sz w:val="20"/>
          <w:szCs w:val="20"/>
        </w:rPr>
        <w:t xml:space="preserve"> </w:t>
      </w:r>
      <w:r w:rsidR="00C014C1" w:rsidRPr="00DC52EE">
        <w:rPr>
          <w:rFonts w:ascii="Times New Roman" w:hAnsi="Times New Roman" w:cs="Times New Roman"/>
          <w:color w:val="auto"/>
          <w:sz w:val="20"/>
          <w:szCs w:val="20"/>
        </w:rPr>
        <w:t>The present study shows statistically significant differences (p&lt;0.05, OR=2.87)</w:t>
      </w:r>
      <w:r w:rsidR="00C014C1" w:rsidRPr="00DC52EE">
        <w:rPr>
          <w:rFonts w:ascii="Times New Roman" w:hAnsi="Times New Roman" w:cs="Times New Roman"/>
          <w:color w:val="FF0000"/>
          <w:sz w:val="20"/>
          <w:szCs w:val="20"/>
        </w:rPr>
        <w:t xml:space="preserve"> </w:t>
      </w:r>
      <w:r w:rsidR="00C014C1" w:rsidRPr="00DC52EE">
        <w:rPr>
          <w:rFonts w:ascii="Times New Roman" w:hAnsi="Times New Roman" w:cs="Times New Roman"/>
          <w:color w:val="auto"/>
          <w:sz w:val="20"/>
          <w:szCs w:val="20"/>
        </w:rPr>
        <w:t>in the prevalence of GIT parasites between sex groups.</w:t>
      </w:r>
      <w:r w:rsidR="00C014C1" w:rsidRPr="00DC52EE">
        <w:rPr>
          <w:rFonts w:ascii="Times New Roman" w:hAnsi="Times New Roman" w:cs="Times New Roman"/>
          <w:sz w:val="20"/>
          <w:szCs w:val="20"/>
        </w:rPr>
        <w:t xml:space="preserve"> This finding agrees with the work of Dagnachew </w:t>
      </w:r>
      <w:r w:rsidR="00C014C1" w:rsidRPr="00DC52EE">
        <w:rPr>
          <w:rFonts w:ascii="Times New Roman" w:hAnsi="Times New Roman" w:cs="Times New Roman"/>
          <w:i/>
          <w:sz w:val="20"/>
          <w:szCs w:val="20"/>
        </w:rPr>
        <w:t>et al</w:t>
      </w:r>
      <w:r w:rsidR="00370BE5"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(2011) Yoseph (</w:t>
      </w:r>
      <w:r w:rsidR="00C014C1" w:rsidRPr="00DC52EE">
        <w:rPr>
          <w:rFonts w:ascii="Times New Roman" w:hAnsi="Times New Roman" w:cs="Times New Roman"/>
          <w:color w:val="auto"/>
          <w:sz w:val="20"/>
          <w:szCs w:val="20"/>
        </w:rPr>
        <w:t>2009),</w:t>
      </w:r>
      <w:r w:rsidR="00C014C1" w:rsidRPr="00DC52EE">
        <w:rPr>
          <w:rFonts w:ascii="Times New Roman" w:hAnsi="Times New Roman" w:cs="Times New Roman"/>
          <w:sz w:val="20"/>
          <w:szCs w:val="20"/>
        </w:rPr>
        <w:t xml:space="preserve"> </w:t>
      </w:r>
      <w:r w:rsidR="00C014C1" w:rsidRPr="00DC52EE">
        <w:rPr>
          <w:rFonts w:ascii="Times New Roman" w:hAnsi="Times New Roman" w:cs="Times New Roman"/>
          <w:color w:val="auto"/>
          <w:sz w:val="20"/>
          <w:szCs w:val="20"/>
        </w:rPr>
        <w:t xml:space="preserve">Bashir </w:t>
      </w:r>
      <w:r w:rsidR="00C014C1" w:rsidRPr="00DC52EE">
        <w:rPr>
          <w:rFonts w:ascii="Times New Roman" w:hAnsi="Times New Roman" w:cs="Times New Roman"/>
          <w:i/>
          <w:sz w:val="20"/>
          <w:szCs w:val="20"/>
        </w:rPr>
        <w:t>et al</w:t>
      </w:r>
      <w:r w:rsidR="00370BE5"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(2012), Mihreteab and</w:t>
      </w:r>
      <w:r w:rsidR="00C014C1" w:rsidRPr="00DC52EE">
        <w:rPr>
          <w:rFonts w:ascii="Times New Roman" w:hAnsi="Times New Roman" w:cs="Times New Roman"/>
          <w:color w:val="auto"/>
          <w:sz w:val="20"/>
          <w:szCs w:val="20"/>
        </w:rPr>
        <w:t xml:space="preserve"> Aman (2011)</w:t>
      </w:r>
      <w:r w:rsidR="00C014C1" w:rsidRPr="00DC52EE">
        <w:rPr>
          <w:rFonts w:ascii="Times New Roman" w:hAnsi="Times New Roman" w:cs="Times New Roman"/>
          <w:sz w:val="20"/>
          <w:szCs w:val="20"/>
        </w:rPr>
        <w:t xml:space="preserve">, </w:t>
      </w:r>
      <w:r w:rsidR="00C014C1" w:rsidRPr="00DC52EE">
        <w:rPr>
          <w:rFonts w:ascii="Times New Roman" w:hAnsi="Times New Roman" w:cs="Times New Roman"/>
          <w:color w:val="auto"/>
          <w:sz w:val="20"/>
          <w:szCs w:val="20"/>
        </w:rPr>
        <w:t>Desta</w:t>
      </w:r>
      <w:r w:rsidR="00370BE5" w:rsidRPr="00DC52EE">
        <w:rPr>
          <w:rFonts w:ascii="Times New Roman" w:hAnsi="Times New Roman" w:cs="Times New Roman"/>
          <w:sz w:val="20"/>
          <w:szCs w:val="20"/>
        </w:rPr>
        <w:t xml:space="preserve"> (2013)</w:t>
      </w:r>
      <w:r w:rsidRPr="00DC52EE">
        <w:rPr>
          <w:rFonts w:ascii="Times New Roman" w:hAnsi="Times New Roman" w:cs="Times New Roman"/>
          <w:sz w:val="20"/>
          <w:szCs w:val="20"/>
        </w:rPr>
        <w:t xml:space="preserve"> </w:t>
      </w:r>
      <w:r w:rsidR="00C014C1" w:rsidRPr="00DC52EE">
        <w:rPr>
          <w:rFonts w:ascii="Times New Roman" w:hAnsi="Times New Roman" w:cs="Times New Roman"/>
          <w:sz w:val="20"/>
          <w:szCs w:val="20"/>
        </w:rPr>
        <w:t xml:space="preserve">who reported higher prevalence of GIT helminthes in females than in males. This is due to female animals are exposed to stress than male animals in different time such as during pregnancy and lactation which favors the egg output of helminthes. This finding disagrees with report by Regassa </w:t>
      </w:r>
      <w:r w:rsidR="00C014C1" w:rsidRPr="00DC52EE">
        <w:rPr>
          <w:rFonts w:ascii="Times New Roman" w:hAnsi="Times New Roman" w:cs="Times New Roman"/>
          <w:i/>
          <w:sz w:val="20"/>
          <w:szCs w:val="20"/>
        </w:rPr>
        <w:t>et al</w:t>
      </w:r>
      <w:r w:rsidR="009617F3"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(2006), Assefa and Sissay (1998), </w:t>
      </w:r>
      <w:r w:rsidR="00C014C1" w:rsidRPr="00DC52EE">
        <w:rPr>
          <w:rFonts w:ascii="Times New Roman" w:hAnsi="Times New Roman" w:cs="Times New Roman"/>
          <w:color w:val="auto"/>
          <w:sz w:val="20"/>
          <w:szCs w:val="20"/>
        </w:rPr>
        <w:t>Fikru</w:t>
      </w:r>
      <w:r w:rsidR="00C014C1" w:rsidRPr="00DC52EE">
        <w:rPr>
          <w:rFonts w:ascii="Times New Roman" w:hAnsi="Times New Roman" w:cs="Times New Roman"/>
          <w:sz w:val="20"/>
          <w:szCs w:val="20"/>
        </w:rPr>
        <w:t xml:space="preserve">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w:t>
      </w:r>
      <w:r w:rsidR="00D669F3"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(2006), Getachew</w:t>
      </w:r>
      <w:r w:rsidR="00C014C1" w:rsidRPr="00DC52EE">
        <w:rPr>
          <w:rFonts w:ascii="Times New Roman" w:hAnsi="Times New Roman" w:cs="Times New Roman"/>
          <w:color w:val="auto"/>
          <w:sz w:val="20"/>
          <w:szCs w:val="20"/>
        </w:rPr>
        <w:t xml:space="preserve"> (1998) and </w:t>
      </w:r>
      <w:r w:rsidR="00C014C1" w:rsidRPr="00DC52EE">
        <w:rPr>
          <w:rFonts w:ascii="Times New Roman" w:hAnsi="Times New Roman" w:cs="Times New Roman"/>
          <w:sz w:val="20"/>
          <w:szCs w:val="20"/>
        </w:rPr>
        <w:t xml:space="preserve">Ghanem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 xml:space="preserve">., (2009) which showed that sex of the animals did not show significant association with the prevalence of GIT helminthes. The author’s stated that this is due to equal exposure of both sexes, and they are from similar agro-ecology. </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eastAsia="Calibri" w:hAnsi="Times New Roman" w:cs="Times New Roman"/>
          <w:sz w:val="20"/>
          <w:szCs w:val="20"/>
        </w:rPr>
        <w:t>T</w:t>
      </w:r>
      <w:r w:rsidR="00C014C1" w:rsidRPr="00DC52EE">
        <w:rPr>
          <w:rFonts w:ascii="Times New Roman" w:eastAsia="Calibri" w:hAnsi="Times New Roman" w:cs="Times New Roman"/>
          <w:sz w:val="20"/>
          <w:szCs w:val="20"/>
        </w:rPr>
        <w:t xml:space="preserve">he study was also under taken to </w:t>
      </w:r>
      <w:r w:rsidR="00C014C1" w:rsidRPr="00DC52EE">
        <w:rPr>
          <w:rFonts w:ascii="Times New Roman" w:hAnsi="Times New Roman" w:cs="Times New Roman"/>
          <w:sz w:val="20"/>
          <w:szCs w:val="20"/>
        </w:rPr>
        <w:t xml:space="preserve">observe </w:t>
      </w:r>
      <w:r w:rsidR="00C014C1" w:rsidRPr="00DC52EE">
        <w:rPr>
          <w:rFonts w:ascii="Times New Roman" w:eastAsia="Calibri" w:hAnsi="Times New Roman" w:cs="Times New Roman"/>
          <w:sz w:val="20"/>
          <w:szCs w:val="20"/>
        </w:rPr>
        <w:t xml:space="preserve">the rate of </w:t>
      </w:r>
      <w:r w:rsidR="00C014C1" w:rsidRPr="00DC52EE">
        <w:rPr>
          <w:rFonts w:ascii="Times New Roman" w:hAnsi="Times New Roman" w:cs="Times New Roman"/>
          <w:sz w:val="20"/>
          <w:szCs w:val="20"/>
        </w:rPr>
        <w:t xml:space="preserve">GIT helminthes in age groups and the result showed that young animals were highly attacked 89 (92.7%) as compared to that of adult animals 172 (59.7%). </w:t>
      </w:r>
      <w:r w:rsidR="00C014C1" w:rsidRPr="00DC52EE">
        <w:rPr>
          <w:rFonts w:ascii="Times New Roman" w:hAnsi="Times New Roman" w:cs="Times New Roman"/>
          <w:color w:val="auto"/>
          <w:sz w:val="20"/>
          <w:szCs w:val="20"/>
        </w:rPr>
        <w:t>The presence of significan</w:t>
      </w:r>
      <w:r w:rsidR="00D669F3" w:rsidRPr="00DC52EE">
        <w:rPr>
          <w:rFonts w:ascii="Times New Roman" w:hAnsi="Times New Roman" w:cs="Times New Roman"/>
          <w:color w:val="auto"/>
          <w:sz w:val="20"/>
          <w:szCs w:val="20"/>
        </w:rPr>
        <w:t>t association (p&lt;0.05, OR =0.12</w:t>
      </w:r>
      <w:r w:rsidR="00C014C1" w:rsidRPr="00DC52EE">
        <w:rPr>
          <w:rFonts w:ascii="Times New Roman" w:hAnsi="Times New Roman" w:cs="Times New Roman"/>
          <w:color w:val="auto"/>
          <w:sz w:val="20"/>
          <w:szCs w:val="20"/>
        </w:rPr>
        <w:t xml:space="preserve">) between age and infestation of GIT parasites was observed in current investigation. </w:t>
      </w:r>
      <w:r w:rsidR="00C014C1" w:rsidRPr="00DC52EE">
        <w:rPr>
          <w:rFonts w:ascii="Times New Roman" w:hAnsi="Times New Roman" w:cs="Times New Roman"/>
          <w:sz w:val="20"/>
          <w:szCs w:val="20"/>
        </w:rPr>
        <w:t xml:space="preserve">The present finding agrees with the finding of Fikru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w:t>
      </w:r>
      <w:r w:rsidR="00D669F3"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(2006), Gamble and Zajak (1992), Watson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 xml:space="preserve">. (1994), Colditz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 xml:space="preserve">. (1996), Kanyari (1991) and Kanyari </w:t>
      </w:r>
      <w:r w:rsidR="00C014C1" w:rsidRPr="00DC52EE">
        <w:rPr>
          <w:rFonts w:ascii="Times New Roman" w:hAnsi="Times New Roman" w:cs="Times New Roman"/>
          <w:i/>
          <w:iCs/>
          <w:sz w:val="20"/>
          <w:szCs w:val="20"/>
        </w:rPr>
        <w:t>et al.</w:t>
      </w:r>
      <w:r w:rsidR="00D669F3" w:rsidRPr="00DC52EE">
        <w:rPr>
          <w:rFonts w:ascii="Times New Roman" w:hAnsi="Times New Roman" w:cs="Times New Roman"/>
          <w:i/>
          <w:iCs/>
          <w:sz w:val="20"/>
          <w:szCs w:val="20"/>
        </w:rPr>
        <w:t>,</w:t>
      </w:r>
      <w:r w:rsidR="00C014C1" w:rsidRPr="00DC52EE">
        <w:rPr>
          <w:rFonts w:ascii="Times New Roman" w:hAnsi="Times New Roman" w:cs="Times New Roman"/>
          <w:i/>
          <w:iCs/>
          <w:sz w:val="20"/>
          <w:szCs w:val="20"/>
        </w:rPr>
        <w:t xml:space="preserve"> </w:t>
      </w:r>
      <w:r w:rsidR="00C014C1" w:rsidRPr="00DC52EE">
        <w:rPr>
          <w:rFonts w:ascii="Times New Roman" w:hAnsi="Times New Roman" w:cs="Times New Roman"/>
          <w:iCs/>
          <w:sz w:val="20"/>
          <w:szCs w:val="20"/>
        </w:rPr>
        <w:t>(</w:t>
      </w:r>
      <w:r w:rsidR="00C014C1" w:rsidRPr="00DC52EE">
        <w:rPr>
          <w:rFonts w:ascii="Times New Roman" w:hAnsi="Times New Roman" w:cs="Times New Roman"/>
          <w:sz w:val="20"/>
          <w:szCs w:val="20"/>
        </w:rPr>
        <w:t xml:space="preserve">2009) that young animals are more susceptible to parasite infection than older one. </w:t>
      </w:r>
    </w:p>
    <w:p w:rsidR="00BB7760" w:rsidRPr="00DC52EE" w:rsidRDefault="00903A07" w:rsidP="00BB7760">
      <w:pPr>
        <w:pStyle w:val="Default"/>
        <w:snapToGrid w:val="0"/>
        <w:ind w:firstLine="425"/>
        <w:jc w:val="both"/>
        <w:rPr>
          <w:rFonts w:ascii="Times New Roman" w:hAnsi="Times New Roman" w:cs="Times New Roman"/>
          <w:color w:val="FF0000"/>
          <w:sz w:val="20"/>
          <w:szCs w:val="20"/>
        </w:rPr>
      </w:pPr>
      <w:r w:rsidRPr="00DC52EE">
        <w:rPr>
          <w:rFonts w:ascii="Times New Roman" w:hAnsi="Times New Roman" w:cs="Times New Roman"/>
          <w:sz w:val="20"/>
          <w:szCs w:val="20"/>
        </w:rPr>
        <w:t>A</w:t>
      </w:r>
      <w:r w:rsidR="00C014C1" w:rsidRPr="00DC52EE">
        <w:rPr>
          <w:rFonts w:ascii="Times New Roman" w:hAnsi="Times New Roman" w:cs="Times New Roman"/>
          <w:sz w:val="20"/>
          <w:szCs w:val="20"/>
        </w:rPr>
        <w:t>dditionally, other researchers also justified the result that it could be because adult animals may acquire immunity to the parasite through frequent challenge and expel the ingested parasite before they establish infection. Young animals are susceptible due to immunological immaturity and immunological unresponsiveness. This finding not in agreement with reports from Gechi distinct of south west Ethiopia, Semi-arid part of Kenya and Gambia as GIT helminthes affect both ages equally</w:t>
      </w:r>
      <w:r w:rsidR="00C014C1" w:rsidRPr="00DC52EE">
        <w:rPr>
          <w:rFonts w:ascii="Times New Roman" w:hAnsi="Times New Roman" w:cs="Times New Roman"/>
          <w:color w:val="auto"/>
          <w:sz w:val="20"/>
          <w:szCs w:val="20"/>
        </w:rPr>
        <w:t xml:space="preserve"> </w:t>
      </w:r>
      <w:r w:rsidR="00C014C1" w:rsidRPr="00DC52EE">
        <w:rPr>
          <w:rFonts w:ascii="Times New Roman" w:hAnsi="Times New Roman" w:cs="Times New Roman"/>
          <w:sz w:val="20"/>
          <w:szCs w:val="20"/>
        </w:rPr>
        <w:t>described by</w:t>
      </w:r>
      <w:r w:rsidR="00C014C1" w:rsidRPr="00DC52EE">
        <w:rPr>
          <w:rFonts w:ascii="Times New Roman" w:hAnsi="Times New Roman" w:cs="Times New Roman"/>
          <w:color w:val="FF0000"/>
          <w:sz w:val="20"/>
          <w:szCs w:val="20"/>
        </w:rPr>
        <w:t xml:space="preserve"> </w:t>
      </w:r>
      <w:r w:rsidR="00C014C1" w:rsidRPr="00DC52EE">
        <w:rPr>
          <w:rFonts w:ascii="Times New Roman" w:hAnsi="Times New Roman" w:cs="Times New Roman"/>
          <w:sz w:val="20"/>
          <w:szCs w:val="20"/>
        </w:rPr>
        <w:t xml:space="preserve">Bikila </w:t>
      </w:r>
      <w:r w:rsidR="00C014C1" w:rsidRPr="00DC52EE">
        <w:rPr>
          <w:rFonts w:ascii="Times New Roman" w:hAnsi="Times New Roman" w:cs="Times New Roman"/>
          <w:i/>
          <w:sz w:val="20"/>
          <w:szCs w:val="20"/>
        </w:rPr>
        <w:t>et al</w:t>
      </w:r>
      <w:r w:rsidR="00131FE7" w:rsidRPr="00DC52EE">
        <w:rPr>
          <w:rFonts w:ascii="Times New Roman" w:hAnsi="Times New Roman" w:cs="Times New Roman"/>
          <w:sz w:val="20"/>
          <w:szCs w:val="20"/>
        </w:rPr>
        <w:t xml:space="preserve">., </w:t>
      </w:r>
      <w:r w:rsidR="00C014C1" w:rsidRPr="00DC52EE">
        <w:rPr>
          <w:rFonts w:ascii="Times New Roman" w:hAnsi="Times New Roman" w:cs="Times New Roman"/>
          <w:sz w:val="20"/>
          <w:szCs w:val="20"/>
        </w:rPr>
        <w:t xml:space="preserve">(2013), Waruiru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w:t>
      </w:r>
      <w:r w:rsidR="00131FE7"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(2005) and Fritsch </w:t>
      </w:r>
      <w:r w:rsidR="00C014C1" w:rsidRPr="00DC52EE">
        <w:rPr>
          <w:rFonts w:ascii="Times New Roman" w:hAnsi="Times New Roman" w:cs="Times New Roman"/>
          <w:i/>
          <w:sz w:val="20"/>
          <w:szCs w:val="20"/>
        </w:rPr>
        <w:t>et al</w:t>
      </w:r>
      <w:r w:rsidR="00C014C1" w:rsidRPr="00DC52EE">
        <w:rPr>
          <w:rFonts w:ascii="Times New Roman" w:hAnsi="Times New Roman" w:cs="Times New Roman"/>
          <w:sz w:val="20"/>
          <w:szCs w:val="20"/>
        </w:rPr>
        <w:t>.</w:t>
      </w:r>
      <w:r w:rsidR="00131FE7"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(1993), respectively. </w:t>
      </w:r>
    </w:p>
    <w:p w:rsidR="00BB7760" w:rsidRPr="00DC52EE" w:rsidRDefault="00903A07" w:rsidP="00BB7760">
      <w:pPr>
        <w:pStyle w:val="Default"/>
        <w:snapToGrid w:val="0"/>
        <w:ind w:firstLine="425"/>
        <w:jc w:val="both"/>
        <w:rPr>
          <w:rFonts w:ascii="Times New Roman" w:hAnsi="Times New Roman" w:cs="Times New Roman"/>
          <w:color w:val="auto"/>
          <w:sz w:val="20"/>
          <w:szCs w:val="20"/>
        </w:rPr>
      </w:pPr>
      <w:r w:rsidRPr="00DC52EE">
        <w:rPr>
          <w:rFonts w:ascii="Times New Roman" w:hAnsi="Times New Roman" w:cs="Times New Roman"/>
          <w:color w:val="auto"/>
          <w:sz w:val="20"/>
          <w:szCs w:val="20"/>
        </w:rPr>
        <w:lastRenderedPageBreak/>
        <w:t>A</w:t>
      </w:r>
      <w:r w:rsidR="00C014C1" w:rsidRPr="00DC52EE">
        <w:rPr>
          <w:rFonts w:ascii="Times New Roman" w:hAnsi="Times New Roman" w:cs="Times New Roman"/>
          <w:color w:val="auto"/>
          <w:sz w:val="20"/>
          <w:szCs w:val="20"/>
        </w:rPr>
        <w:t xml:space="preserve">n effort has been made to identify different species of GIT parasites in sheep and goats at postmortem examination and the result revealed these species of parasites with their prevalence rate of </w:t>
      </w:r>
      <w:r w:rsidR="00C014C1" w:rsidRPr="00DC52EE">
        <w:rPr>
          <w:rFonts w:ascii="Times New Roman" w:hAnsi="Times New Roman" w:cs="Times New Roman"/>
          <w:i/>
          <w:color w:val="auto"/>
          <w:sz w:val="20"/>
          <w:szCs w:val="20"/>
        </w:rPr>
        <w:t xml:space="preserve">Haemonchus </w:t>
      </w:r>
      <w:r w:rsidR="00C014C1" w:rsidRPr="00DC52EE">
        <w:rPr>
          <w:rFonts w:ascii="Times New Roman" w:hAnsi="Times New Roman" w:cs="Times New Roman"/>
          <w:color w:val="auto"/>
          <w:sz w:val="20"/>
          <w:szCs w:val="20"/>
        </w:rPr>
        <w:t>(27.2%),</w:t>
      </w:r>
      <w:r w:rsidR="00C014C1" w:rsidRPr="00DC52EE">
        <w:rPr>
          <w:rFonts w:ascii="Times New Roman" w:hAnsi="Times New Roman" w:cs="Times New Roman"/>
          <w:i/>
          <w:color w:val="auto"/>
          <w:sz w:val="20"/>
          <w:szCs w:val="20"/>
        </w:rPr>
        <w:t xml:space="preserve"> Trichostrongylus </w:t>
      </w:r>
      <w:r w:rsidR="00C014C1" w:rsidRPr="00DC52EE">
        <w:rPr>
          <w:rFonts w:ascii="Times New Roman" w:hAnsi="Times New Roman" w:cs="Times New Roman"/>
          <w:color w:val="auto"/>
          <w:sz w:val="20"/>
          <w:szCs w:val="20"/>
        </w:rPr>
        <w:t>and</w:t>
      </w:r>
      <w:r w:rsidR="00C014C1" w:rsidRPr="00DC52EE">
        <w:rPr>
          <w:rFonts w:ascii="Times New Roman" w:hAnsi="Times New Roman" w:cs="Times New Roman"/>
          <w:i/>
          <w:color w:val="auto"/>
          <w:sz w:val="20"/>
          <w:szCs w:val="20"/>
        </w:rPr>
        <w:t xml:space="preserve"> </w:t>
      </w:r>
      <w:r w:rsidR="004900F0" w:rsidRPr="00DC52EE">
        <w:rPr>
          <w:rFonts w:ascii="Times New Roman" w:hAnsi="Times New Roman" w:cs="Times New Roman"/>
          <w:i/>
          <w:color w:val="auto"/>
          <w:sz w:val="20"/>
          <w:szCs w:val="20"/>
        </w:rPr>
        <w:t>Paramphistomum</w:t>
      </w:r>
      <w:r w:rsidR="00C014C1" w:rsidRPr="00DC52EE">
        <w:rPr>
          <w:rFonts w:ascii="Times New Roman" w:hAnsi="Times New Roman" w:cs="Times New Roman"/>
          <w:i/>
          <w:color w:val="auto"/>
          <w:sz w:val="20"/>
          <w:szCs w:val="20"/>
        </w:rPr>
        <w:t xml:space="preserve"> </w:t>
      </w:r>
      <w:r w:rsidR="00C014C1" w:rsidRPr="00DC52EE">
        <w:rPr>
          <w:rFonts w:ascii="Times New Roman" w:hAnsi="Times New Roman" w:cs="Times New Roman"/>
          <w:color w:val="auto"/>
          <w:sz w:val="20"/>
          <w:szCs w:val="20"/>
        </w:rPr>
        <w:t>(11.9%)</w:t>
      </w:r>
      <w:r w:rsidR="00C014C1" w:rsidRPr="00DC52EE">
        <w:rPr>
          <w:rFonts w:ascii="Times New Roman" w:hAnsi="Times New Roman" w:cs="Times New Roman"/>
          <w:i/>
          <w:color w:val="auto"/>
          <w:sz w:val="20"/>
          <w:szCs w:val="20"/>
        </w:rPr>
        <w:t xml:space="preserve">, Emeria </w:t>
      </w:r>
      <w:r w:rsidR="00C014C1" w:rsidRPr="00DC52EE">
        <w:rPr>
          <w:rFonts w:ascii="Times New Roman" w:hAnsi="Times New Roman" w:cs="Times New Roman"/>
          <w:color w:val="auto"/>
          <w:sz w:val="20"/>
          <w:szCs w:val="20"/>
        </w:rPr>
        <w:t>and</w:t>
      </w:r>
      <w:r w:rsidR="00C014C1" w:rsidRPr="00DC52EE">
        <w:rPr>
          <w:rFonts w:ascii="Times New Roman" w:hAnsi="Times New Roman" w:cs="Times New Roman"/>
          <w:i/>
          <w:color w:val="auto"/>
          <w:sz w:val="20"/>
          <w:szCs w:val="20"/>
        </w:rPr>
        <w:t xml:space="preserve"> Fasciola </w:t>
      </w:r>
      <w:r w:rsidR="00C014C1" w:rsidRPr="00DC52EE">
        <w:rPr>
          <w:rFonts w:ascii="Times New Roman" w:hAnsi="Times New Roman" w:cs="Times New Roman"/>
          <w:color w:val="auto"/>
          <w:sz w:val="20"/>
          <w:szCs w:val="20"/>
        </w:rPr>
        <w:t>(9.5%)</w:t>
      </w:r>
      <w:r w:rsidR="00C014C1" w:rsidRPr="00DC52EE">
        <w:rPr>
          <w:rFonts w:ascii="Times New Roman" w:hAnsi="Times New Roman" w:cs="Times New Roman"/>
          <w:i/>
          <w:color w:val="auto"/>
          <w:sz w:val="20"/>
          <w:szCs w:val="20"/>
        </w:rPr>
        <w:t xml:space="preserve">, monezia </w:t>
      </w:r>
      <w:r w:rsidR="00C014C1" w:rsidRPr="00DC52EE">
        <w:rPr>
          <w:rFonts w:ascii="Times New Roman" w:hAnsi="Times New Roman" w:cs="Times New Roman"/>
          <w:color w:val="auto"/>
          <w:sz w:val="20"/>
          <w:szCs w:val="20"/>
        </w:rPr>
        <w:t>(8%),</w:t>
      </w:r>
      <w:r w:rsidR="00C014C1" w:rsidRPr="00DC52EE">
        <w:rPr>
          <w:rFonts w:ascii="Times New Roman" w:hAnsi="Times New Roman" w:cs="Times New Roman"/>
          <w:bCs/>
          <w:i/>
          <w:color w:val="auto"/>
          <w:sz w:val="20"/>
          <w:szCs w:val="20"/>
        </w:rPr>
        <w:t xml:space="preserve"> Trichuris </w:t>
      </w:r>
      <w:r w:rsidR="00C014C1" w:rsidRPr="00DC52EE">
        <w:rPr>
          <w:rFonts w:ascii="Times New Roman" w:hAnsi="Times New Roman" w:cs="Times New Roman"/>
          <w:bCs/>
          <w:color w:val="auto"/>
          <w:sz w:val="20"/>
          <w:szCs w:val="20"/>
        </w:rPr>
        <w:t xml:space="preserve">and </w:t>
      </w:r>
      <w:r w:rsidR="00C014C1" w:rsidRPr="00DC52EE">
        <w:rPr>
          <w:rFonts w:ascii="Times New Roman" w:hAnsi="Times New Roman" w:cs="Times New Roman"/>
          <w:bCs/>
          <w:i/>
          <w:color w:val="auto"/>
          <w:sz w:val="20"/>
          <w:szCs w:val="20"/>
        </w:rPr>
        <w:t xml:space="preserve">Chabertia </w:t>
      </w:r>
      <w:r w:rsidR="00C014C1" w:rsidRPr="00DC52EE">
        <w:rPr>
          <w:rFonts w:ascii="Times New Roman" w:hAnsi="Times New Roman" w:cs="Times New Roman"/>
          <w:bCs/>
          <w:color w:val="auto"/>
          <w:sz w:val="20"/>
          <w:szCs w:val="20"/>
        </w:rPr>
        <w:t>(6.1</w:t>
      </w:r>
      <w:r w:rsidR="00C014C1" w:rsidRPr="00DC52EE">
        <w:rPr>
          <w:rFonts w:ascii="Times New Roman" w:hAnsi="Times New Roman" w:cs="Times New Roman"/>
          <w:color w:val="auto"/>
          <w:sz w:val="20"/>
          <w:szCs w:val="20"/>
        </w:rPr>
        <w:t>%),</w:t>
      </w:r>
      <w:r w:rsidR="00C014C1" w:rsidRPr="00DC52EE">
        <w:rPr>
          <w:rFonts w:ascii="Times New Roman" w:hAnsi="Times New Roman" w:cs="Times New Roman"/>
          <w:bCs/>
          <w:i/>
          <w:color w:val="auto"/>
          <w:sz w:val="20"/>
          <w:szCs w:val="20"/>
        </w:rPr>
        <w:t xml:space="preserve"> </w:t>
      </w:r>
      <w:r w:rsidR="004900F0" w:rsidRPr="00DC52EE">
        <w:rPr>
          <w:rFonts w:ascii="Times New Roman" w:hAnsi="Times New Roman" w:cs="Times New Roman"/>
          <w:bCs/>
          <w:i/>
          <w:color w:val="auto"/>
          <w:sz w:val="20"/>
          <w:szCs w:val="20"/>
        </w:rPr>
        <w:t>Strongloides</w:t>
      </w:r>
      <w:r w:rsidR="00C014C1" w:rsidRPr="00DC52EE">
        <w:rPr>
          <w:rFonts w:ascii="Times New Roman" w:hAnsi="Times New Roman" w:cs="Times New Roman"/>
          <w:bCs/>
          <w:i/>
          <w:color w:val="auto"/>
          <w:sz w:val="20"/>
          <w:szCs w:val="20"/>
        </w:rPr>
        <w:t xml:space="preserve"> </w:t>
      </w:r>
      <w:r w:rsidR="00C014C1" w:rsidRPr="00DC52EE">
        <w:rPr>
          <w:rFonts w:ascii="Times New Roman" w:hAnsi="Times New Roman" w:cs="Times New Roman"/>
          <w:bCs/>
          <w:color w:val="auto"/>
          <w:sz w:val="20"/>
          <w:szCs w:val="20"/>
        </w:rPr>
        <w:t>(5.3%) and</w:t>
      </w:r>
      <w:r w:rsidR="00C014C1" w:rsidRPr="00DC52EE">
        <w:rPr>
          <w:rFonts w:ascii="Times New Roman" w:hAnsi="Times New Roman" w:cs="Times New Roman"/>
          <w:bCs/>
          <w:i/>
          <w:color w:val="auto"/>
          <w:sz w:val="20"/>
          <w:szCs w:val="20"/>
        </w:rPr>
        <w:t xml:space="preserve"> Ostertagia </w:t>
      </w:r>
      <w:r w:rsidR="00C014C1" w:rsidRPr="00DC52EE">
        <w:rPr>
          <w:rFonts w:ascii="Times New Roman" w:hAnsi="Times New Roman" w:cs="Times New Roman"/>
          <w:bCs/>
          <w:color w:val="auto"/>
          <w:sz w:val="20"/>
          <w:szCs w:val="20"/>
        </w:rPr>
        <w:t>(3.8%) species.</w:t>
      </w:r>
      <w:r w:rsidR="00C014C1" w:rsidRPr="00DC52EE">
        <w:rPr>
          <w:rFonts w:ascii="Times New Roman" w:hAnsi="Times New Roman" w:cs="Times New Roman"/>
          <w:color w:val="auto"/>
          <w:sz w:val="20"/>
          <w:szCs w:val="20"/>
        </w:rPr>
        <w:t xml:space="preserve"> As the result indicated, comparatively higher prevalence rate was found in the </w:t>
      </w:r>
      <w:r w:rsidR="00C014C1" w:rsidRPr="00DC52EE">
        <w:rPr>
          <w:rFonts w:ascii="Times New Roman" w:hAnsi="Times New Roman" w:cs="Times New Roman"/>
          <w:i/>
          <w:color w:val="auto"/>
          <w:sz w:val="20"/>
          <w:szCs w:val="20"/>
        </w:rPr>
        <w:t xml:space="preserve">Haemonchus </w:t>
      </w:r>
      <w:r w:rsidR="00C014C1" w:rsidRPr="00DC52EE">
        <w:rPr>
          <w:rFonts w:ascii="Times New Roman" w:hAnsi="Times New Roman" w:cs="Times New Roman"/>
          <w:color w:val="auto"/>
          <w:sz w:val="20"/>
          <w:szCs w:val="20"/>
        </w:rPr>
        <w:t xml:space="preserve">followed by </w:t>
      </w:r>
      <w:r w:rsidR="00C014C1" w:rsidRPr="00DC52EE">
        <w:rPr>
          <w:rFonts w:ascii="Times New Roman" w:hAnsi="Times New Roman" w:cs="Times New Roman"/>
          <w:i/>
          <w:color w:val="auto"/>
          <w:sz w:val="20"/>
          <w:szCs w:val="20"/>
        </w:rPr>
        <w:t xml:space="preserve">Trichostrongylus </w:t>
      </w:r>
      <w:r w:rsidR="00C014C1" w:rsidRPr="00DC52EE">
        <w:rPr>
          <w:rFonts w:ascii="Times New Roman" w:hAnsi="Times New Roman" w:cs="Times New Roman"/>
          <w:color w:val="auto"/>
          <w:sz w:val="20"/>
          <w:szCs w:val="20"/>
        </w:rPr>
        <w:t>and</w:t>
      </w:r>
      <w:r w:rsidR="00C014C1" w:rsidRPr="00DC52EE">
        <w:rPr>
          <w:rFonts w:ascii="Times New Roman" w:hAnsi="Times New Roman" w:cs="Times New Roman"/>
          <w:i/>
          <w:color w:val="auto"/>
          <w:sz w:val="20"/>
          <w:szCs w:val="20"/>
        </w:rPr>
        <w:t xml:space="preserve"> </w:t>
      </w:r>
      <w:r w:rsidR="004900F0" w:rsidRPr="00DC52EE">
        <w:rPr>
          <w:rFonts w:ascii="Times New Roman" w:hAnsi="Times New Roman" w:cs="Times New Roman"/>
          <w:i/>
          <w:color w:val="auto"/>
          <w:sz w:val="20"/>
          <w:szCs w:val="20"/>
        </w:rPr>
        <w:t>Paramphistomum</w:t>
      </w:r>
      <w:r w:rsidR="00C014C1" w:rsidRPr="00DC52EE">
        <w:rPr>
          <w:rFonts w:ascii="Times New Roman" w:hAnsi="Times New Roman" w:cs="Times New Roman"/>
          <w:color w:val="auto"/>
          <w:sz w:val="20"/>
          <w:szCs w:val="20"/>
        </w:rPr>
        <w:t xml:space="preserve"> species. </w:t>
      </w:r>
      <w:r w:rsidR="00C014C1" w:rsidRPr="00DC52EE">
        <w:rPr>
          <w:rFonts w:ascii="Times New Roman" w:hAnsi="Times New Roman" w:cs="Times New Roman"/>
          <w:bCs/>
          <w:color w:val="auto"/>
          <w:sz w:val="20"/>
          <w:szCs w:val="20"/>
        </w:rPr>
        <w:t>The lowest prevalent parasite identified in this study area was</w:t>
      </w:r>
      <w:r w:rsidR="00C014C1" w:rsidRPr="00DC52EE">
        <w:rPr>
          <w:rFonts w:ascii="Times New Roman" w:hAnsi="Times New Roman" w:cs="Times New Roman"/>
          <w:bCs/>
          <w:i/>
          <w:color w:val="auto"/>
          <w:sz w:val="20"/>
          <w:szCs w:val="20"/>
        </w:rPr>
        <w:t xml:space="preserve"> Ostertagia </w:t>
      </w:r>
      <w:r w:rsidR="00C014C1" w:rsidRPr="00DC52EE">
        <w:rPr>
          <w:rFonts w:ascii="Times New Roman" w:hAnsi="Times New Roman" w:cs="Times New Roman"/>
          <w:bCs/>
          <w:color w:val="auto"/>
          <w:sz w:val="20"/>
          <w:szCs w:val="20"/>
        </w:rPr>
        <w:t>(3.8%) species</w:t>
      </w:r>
      <w:r w:rsidR="00C014C1" w:rsidRPr="00DC52EE">
        <w:rPr>
          <w:rFonts w:ascii="Times New Roman" w:hAnsi="Times New Roman" w:cs="Times New Roman"/>
          <w:color w:val="auto"/>
          <w:sz w:val="20"/>
          <w:szCs w:val="20"/>
        </w:rPr>
        <w:t xml:space="preserve">. </w:t>
      </w:r>
    </w:p>
    <w:p w:rsidR="00BB7760" w:rsidRPr="00DC52EE" w:rsidRDefault="00903A07" w:rsidP="00BB7760">
      <w:pPr>
        <w:pStyle w:val="Default"/>
        <w:snapToGrid w:val="0"/>
        <w:ind w:firstLine="425"/>
        <w:jc w:val="both"/>
        <w:rPr>
          <w:rFonts w:ascii="Times New Roman" w:hAnsi="Times New Roman" w:cs="Times New Roman"/>
          <w:color w:val="auto"/>
          <w:sz w:val="20"/>
          <w:szCs w:val="20"/>
        </w:rPr>
      </w:pPr>
      <w:r w:rsidRPr="00DC52EE">
        <w:rPr>
          <w:rFonts w:ascii="Times New Roman" w:hAnsi="Times New Roman" w:cs="Times New Roman"/>
          <w:sz w:val="20"/>
          <w:szCs w:val="20"/>
        </w:rPr>
        <w:t xml:space="preserve"> </w:t>
      </w:r>
      <w:r w:rsidR="00C014C1" w:rsidRPr="00DC52EE">
        <w:rPr>
          <w:rFonts w:ascii="Times New Roman" w:hAnsi="Times New Roman" w:cs="Times New Roman"/>
          <w:sz w:val="20"/>
          <w:szCs w:val="20"/>
        </w:rPr>
        <w:t xml:space="preserve">The prevalence of </w:t>
      </w:r>
      <w:r w:rsidR="00C014C1" w:rsidRPr="00DC52EE">
        <w:rPr>
          <w:rFonts w:ascii="Times New Roman" w:hAnsi="Times New Roman" w:cs="Times New Roman"/>
          <w:i/>
          <w:iCs/>
          <w:sz w:val="20"/>
          <w:szCs w:val="20"/>
        </w:rPr>
        <w:t xml:space="preserve">Strongloides </w:t>
      </w:r>
      <w:r w:rsidR="00C014C1" w:rsidRPr="00DC52EE">
        <w:rPr>
          <w:rFonts w:ascii="Times New Roman" w:hAnsi="Times New Roman" w:cs="Times New Roman"/>
          <w:sz w:val="20"/>
          <w:szCs w:val="20"/>
        </w:rPr>
        <w:t xml:space="preserve">species in the present study was 5.3 % which in accordance with the report from Debre Zeit by Tigist (2008) and Bedelle by Tefera </w:t>
      </w:r>
      <w:r w:rsidR="00C014C1" w:rsidRPr="00DC52EE">
        <w:rPr>
          <w:rFonts w:ascii="Times New Roman" w:hAnsi="Times New Roman" w:cs="Times New Roman"/>
          <w:i/>
          <w:iCs/>
          <w:sz w:val="20"/>
          <w:szCs w:val="20"/>
        </w:rPr>
        <w:t>et al</w:t>
      </w:r>
      <w:r w:rsidR="00C014C1" w:rsidRPr="00DC52EE">
        <w:rPr>
          <w:rFonts w:ascii="Times New Roman" w:hAnsi="Times New Roman" w:cs="Times New Roman"/>
          <w:sz w:val="20"/>
          <w:szCs w:val="20"/>
        </w:rPr>
        <w:t>.</w:t>
      </w:r>
      <w:r w:rsidR="0063745A"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(2011) who reported the prevalence of </w:t>
      </w:r>
      <w:r w:rsidR="00C014C1" w:rsidRPr="00DC52EE">
        <w:rPr>
          <w:rFonts w:ascii="Times New Roman" w:hAnsi="Times New Roman" w:cs="Times New Roman"/>
          <w:i/>
          <w:iCs/>
          <w:sz w:val="20"/>
          <w:szCs w:val="20"/>
        </w:rPr>
        <w:t xml:space="preserve">Strongloides </w:t>
      </w:r>
      <w:r w:rsidR="00C014C1" w:rsidRPr="00DC52EE">
        <w:rPr>
          <w:rFonts w:ascii="Times New Roman" w:hAnsi="Times New Roman" w:cs="Times New Roman"/>
          <w:sz w:val="20"/>
          <w:szCs w:val="20"/>
        </w:rPr>
        <w:t xml:space="preserve">species as 8.2% and 13.04%, respectively. This finding was lower as compared to 45.22% from Eastern part of Ethiopia by Abebe and Eseyas (2001). Similarly, The prevalence of </w:t>
      </w:r>
      <w:r w:rsidR="00C014C1" w:rsidRPr="00DC52EE">
        <w:rPr>
          <w:rFonts w:ascii="Times New Roman" w:hAnsi="Times New Roman" w:cs="Times New Roman"/>
          <w:i/>
          <w:iCs/>
          <w:sz w:val="20"/>
          <w:szCs w:val="20"/>
        </w:rPr>
        <w:t xml:space="preserve">Trichuris </w:t>
      </w:r>
      <w:r w:rsidR="00C014C1" w:rsidRPr="00DC52EE">
        <w:rPr>
          <w:rFonts w:ascii="Times New Roman" w:hAnsi="Times New Roman" w:cs="Times New Roman"/>
          <w:sz w:val="20"/>
          <w:szCs w:val="20"/>
        </w:rPr>
        <w:t xml:space="preserve">species was 6.5% and this finding was agree with work of Bersissa </w:t>
      </w:r>
      <w:r w:rsidR="00C014C1" w:rsidRPr="00DC52EE">
        <w:rPr>
          <w:rFonts w:ascii="Times New Roman" w:hAnsi="Times New Roman" w:cs="Times New Roman"/>
          <w:i/>
          <w:iCs/>
          <w:sz w:val="20"/>
          <w:szCs w:val="20"/>
        </w:rPr>
        <w:t>et al</w:t>
      </w:r>
      <w:r w:rsidR="0063745A" w:rsidRPr="00DC52EE">
        <w:rPr>
          <w:rFonts w:ascii="Times New Roman" w:hAnsi="Times New Roman" w:cs="Times New Roman"/>
          <w:sz w:val="20"/>
          <w:szCs w:val="20"/>
        </w:rPr>
        <w:t xml:space="preserve">., </w:t>
      </w:r>
      <w:r w:rsidR="00C014C1" w:rsidRPr="00DC52EE">
        <w:rPr>
          <w:rFonts w:ascii="Times New Roman" w:hAnsi="Times New Roman" w:cs="Times New Roman"/>
          <w:sz w:val="20"/>
          <w:szCs w:val="20"/>
        </w:rPr>
        <w:t xml:space="preserve">(2011), Tigist (2008), Temesgen (2008) and Ragassa </w:t>
      </w:r>
      <w:r w:rsidR="0063745A" w:rsidRPr="00DC52EE">
        <w:rPr>
          <w:rFonts w:ascii="Times New Roman" w:hAnsi="Times New Roman" w:cs="Times New Roman"/>
          <w:i/>
          <w:sz w:val="20"/>
          <w:szCs w:val="20"/>
        </w:rPr>
        <w:t>et al.,</w:t>
      </w:r>
      <w:r w:rsidR="00C014C1" w:rsidRPr="00DC52EE">
        <w:rPr>
          <w:rFonts w:ascii="Times New Roman" w:hAnsi="Times New Roman" w:cs="Times New Roman"/>
          <w:i/>
          <w:sz w:val="20"/>
          <w:szCs w:val="20"/>
        </w:rPr>
        <w:t xml:space="preserve"> </w:t>
      </w:r>
      <w:r w:rsidR="00C014C1" w:rsidRPr="00DC52EE">
        <w:rPr>
          <w:rFonts w:ascii="Times New Roman" w:hAnsi="Times New Roman" w:cs="Times New Roman"/>
          <w:sz w:val="20"/>
          <w:szCs w:val="20"/>
        </w:rPr>
        <w:t>(2006) with prevalence of 7.9%, 5%, 3.3%, and 4.5%, respectively. The present finding however was lower as compared to 30.25% from Eastern part of Ethiopia Abebe and Eseyas (2001). This variation in prevalence might be attributed to difference in agro ecology and management practice of the study area.</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T</w:t>
      </w:r>
      <w:r w:rsidR="00C014C1" w:rsidRPr="00DC52EE">
        <w:rPr>
          <w:sz w:val="20"/>
          <w:szCs w:val="20"/>
        </w:rPr>
        <w:t xml:space="preserve">he prevalence of coccidian parasites was </w:t>
      </w:r>
      <w:r w:rsidR="00C014C1" w:rsidRPr="00DC52EE">
        <w:rPr>
          <w:bCs/>
          <w:sz w:val="20"/>
          <w:szCs w:val="20"/>
        </w:rPr>
        <w:t>9.5 %</w:t>
      </w:r>
      <w:r w:rsidR="00C014C1" w:rsidRPr="00DC52EE">
        <w:rPr>
          <w:sz w:val="20"/>
          <w:szCs w:val="20"/>
        </w:rPr>
        <w:t xml:space="preserve"> which is in line with</w:t>
      </w:r>
      <w:r w:rsidR="00C014C1" w:rsidRPr="00DC52EE">
        <w:rPr>
          <w:iCs/>
          <w:sz w:val="20"/>
          <w:szCs w:val="20"/>
        </w:rPr>
        <w:t xml:space="preserve"> in and around Jimma </w:t>
      </w:r>
      <w:r w:rsidR="00C014C1" w:rsidRPr="00DC52EE">
        <w:rPr>
          <w:sz w:val="20"/>
          <w:szCs w:val="20"/>
        </w:rPr>
        <w:t xml:space="preserve">town by </w:t>
      </w:r>
      <w:r w:rsidR="00C014C1" w:rsidRPr="00DC52EE">
        <w:rPr>
          <w:iCs/>
          <w:sz w:val="20"/>
          <w:szCs w:val="20"/>
        </w:rPr>
        <w:t xml:space="preserve">Nuraddis </w:t>
      </w:r>
      <w:r w:rsidR="00C014C1" w:rsidRPr="00DC52EE">
        <w:rPr>
          <w:i/>
          <w:iCs/>
          <w:sz w:val="20"/>
          <w:szCs w:val="20"/>
        </w:rPr>
        <w:t>et al</w:t>
      </w:r>
      <w:r w:rsidR="00C014C1" w:rsidRPr="00DC52EE">
        <w:rPr>
          <w:iCs/>
          <w:sz w:val="20"/>
          <w:szCs w:val="20"/>
        </w:rPr>
        <w:t>.</w:t>
      </w:r>
      <w:r w:rsidR="0063745A" w:rsidRPr="00DC52EE">
        <w:rPr>
          <w:iCs/>
          <w:sz w:val="20"/>
          <w:szCs w:val="20"/>
        </w:rPr>
        <w:t>,</w:t>
      </w:r>
      <w:r w:rsidR="00C014C1" w:rsidRPr="00DC52EE">
        <w:rPr>
          <w:iCs/>
          <w:sz w:val="20"/>
          <w:szCs w:val="20"/>
        </w:rPr>
        <w:t xml:space="preserve"> (2014) </w:t>
      </w:r>
      <w:r w:rsidR="00C014C1" w:rsidRPr="00DC52EE">
        <w:rPr>
          <w:sz w:val="20"/>
          <w:szCs w:val="20"/>
        </w:rPr>
        <w:t xml:space="preserve">with prevalence of 11.7%. The present study was lower than report from Kenya by Kanyari </w:t>
      </w:r>
      <w:r w:rsidR="0063745A" w:rsidRPr="00DC52EE">
        <w:rPr>
          <w:i/>
          <w:iCs/>
          <w:sz w:val="20"/>
          <w:szCs w:val="20"/>
        </w:rPr>
        <w:t>et al.,</w:t>
      </w:r>
      <w:r w:rsidR="00D50895" w:rsidRPr="00DC52EE">
        <w:rPr>
          <w:i/>
          <w:iCs/>
          <w:sz w:val="20"/>
          <w:szCs w:val="20"/>
        </w:rPr>
        <w:t xml:space="preserve"> </w:t>
      </w:r>
      <w:r w:rsidR="00C014C1" w:rsidRPr="00DC52EE">
        <w:rPr>
          <w:iCs/>
          <w:sz w:val="20"/>
          <w:szCs w:val="20"/>
        </w:rPr>
        <w:t>(</w:t>
      </w:r>
      <w:r w:rsidR="00C014C1" w:rsidRPr="00DC52EE">
        <w:rPr>
          <w:sz w:val="20"/>
          <w:szCs w:val="20"/>
        </w:rPr>
        <w:t>2009) with prevalence of 35%. This variation in prevalence might be due to management practice and agro ecological variation.</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T</w:t>
      </w:r>
      <w:r w:rsidR="00C014C1" w:rsidRPr="00DC52EE">
        <w:rPr>
          <w:sz w:val="20"/>
          <w:szCs w:val="20"/>
        </w:rPr>
        <w:t xml:space="preserve">he only </w:t>
      </w:r>
      <w:r w:rsidR="00C014C1" w:rsidRPr="00DC52EE">
        <w:rPr>
          <w:i/>
          <w:sz w:val="20"/>
          <w:szCs w:val="20"/>
        </w:rPr>
        <w:t>cestode</w:t>
      </w:r>
      <w:r w:rsidR="00C014C1" w:rsidRPr="00DC52EE">
        <w:rPr>
          <w:sz w:val="20"/>
          <w:szCs w:val="20"/>
        </w:rPr>
        <w:t xml:space="preserve"> observed was </w:t>
      </w:r>
      <w:r w:rsidR="00C014C1" w:rsidRPr="00DC52EE">
        <w:rPr>
          <w:i/>
          <w:iCs/>
          <w:sz w:val="20"/>
          <w:szCs w:val="20"/>
        </w:rPr>
        <w:t xml:space="preserve">Moniezia </w:t>
      </w:r>
      <w:r w:rsidR="00C014C1" w:rsidRPr="00DC52EE">
        <w:rPr>
          <w:sz w:val="20"/>
          <w:szCs w:val="20"/>
        </w:rPr>
        <w:t xml:space="preserve">species, with prevalence of 8.1%, which is in close accordance with report </w:t>
      </w:r>
      <w:r w:rsidR="00C014C1" w:rsidRPr="00DC52EE">
        <w:rPr>
          <w:iCs/>
          <w:sz w:val="20"/>
          <w:szCs w:val="20"/>
        </w:rPr>
        <w:t>from in and around Jimma town</w:t>
      </w:r>
      <w:r w:rsidR="00C014C1" w:rsidRPr="00DC52EE">
        <w:rPr>
          <w:sz w:val="20"/>
          <w:szCs w:val="20"/>
        </w:rPr>
        <w:t xml:space="preserve"> by </w:t>
      </w:r>
      <w:r w:rsidR="00C014C1" w:rsidRPr="00DC52EE">
        <w:rPr>
          <w:iCs/>
          <w:sz w:val="20"/>
          <w:szCs w:val="20"/>
        </w:rPr>
        <w:t xml:space="preserve">Nuraddis </w:t>
      </w:r>
      <w:r w:rsidR="001049DB" w:rsidRPr="00DC52EE">
        <w:rPr>
          <w:i/>
          <w:iCs/>
          <w:sz w:val="20"/>
          <w:szCs w:val="20"/>
        </w:rPr>
        <w:t xml:space="preserve">et </w:t>
      </w:r>
      <w:r w:rsidR="00C014C1" w:rsidRPr="00DC52EE">
        <w:rPr>
          <w:i/>
          <w:iCs/>
          <w:sz w:val="20"/>
          <w:szCs w:val="20"/>
        </w:rPr>
        <w:t>al</w:t>
      </w:r>
      <w:r w:rsidR="00C014C1" w:rsidRPr="00DC52EE">
        <w:rPr>
          <w:iCs/>
          <w:sz w:val="20"/>
          <w:szCs w:val="20"/>
        </w:rPr>
        <w:t>.</w:t>
      </w:r>
      <w:r w:rsidR="001049DB" w:rsidRPr="00DC52EE">
        <w:rPr>
          <w:iCs/>
          <w:sz w:val="20"/>
          <w:szCs w:val="20"/>
        </w:rPr>
        <w:t>,</w:t>
      </w:r>
      <w:r w:rsidR="00C014C1" w:rsidRPr="00DC52EE">
        <w:rPr>
          <w:iCs/>
          <w:sz w:val="20"/>
          <w:szCs w:val="20"/>
        </w:rPr>
        <w:t xml:space="preserve"> (2014) </w:t>
      </w:r>
      <w:r w:rsidR="00C014C1" w:rsidRPr="00DC52EE">
        <w:rPr>
          <w:sz w:val="20"/>
          <w:szCs w:val="20"/>
        </w:rPr>
        <w:t xml:space="preserve">with prevalence of 13.1%. The present finding is lower than report from eastern part of Ethiopia by Sissay </w:t>
      </w:r>
      <w:r w:rsidR="00C014C1" w:rsidRPr="00DC52EE">
        <w:rPr>
          <w:i/>
          <w:iCs/>
          <w:sz w:val="20"/>
          <w:szCs w:val="20"/>
        </w:rPr>
        <w:t>et al</w:t>
      </w:r>
      <w:r w:rsidR="00C014C1" w:rsidRPr="00DC52EE">
        <w:rPr>
          <w:iCs/>
          <w:sz w:val="20"/>
          <w:szCs w:val="20"/>
        </w:rPr>
        <w:t>.</w:t>
      </w:r>
      <w:r w:rsidR="00D57C08" w:rsidRPr="00DC52EE">
        <w:rPr>
          <w:iCs/>
          <w:sz w:val="20"/>
          <w:szCs w:val="20"/>
        </w:rPr>
        <w:t>,</w:t>
      </w:r>
      <w:r w:rsidR="00C014C1" w:rsidRPr="00DC52EE">
        <w:rPr>
          <w:iCs/>
          <w:sz w:val="20"/>
          <w:szCs w:val="20"/>
        </w:rPr>
        <w:t xml:space="preserve"> (2008) </w:t>
      </w:r>
      <w:r w:rsidR="00C014C1" w:rsidRPr="00DC52EE">
        <w:rPr>
          <w:sz w:val="20"/>
          <w:szCs w:val="20"/>
        </w:rPr>
        <w:t xml:space="preserve">with prevalence of 61%. The difference of the prevalence may be due to that the area was previously occupied by pastoralist and animals were very congested, which increase the transmission of the parasite. </w:t>
      </w:r>
    </w:p>
    <w:p w:rsidR="00BB7760"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T</w:t>
      </w:r>
      <w:r w:rsidR="00C014C1" w:rsidRPr="00DC52EE">
        <w:rPr>
          <w:sz w:val="20"/>
          <w:szCs w:val="20"/>
        </w:rPr>
        <w:t xml:space="preserve">he present finding of </w:t>
      </w:r>
      <w:r w:rsidR="00C014C1" w:rsidRPr="00DC52EE">
        <w:rPr>
          <w:i/>
          <w:iCs/>
          <w:sz w:val="20"/>
          <w:szCs w:val="20"/>
        </w:rPr>
        <w:t xml:space="preserve">Fasciola </w:t>
      </w:r>
      <w:r w:rsidR="00C014C1" w:rsidRPr="00DC52EE">
        <w:rPr>
          <w:sz w:val="20"/>
          <w:szCs w:val="20"/>
        </w:rPr>
        <w:t xml:space="preserve">and </w:t>
      </w:r>
      <w:r w:rsidR="00C014C1" w:rsidRPr="00DC52EE">
        <w:rPr>
          <w:i/>
          <w:iCs/>
          <w:sz w:val="20"/>
          <w:szCs w:val="20"/>
        </w:rPr>
        <w:t xml:space="preserve">Paramphistomum </w:t>
      </w:r>
      <w:r w:rsidR="00C014C1" w:rsidRPr="00DC52EE">
        <w:rPr>
          <w:sz w:val="20"/>
          <w:szCs w:val="20"/>
        </w:rPr>
        <w:t xml:space="preserve">species was 9 % and 11.9%, respectively. This finding was lower than report by </w:t>
      </w:r>
      <w:r w:rsidR="00C014C1" w:rsidRPr="00DC52EE">
        <w:rPr>
          <w:iCs/>
          <w:sz w:val="20"/>
          <w:szCs w:val="20"/>
        </w:rPr>
        <w:t>Nuraddis</w:t>
      </w:r>
      <w:r w:rsidR="00C014C1" w:rsidRPr="00DC52EE">
        <w:rPr>
          <w:i/>
          <w:iCs/>
          <w:sz w:val="20"/>
          <w:szCs w:val="20"/>
        </w:rPr>
        <w:t xml:space="preserve"> et al.</w:t>
      </w:r>
      <w:r w:rsidR="00D57C08" w:rsidRPr="00DC52EE">
        <w:rPr>
          <w:i/>
          <w:iCs/>
          <w:sz w:val="20"/>
          <w:szCs w:val="20"/>
        </w:rPr>
        <w:t>,</w:t>
      </w:r>
      <w:r w:rsidR="00C014C1" w:rsidRPr="00DC52EE">
        <w:rPr>
          <w:iCs/>
          <w:sz w:val="20"/>
          <w:szCs w:val="20"/>
        </w:rPr>
        <w:t xml:space="preserve"> (2014), and Kanyari </w:t>
      </w:r>
      <w:r w:rsidR="00C014C1" w:rsidRPr="00DC52EE">
        <w:rPr>
          <w:i/>
          <w:iCs/>
          <w:sz w:val="20"/>
          <w:szCs w:val="20"/>
        </w:rPr>
        <w:t>et al</w:t>
      </w:r>
      <w:r w:rsidR="00C014C1" w:rsidRPr="00DC52EE">
        <w:rPr>
          <w:iCs/>
          <w:sz w:val="20"/>
          <w:szCs w:val="20"/>
        </w:rPr>
        <w:t xml:space="preserve">., (2009) describing </w:t>
      </w:r>
      <w:r w:rsidR="00C014C1" w:rsidRPr="00DC52EE">
        <w:rPr>
          <w:sz w:val="20"/>
          <w:szCs w:val="20"/>
        </w:rPr>
        <w:t xml:space="preserve">the prevalence of </w:t>
      </w:r>
      <w:r w:rsidR="00C014C1" w:rsidRPr="00DC52EE">
        <w:rPr>
          <w:i/>
          <w:iCs/>
          <w:sz w:val="20"/>
          <w:szCs w:val="20"/>
        </w:rPr>
        <w:t xml:space="preserve">Paramphistomum </w:t>
      </w:r>
      <w:r w:rsidR="00C014C1" w:rsidRPr="00DC52EE">
        <w:rPr>
          <w:sz w:val="20"/>
          <w:szCs w:val="20"/>
        </w:rPr>
        <w:t xml:space="preserve">and </w:t>
      </w:r>
      <w:r w:rsidR="00C014C1" w:rsidRPr="00DC52EE">
        <w:rPr>
          <w:i/>
          <w:iCs/>
          <w:sz w:val="20"/>
          <w:szCs w:val="20"/>
        </w:rPr>
        <w:t xml:space="preserve">Fasciola </w:t>
      </w:r>
      <w:r w:rsidR="00C014C1" w:rsidRPr="00DC52EE">
        <w:rPr>
          <w:sz w:val="20"/>
          <w:szCs w:val="20"/>
        </w:rPr>
        <w:t>species as 22.4% and 19.6%</w:t>
      </w:r>
      <w:r w:rsidRPr="00DC52EE">
        <w:rPr>
          <w:sz w:val="20"/>
          <w:szCs w:val="20"/>
        </w:rPr>
        <w:t xml:space="preserve"> </w:t>
      </w:r>
      <w:r w:rsidR="00C014C1" w:rsidRPr="00DC52EE">
        <w:rPr>
          <w:sz w:val="20"/>
          <w:szCs w:val="20"/>
        </w:rPr>
        <w:t xml:space="preserve">and 37%, 30% respectively. The result of above finding may be correlated with availability of ample intermediate hosts for perpetuation of the parasite life cycle. </w:t>
      </w:r>
    </w:p>
    <w:p w:rsidR="00BB7760" w:rsidRPr="00DC52EE" w:rsidRDefault="00903A07" w:rsidP="00BB7760">
      <w:pPr>
        <w:pStyle w:val="Default"/>
        <w:snapToGrid w:val="0"/>
        <w:ind w:firstLine="425"/>
        <w:jc w:val="both"/>
        <w:rPr>
          <w:rFonts w:ascii="Times New Roman" w:hAnsi="Times New Roman" w:cs="Times New Roman"/>
          <w:sz w:val="20"/>
          <w:szCs w:val="20"/>
        </w:rPr>
      </w:pPr>
      <w:r w:rsidRPr="00DC52EE">
        <w:rPr>
          <w:rFonts w:ascii="Times New Roman" w:hAnsi="Times New Roman" w:cs="Times New Roman"/>
          <w:sz w:val="20"/>
          <w:szCs w:val="20"/>
        </w:rPr>
        <w:lastRenderedPageBreak/>
        <w:t>A</w:t>
      </w:r>
      <w:r w:rsidR="00C014C1" w:rsidRPr="00DC52EE">
        <w:rPr>
          <w:rFonts w:ascii="Times New Roman" w:hAnsi="Times New Roman" w:cs="Times New Roman"/>
          <w:sz w:val="20"/>
          <w:szCs w:val="20"/>
        </w:rPr>
        <w:t>mong the different parasites identified from the faeces of sheep and goat, the prevalence of Nematodes</w:t>
      </w:r>
      <w:r w:rsidR="00C014C1" w:rsidRPr="00DC52EE">
        <w:rPr>
          <w:rFonts w:ascii="Times New Roman" w:hAnsi="Times New Roman" w:cs="Times New Roman"/>
          <w:i/>
          <w:sz w:val="20"/>
          <w:szCs w:val="20"/>
        </w:rPr>
        <w:t xml:space="preserve"> </w:t>
      </w:r>
      <w:r w:rsidR="00C014C1" w:rsidRPr="00DC52EE">
        <w:rPr>
          <w:rFonts w:ascii="Times New Roman" w:hAnsi="Times New Roman" w:cs="Times New Roman"/>
          <w:sz w:val="20"/>
          <w:szCs w:val="20"/>
        </w:rPr>
        <w:t xml:space="preserve">species accounted for 41.2 % followed by </w:t>
      </w:r>
      <w:r w:rsidR="00C014C1" w:rsidRPr="00DC52EE">
        <w:rPr>
          <w:rFonts w:ascii="Times New Roman" w:hAnsi="Times New Roman" w:cs="Times New Roman"/>
          <w:i/>
          <w:sz w:val="20"/>
          <w:szCs w:val="20"/>
        </w:rPr>
        <w:t>Paramphistomum</w:t>
      </w:r>
      <w:r w:rsidR="00C014C1" w:rsidRPr="00DC52EE">
        <w:rPr>
          <w:rFonts w:ascii="Times New Roman" w:hAnsi="Times New Roman" w:cs="Times New Roman"/>
          <w:sz w:val="20"/>
          <w:szCs w:val="20"/>
        </w:rPr>
        <w:t xml:space="preserve"> species (8.1%), </w:t>
      </w:r>
      <w:r w:rsidR="00C014C1" w:rsidRPr="00DC52EE">
        <w:rPr>
          <w:rFonts w:ascii="Times New Roman" w:hAnsi="Times New Roman" w:cs="Times New Roman"/>
          <w:i/>
          <w:sz w:val="20"/>
          <w:szCs w:val="20"/>
        </w:rPr>
        <w:t xml:space="preserve">Fasciola </w:t>
      </w:r>
      <w:r w:rsidR="00C014C1" w:rsidRPr="00DC52EE">
        <w:rPr>
          <w:rFonts w:ascii="Times New Roman" w:hAnsi="Times New Roman" w:cs="Times New Roman"/>
          <w:sz w:val="20"/>
          <w:szCs w:val="20"/>
        </w:rPr>
        <w:t xml:space="preserve">and </w:t>
      </w:r>
      <w:r w:rsidR="00C014C1" w:rsidRPr="00DC52EE">
        <w:rPr>
          <w:rFonts w:ascii="Times New Roman" w:hAnsi="Times New Roman" w:cs="Times New Roman"/>
          <w:i/>
          <w:sz w:val="20"/>
          <w:szCs w:val="20"/>
        </w:rPr>
        <w:t>Emeria</w:t>
      </w:r>
      <w:r w:rsidR="00C014C1" w:rsidRPr="00DC52EE">
        <w:rPr>
          <w:rFonts w:ascii="Times New Roman" w:hAnsi="Times New Roman" w:cs="Times New Roman"/>
          <w:sz w:val="20"/>
          <w:szCs w:val="20"/>
        </w:rPr>
        <w:t xml:space="preserve"> species (6.5%), </w:t>
      </w:r>
      <w:r w:rsidR="00621E65" w:rsidRPr="00DC52EE">
        <w:rPr>
          <w:rFonts w:ascii="Times New Roman" w:hAnsi="Times New Roman" w:cs="Times New Roman"/>
          <w:sz w:val="20"/>
          <w:szCs w:val="20"/>
        </w:rPr>
        <w:t>and</w:t>
      </w:r>
      <w:r w:rsidR="00621E65" w:rsidRPr="00DC52EE">
        <w:rPr>
          <w:rFonts w:ascii="Times New Roman" w:hAnsi="Times New Roman" w:cs="Times New Roman"/>
          <w:i/>
          <w:sz w:val="20"/>
          <w:szCs w:val="20"/>
        </w:rPr>
        <w:t xml:space="preserve"> Monezia</w:t>
      </w:r>
      <w:r w:rsidR="00C014C1" w:rsidRPr="00DC52EE">
        <w:rPr>
          <w:rFonts w:ascii="Times New Roman" w:hAnsi="Times New Roman" w:cs="Times New Roman"/>
          <w:i/>
          <w:sz w:val="20"/>
          <w:szCs w:val="20"/>
        </w:rPr>
        <w:t xml:space="preserve"> </w:t>
      </w:r>
      <w:r w:rsidR="00C014C1" w:rsidRPr="00DC52EE">
        <w:rPr>
          <w:rFonts w:ascii="Times New Roman" w:hAnsi="Times New Roman" w:cs="Times New Roman"/>
          <w:sz w:val="20"/>
          <w:szCs w:val="20"/>
        </w:rPr>
        <w:t>species</w:t>
      </w:r>
      <w:r w:rsidR="00C014C1" w:rsidRPr="00DC52EE">
        <w:rPr>
          <w:rFonts w:ascii="Times New Roman" w:hAnsi="Times New Roman" w:cs="Times New Roman"/>
          <w:i/>
          <w:sz w:val="20"/>
          <w:szCs w:val="20"/>
        </w:rPr>
        <w:t xml:space="preserve"> </w:t>
      </w:r>
      <w:r w:rsidR="00C014C1" w:rsidRPr="00DC52EE">
        <w:rPr>
          <w:rFonts w:ascii="Times New Roman" w:hAnsi="Times New Roman" w:cs="Times New Roman"/>
          <w:sz w:val="20"/>
          <w:szCs w:val="20"/>
        </w:rPr>
        <w:t xml:space="preserve">(5.5%). This finding is in accordance with a number of findings obtained by different researchers in which species of Nematodes were dominant. Fikru, </w:t>
      </w:r>
      <w:r w:rsidR="00C014C1" w:rsidRPr="00DC52EE">
        <w:rPr>
          <w:rFonts w:ascii="Times New Roman" w:hAnsi="Times New Roman" w:cs="Times New Roman"/>
          <w:i/>
          <w:iCs/>
          <w:sz w:val="20"/>
          <w:szCs w:val="20"/>
        </w:rPr>
        <w:t>et al</w:t>
      </w:r>
      <w:r w:rsidR="00C014C1" w:rsidRPr="00DC52EE">
        <w:rPr>
          <w:rFonts w:ascii="Times New Roman" w:hAnsi="Times New Roman" w:cs="Times New Roman"/>
          <w:sz w:val="20"/>
          <w:szCs w:val="20"/>
        </w:rPr>
        <w:t>.</w:t>
      </w:r>
      <w:r w:rsidR="00621E65" w:rsidRPr="00DC52EE">
        <w:rPr>
          <w:rFonts w:ascii="Times New Roman" w:hAnsi="Times New Roman" w:cs="Times New Roman"/>
          <w:sz w:val="20"/>
          <w:szCs w:val="20"/>
        </w:rPr>
        <w:t>,</w:t>
      </w:r>
      <w:r w:rsidR="00C014C1" w:rsidRPr="00DC52EE">
        <w:rPr>
          <w:rFonts w:ascii="Times New Roman" w:hAnsi="Times New Roman" w:cs="Times New Roman"/>
          <w:sz w:val="20"/>
          <w:szCs w:val="20"/>
        </w:rPr>
        <w:t xml:space="preserve"> (2006), Bikila </w:t>
      </w:r>
      <w:r w:rsidR="00C014C1" w:rsidRPr="00DC52EE">
        <w:rPr>
          <w:rFonts w:ascii="Times New Roman" w:hAnsi="Times New Roman" w:cs="Times New Roman"/>
          <w:i/>
          <w:sz w:val="20"/>
          <w:szCs w:val="20"/>
        </w:rPr>
        <w:t>et al.</w:t>
      </w:r>
      <w:r w:rsidR="00621E65" w:rsidRPr="00DC52EE">
        <w:rPr>
          <w:rFonts w:ascii="Times New Roman" w:hAnsi="Times New Roman" w:cs="Times New Roman"/>
          <w:i/>
          <w:sz w:val="20"/>
          <w:szCs w:val="20"/>
        </w:rPr>
        <w:t>,</w:t>
      </w:r>
      <w:r w:rsidR="00C014C1" w:rsidRPr="00DC52EE">
        <w:rPr>
          <w:rFonts w:ascii="Times New Roman" w:hAnsi="Times New Roman" w:cs="Times New Roman"/>
          <w:i/>
          <w:iCs/>
          <w:sz w:val="20"/>
          <w:szCs w:val="20"/>
        </w:rPr>
        <w:t xml:space="preserve"> </w:t>
      </w:r>
      <w:r w:rsidR="00C014C1" w:rsidRPr="00DC52EE">
        <w:rPr>
          <w:rFonts w:ascii="Times New Roman" w:hAnsi="Times New Roman" w:cs="Times New Roman"/>
          <w:iCs/>
          <w:sz w:val="20"/>
          <w:szCs w:val="20"/>
        </w:rPr>
        <w:t>(2012</w:t>
      </w:r>
      <w:r w:rsidR="00C014C1" w:rsidRPr="00DC52EE">
        <w:rPr>
          <w:rFonts w:ascii="Times New Roman" w:hAnsi="Times New Roman" w:cs="Times New Roman"/>
          <w:sz w:val="20"/>
          <w:szCs w:val="20"/>
        </w:rPr>
        <w:t xml:space="preserve">), Abebe and Esayas (1999) and Anene (1994) reported a high prevalence rate in Nematodes infection </w:t>
      </w:r>
      <w:r w:rsidR="00621E65" w:rsidRPr="00DC52EE">
        <w:rPr>
          <w:rFonts w:ascii="Times New Roman" w:hAnsi="Times New Roman" w:cs="Times New Roman"/>
          <w:sz w:val="20"/>
          <w:szCs w:val="20"/>
        </w:rPr>
        <w:t>in Western Oromia, Gechi distri</w:t>
      </w:r>
      <w:r w:rsidR="00C014C1" w:rsidRPr="00DC52EE">
        <w:rPr>
          <w:rFonts w:ascii="Times New Roman" w:hAnsi="Times New Roman" w:cs="Times New Roman"/>
          <w:sz w:val="20"/>
          <w:szCs w:val="20"/>
        </w:rPr>
        <w:t xml:space="preserve">ct of south West Ethiopia, </w:t>
      </w:r>
      <w:r w:rsidR="00C014C1" w:rsidRPr="00DC52EE">
        <w:rPr>
          <w:rFonts w:ascii="Times New Roman" w:hAnsi="Times New Roman" w:cs="Times New Roman"/>
          <w:bCs/>
          <w:sz w:val="20"/>
          <w:szCs w:val="20"/>
        </w:rPr>
        <w:t xml:space="preserve">Eastern part of Ethiopia and </w:t>
      </w:r>
      <w:r w:rsidR="00C014C1" w:rsidRPr="00DC52EE">
        <w:rPr>
          <w:rFonts w:ascii="Times New Roman" w:hAnsi="Times New Roman" w:cs="Times New Roman"/>
          <w:sz w:val="20"/>
          <w:szCs w:val="20"/>
        </w:rPr>
        <w:t>South Eastern Nigeria,</w:t>
      </w:r>
      <w:r w:rsidR="00C014C1" w:rsidRPr="00DC52EE">
        <w:rPr>
          <w:rFonts w:ascii="Times New Roman" w:hAnsi="Times New Roman" w:cs="Times New Roman"/>
          <w:bCs/>
          <w:sz w:val="20"/>
          <w:szCs w:val="20"/>
        </w:rPr>
        <w:t xml:space="preserve"> respectively.</w:t>
      </w:r>
    </w:p>
    <w:p w:rsidR="00BB7760" w:rsidRDefault="00903A07" w:rsidP="00BB7760">
      <w:pPr>
        <w:pStyle w:val="Default"/>
        <w:snapToGrid w:val="0"/>
        <w:ind w:firstLine="425"/>
        <w:jc w:val="both"/>
        <w:rPr>
          <w:rFonts w:ascii="Times New Roman" w:hAnsi="Times New Roman" w:cs="Times New Roman"/>
          <w:sz w:val="20"/>
          <w:szCs w:val="20"/>
          <w:lang w:eastAsia="zh-CN"/>
        </w:rPr>
      </w:pPr>
      <w:r w:rsidRPr="00DC52EE">
        <w:rPr>
          <w:rFonts w:ascii="Times New Roman" w:hAnsi="Times New Roman" w:cs="Times New Roman"/>
          <w:sz w:val="20"/>
          <w:szCs w:val="20"/>
        </w:rPr>
        <w:t xml:space="preserve"> </w:t>
      </w:r>
    </w:p>
    <w:p w:rsidR="00286E43" w:rsidRPr="00DC52EE" w:rsidRDefault="00286E43" w:rsidP="00BB7760">
      <w:pPr>
        <w:pStyle w:val="Default"/>
        <w:snapToGrid w:val="0"/>
        <w:ind w:firstLine="425"/>
        <w:jc w:val="both"/>
        <w:rPr>
          <w:rFonts w:ascii="Times New Roman" w:hAnsi="Times New Roman" w:cs="Times New Roman"/>
          <w:sz w:val="20"/>
          <w:szCs w:val="20"/>
          <w:lang w:eastAsia="zh-CN"/>
        </w:rPr>
      </w:pPr>
    </w:p>
    <w:p w:rsidR="00BB7760" w:rsidRPr="00DC52EE" w:rsidRDefault="00461FB5" w:rsidP="00BB7760">
      <w:pPr>
        <w:autoSpaceDE w:val="0"/>
        <w:autoSpaceDN w:val="0"/>
        <w:adjustRightInd w:val="0"/>
        <w:snapToGrid w:val="0"/>
        <w:spacing w:after="0" w:line="240" w:lineRule="auto"/>
        <w:jc w:val="both"/>
        <w:rPr>
          <w:b/>
          <w:bCs/>
          <w:sz w:val="20"/>
          <w:szCs w:val="20"/>
        </w:rPr>
      </w:pPr>
      <w:r w:rsidRPr="00DC52EE">
        <w:rPr>
          <w:b/>
          <w:bCs/>
          <w:sz w:val="20"/>
          <w:szCs w:val="20"/>
        </w:rPr>
        <w:t>5</w:t>
      </w:r>
      <w:r w:rsidR="00A00258" w:rsidRPr="00DC52EE">
        <w:rPr>
          <w:b/>
          <w:bCs/>
          <w:sz w:val="20"/>
          <w:szCs w:val="20"/>
        </w:rPr>
        <w:t>. C</w:t>
      </w:r>
      <w:r w:rsidRPr="00DC52EE">
        <w:rPr>
          <w:b/>
          <w:bCs/>
          <w:sz w:val="20"/>
          <w:szCs w:val="20"/>
        </w:rPr>
        <w:t xml:space="preserve">onclusion </w:t>
      </w:r>
    </w:p>
    <w:p w:rsidR="00CD76C4" w:rsidRPr="00DC52EE" w:rsidRDefault="00903A07" w:rsidP="00BB7760">
      <w:pPr>
        <w:autoSpaceDE w:val="0"/>
        <w:autoSpaceDN w:val="0"/>
        <w:adjustRightInd w:val="0"/>
        <w:snapToGrid w:val="0"/>
        <w:spacing w:after="0" w:line="240" w:lineRule="auto"/>
        <w:ind w:firstLine="425"/>
        <w:jc w:val="both"/>
        <w:rPr>
          <w:sz w:val="20"/>
          <w:szCs w:val="20"/>
        </w:rPr>
      </w:pPr>
      <w:r w:rsidRPr="00DC52EE">
        <w:rPr>
          <w:sz w:val="20"/>
          <w:szCs w:val="20"/>
        </w:rPr>
        <w:t>T</w:t>
      </w:r>
      <w:r w:rsidR="00A00258" w:rsidRPr="00DC52EE">
        <w:rPr>
          <w:sz w:val="20"/>
          <w:szCs w:val="20"/>
        </w:rPr>
        <w:t xml:space="preserve">he present study </w:t>
      </w:r>
      <w:r w:rsidR="0040592B" w:rsidRPr="00DC52EE">
        <w:rPr>
          <w:sz w:val="20"/>
          <w:szCs w:val="20"/>
        </w:rPr>
        <w:t xml:space="preserve">showed that the overall prevalence of </w:t>
      </w:r>
      <w:r w:rsidR="00251379" w:rsidRPr="00DC52EE">
        <w:rPr>
          <w:sz w:val="20"/>
          <w:szCs w:val="20"/>
        </w:rPr>
        <w:t xml:space="preserve">gastrointestinal parasite </w:t>
      </w:r>
      <w:r w:rsidR="00167D21" w:rsidRPr="00DC52EE">
        <w:rPr>
          <w:sz w:val="20"/>
          <w:szCs w:val="20"/>
        </w:rPr>
        <w:t xml:space="preserve">67.9% (261/384) in both </w:t>
      </w:r>
      <w:r w:rsidR="00167D21" w:rsidRPr="00DC52EE">
        <w:rPr>
          <w:rFonts w:eastAsia="Times New Roman"/>
          <w:sz w:val="20"/>
          <w:szCs w:val="20"/>
        </w:rPr>
        <w:t>sheep and goats</w:t>
      </w:r>
      <w:r w:rsidR="00167D21" w:rsidRPr="00DC52EE">
        <w:rPr>
          <w:sz w:val="20"/>
          <w:szCs w:val="20"/>
        </w:rPr>
        <w:t xml:space="preserve"> </w:t>
      </w:r>
      <w:r w:rsidR="00A00258" w:rsidRPr="00DC52EE">
        <w:rPr>
          <w:sz w:val="20"/>
          <w:szCs w:val="20"/>
        </w:rPr>
        <w:t>conducted in Nekemte town</w:t>
      </w:r>
      <w:r w:rsidR="00251379" w:rsidRPr="00DC52EE">
        <w:rPr>
          <w:sz w:val="20"/>
          <w:szCs w:val="20"/>
        </w:rPr>
        <w:t>. Thses</w:t>
      </w:r>
      <w:r w:rsidRPr="00DC52EE">
        <w:rPr>
          <w:sz w:val="20"/>
          <w:szCs w:val="20"/>
        </w:rPr>
        <w:t xml:space="preserve"> </w:t>
      </w:r>
      <w:r w:rsidR="00251379" w:rsidRPr="00DC52EE">
        <w:rPr>
          <w:sz w:val="20"/>
          <w:szCs w:val="20"/>
        </w:rPr>
        <w:t xml:space="preserve">shows that different gastrointestinal </w:t>
      </w:r>
      <w:r w:rsidR="00A00258" w:rsidRPr="00DC52EE">
        <w:rPr>
          <w:sz w:val="20"/>
          <w:szCs w:val="20"/>
        </w:rPr>
        <w:t xml:space="preserve">parasites were the most prevalent </w:t>
      </w:r>
      <w:r w:rsidR="00251379" w:rsidRPr="00DC52EE">
        <w:rPr>
          <w:sz w:val="20"/>
          <w:szCs w:val="20"/>
        </w:rPr>
        <w:t xml:space="preserve">parasite which </w:t>
      </w:r>
      <w:r w:rsidR="00A00258" w:rsidRPr="00DC52EE">
        <w:rPr>
          <w:sz w:val="20"/>
          <w:szCs w:val="20"/>
        </w:rPr>
        <w:t>affecting the wellbeing of the animals</w:t>
      </w:r>
      <w:r w:rsidR="00251379" w:rsidRPr="00DC52EE">
        <w:rPr>
          <w:sz w:val="20"/>
          <w:szCs w:val="20"/>
        </w:rPr>
        <w:t xml:space="preserve"> in the study area</w:t>
      </w:r>
      <w:r w:rsidR="00A00258" w:rsidRPr="00DC52EE">
        <w:rPr>
          <w:sz w:val="20"/>
          <w:szCs w:val="20"/>
        </w:rPr>
        <w:t>.</w:t>
      </w:r>
      <w:r w:rsidR="00A00258" w:rsidRPr="00DC52EE">
        <w:rPr>
          <w:color w:val="FF0000"/>
          <w:sz w:val="20"/>
          <w:szCs w:val="20"/>
        </w:rPr>
        <w:t xml:space="preserve"> </w:t>
      </w:r>
      <w:r w:rsidR="00A00258" w:rsidRPr="00DC52EE">
        <w:rPr>
          <w:sz w:val="20"/>
          <w:szCs w:val="20"/>
        </w:rPr>
        <w:t>Most predo</w:t>
      </w:r>
      <w:r w:rsidR="00251379" w:rsidRPr="00DC52EE">
        <w:rPr>
          <w:sz w:val="20"/>
          <w:szCs w:val="20"/>
        </w:rPr>
        <w:t xml:space="preserve">minant gastrointestinal </w:t>
      </w:r>
      <w:r w:rsidR="00A00258" w:rsidRPr="00DC52EE">
        <w:rPr>
          <w:sz w:val="20"/>
          <w:szCs w:val="20"/>
        </w:rPr>
        <w:t xml:space="preserve">parasites </w:t>
      </w:r>
      <w:r w:rsidR="00E720C2" w:rsidRPr="00DC52EE">
        <w:rPr>
          <w:sz w:val="20"/>
          <w:szCs w:val="20"/>
        </w:rPr>
        <w:t xml:space="preserve">identified in the study area </w:t>
      </w:r>
      <w:r w:rsidR="00A00258" w:rsidRPr="00DC52EE">
        <w:rPr>
          <w:sz w:val="20"/>
          <w:szCs w:val="20"/>
        </w:rPr>
        <w:t xml:space="preserve">were </w:t>
      </w:r>
      <w:r w:rsidR="00A00258" w:rsidRPr="00DC52EE">
        <w:rPr>
          <w:i/>
          <w:sz w:val="20"/>
          <w:szCs w:val="20"/>
        </w:rPr>
        <w:t>Nematodes</w:t>
      </w:r>
      <w:r w:rsidR="00A00258" w:rsidRPr="00DC52EE">
        <w:rPr>
          <w:sz w:val="20"/>
          <w:szCs w:val="20"/>
        </w:rPr>
        <w:t>,</w:t>
      </w:r>
      <w:r w:rsidR="00A00258" w:rsidRPr="00DC52EE">
        <w:rPr>
          <w:i/>
          <w:sz w:val="20"/>
          <w:szCs w:val="20"/>
        </w:rPr>
        <w:t xml:space="preserve"> Trematodes and</w:t>
      </w:r>
      <w:r w:rsidR="00A00258" w:rsidRPr="00DC52EE">
        <w:rPr>
          <w:sz w:val="20"/>
          <w:szCs w:val="20"/>
        </w:rPr>
        <w:t xml:space="preserve"> </w:t>
      </w:r>
      <w:r w:rsidR="00A00258" w:rsidRPr="00DC52EE">
        <w:rPr>
          <w:i/>
          <w:sz w:val="20"/>
          <w:szCs w:val="20"/>
        </w:rPr>
        <w:t>Cestodes</w:t>
      </w:r>
      <w:r w:rsidR="00A00258" w:rsidRPr="00DC52EE">
        <w:rPr>
          <w:sz w:val="20"/>
          <w:szCs w:val="20"/>
        </w:rPr>
        <w:t xml:space="preserve"> species.</w:t>
      </w:r>
      <w:r w:rsidR="00A00258" w:rsidRPr="00DC52EE">
        <w:rPr>
          <w:color w:val="FF0000"/>
          <w:sz w:val="20"/>
          <w:szCs w:val="20"/>
        </w:rPr>
        <w:t xml:space="preserve"> </w:t>
      </w:r>
      <w:r w:rsidR="00A00258" w:rsidRPr="00DC52EE">
        <w:rPr>
          <w:sz w:val="20"/>
          <w:szCs w:val="20"/>
        </w:rPr>
        <w:t>Species, age and sex of animals were considered as potential risk facto</w:t>
      </w:r>
      <w:r w:rsidR="00E720C2" w:rsidRPr="00DC52EE">
        <w:rPr>
          <w:sz w:val="20"/>
          <w:szCs w:val="20"/>
        </w:rPr>
        <w:t>rs for the prevalence of the gastrointestinal</w:t>
      </w:r>
      <w:r w:rsidR="00A00258" w:rsidRPr="00DC52EE">
        <w:rPr>
          <w:sz w:val="20"/>
          <w:szCs w:val="20"/>
        </w:rPr>
        <w:t xml:space="preserve"> parasites</w:t>
      </w:r>
      <w:r w:rsidR="00A00258" w:rsidRPr="00DC52EE">
        <w:rPr>
          <w:color w:val="FF0000"/>
          <w:sz w:val="20"/>
          <w:szCs w:val="20"/>
        </w:rPr>
        <w:t xml:space="preserve">. </w:t>
      </w:r>
      <w:r w:rsidR="00A00258" w:rsidRPr="00DC52EE">
        <w:rPr>
          <w:sz w:val="20"/>
          <w:szCs w:val="20"/>
        </w:rPr>
        <w:t xml:space="preserve">The present study conducted </w:t>
      </w:r>
      <w:r w:rsidR="00E720C2" w:rsidRPr="00DC52EE">
        <w:rPr>
          <w:sz w:val="20"/>
          <w:szCs w:val="20"/>
        </w:rPr>
        <w:t xml:space="preserve">indicated that </w:t>
      </w:r>
      <w:r w:rsidR="00A00258" w:rsidRPr="00DC52EE">
        <w:rPr>
          <w:sz w:val="20"/>
          <w:szCs w:val="20"/>
        </w:rPr>
        <w:t xml:space="preserve">sheep and goats of the </w:t>
      </w:r>
      <w:r w:rsidR="00E720C2" w:rsidRPr="00DC52EE">
        <w:rPr>
          <w:sz w:val="20"/>
          <w:szCs w:val="20"/>
        </w:rPr>
        <w:t xml:space="preserve">study </w:t>
      </w:r>
      <w:r w:rsidR="00A00258" w:rsidRPr="00DC52EE">
        <w:rPr>
          <w:sz w:val="20"/>
          <w:szCs w:val="20"/>
        </w:rPr>
        <w:t>area harbor different</w:t>
      </w:r>
      <w:r w:rsidR="00E720C2" w:rsidRPr="00DC52EE">
        <w:rPr>
          <w:sz w:val="20"/>
          <w:szCs w:val="20"/>
        </w:rPr>
        <w:t xml:space="preserve"> gastrointestinal</w:t>
      </w:r>
      <w:r w:rsidR="00A00258" w:rsidRPr="00DC52EE">
        <w:rPr>
          <w:sz w:val="20"/>
          <w:szCs w:val="20"/>
        </w:rPr>
        <w:t xml:space="preserve"> parasites that could be implicated in the health and production status of the animals</w:t>
      </w:r>
      <w:r w:rsidR="00A00258" w:rsidRPr="00DC52EE">
        <w:rPr>
          <w:color w:val="FF0000"/>
          <w:sz w:val="20"/>
          <w:szCs w:val="20"/>
        </w:rPr>
        <w:t xml:space="preserve">. </w:t>
      </w:r>
      <w:r w:rsidR="00A00258" w:rsidRPr="00DC52EE">
        <w:rPr>
          <w:sz w:val="20"/>
          <w:szCs w:val="20"/>
        </w:rPr>
        <w:t>The prevalence of parasitosis was 70.4% and 63.5% in sheep and goats, respectively</w:t>
      </w:r>
      <w:r w:rsidR="00CD76C4" w:rsidRPr="00DC52EE">
        <w:rPr>
          <w:color w:val="FF0000"/>
          <w:sz w:val="20"/>
          <w:szCs w:val="20"/>
        </w:rPr>
        <w:t xml:space="preserve"> </w:t>
      </w:r>
      <w:r w:rsidR="00CD76C4" w:rsidRPr="00DC52EE">
        <w:rPr>
          <w:sz w:val="20"/>
          <w:szCs w:val="20"/>
        </w:rPr>
        <w:t>and this finding suggests that the study area</w:t>
      </w:r>
      <w:r w:rsidR="00A00258" w:rsidRPr="00DC52EE">
        <w:rPr>
          <w:sz w:val="20"/>
          <w:szCs w:val="20"/>
        </w:rPr>
        <w:t xml:space="preserve"> and its surround</w:t>
      </w:r>
      <w:r w:rsidR="00CD76C4" w:rsidRPr="00DC52EE">
        <w:rPr>
          <w:sz w:val="20"/>
          <w:szCs w:val="20"/>
        </w:rPr>
        <w:t xml:space="preserve">ing were conducive </w:t>
      </w:r>
      <w:r w:rsidR="00A00258" w:rsidRPr="00DC52EE">
        <w:rPr>
          <w:sz w:val="20"/>
          <w:szCs w:val="20"/>
        </w:rPr>
        <w:t xml:space="preserve">for the successive helminthes </w:t>
      </w:r>
      <w:r w:rsidR="00CD76C4" w:rsidRPr="00DC52EE">
        <w:rPr>
          <w:sz w:val="20"/>
          <w:szCs w:val="20"/>
        </w:rPr>
        <w:t xml:space="preserve">parasite of small ruminants </w:t>
      </w:r>
      <w:r w:rsidR="00A00258" w:rsidRPr="00DC52EE">
        <w:rPr>
          <w:sz w:val="20"/>
          <w:szCs w:val="20"/>
        </w:rPr>
        <w:t xml:space="preserve">perpetuation and favorable for subsequent transmission to susceptible hosts. Majority of sheep and goat in the study area were largely kept under traditional extensive management system which might increase chance of exposure to </w:t>
      </w:r>
      <w:r w:rsidR="00CD76C4" w:rsidRPr="00DC52EE">
        <w:rPr>
          <w:sz w:val="20"/>
          <w:szCs w:val="20"/>
        </w:rPr>
        <w:t xml:space="preserve">gastrointestinal </w:t>
      </w:r>
      <w:r w:rsidR="00A00258" w:rsidRPr="00DC52EE">
        <w:rPr>
          <w:sz w:val="20"/>
          <w:szCs w:val="20"/>
        </w:rPr>
        <w:t>parasites.</w:t>
      </w:r>
      <w:r w:rsidR="00A00258" w:rsidRPr="00DC52EE">
        <w:rPr>
          <w:color w:val="FF0000"/>
          <w:sz w:val="20"/>
          <w:szCs w:val="20"/>
        </w:rPr>
        <w:t xml:space="preserve"> </w:t>
      </w:r>
      <w:r w:rsidR="00CD76C4" w:rsidRPr="00DC52EE">
        <w:rPr>
          <w:sz w:val="20"/>
          <w:szCs w:val="20"/>
        </w:rPr>
        <w:t>Therefore,</w:t>
      </w:r>
      <w:r w:rsidR="00DC52EE" w:rsidRPr="00DC52EE">
        <w:rPr>
          <w:rFonts w:hint="eastAsia"/>
          <w:sz w:val="20"/>
          <w:szCs w:val="20"/>
          <w:lang w:eastAsia="zh-CN"/>
        </w:rPr>
        <w:t xml:space="preserve"> </w:t>
      </w:r>
      <w:r w:rsidR="00CD76C4" w:rsidRPr="00DC52EE">
        <w:rPr>
          <w:sz w:val="20"/>
          <w:szCs w:val="20"/>
        </w:rPr>
        <w:t xml:space="preserve">Strategic deworming of small ruminants using broad spectrum antihelminthics should be practiced and </w:t>
      </w:r>
      <w:r w:rsidR="00E70265" w:rsidRPr="00DC52EE">
        <w:rPr>
          <w:sz w:val="20"/>
          <w:szCs w:val="20"/>
        </w:rPr>
        <w:t>f</w:t>
      </w:r>
      <w:r w:rsidR="00CD76C4" w:rsidRPr="00DC52EE">
        <w:rPr>
          <w:sz w:val="20"/>
          <w:szCs w:val="20"/>
        </w:rPr>
        <w:t>urther studies on econom</w:t>
      </w:r>
      <w:r w:rsidR="00E70265" w:rsidRPr="00DC52EE">
        <w:rPr>
          <w:sz w:val="20"/>
          <w:szCs w:val="20"/>
        </w:rPr>
        <w:t>ic losses and epidemiology of gastrointestinal parasite of small ruminant</w:t>
      </w:r>
      <w:r w:rsidR="00CD76C4" w:rsidRPr="00DC52EE">
        <w:rPr>
          <w:sz w:val="20"/>
          <w:szCs w:val="20"/>
        </w:rPr>
        <w:t xml:space="preserve"> should be conducted on the study area. </w:t>
      </w:r>
    </w:p>
    <w:p w:rsidR="0040592B" w:rsidRDefault="0040592B" w:rsidP="00BB7760">
      <w:pPr>
        <w:autoSpaceDE w:val="0"/>
        <w:autoSpaceDN w:val="0"/>
        <w:adjustRightInd w:val="0"/>
        <w:snapToGrid w:val="0"/>
        <w:spacing w:after="0" w:line="240" w:lineRule="auto"/>
        <w:ind w:firstLine="425"/>
        <w:jc w:val="both"/>
        <w:rPr>
          <w:color w:val="FF0000"/>
          <w:sz w:val="20"/>
          <w:szCs w:val="20"/>
          <w:lang w:eastAsia="zh-CN"/>
        </w:rPr>
      </w:pPr>
    </w:p>
    <w:p w:rsidR="00286E43" w:rsidRPr="00DC52EE" w:rsidRDefault="00286E43" w:rsidP="00BB7760">
      <w:pPr>
        <w:autoSpaceDE w:val="0"/>
        <w:autoSpaceDN w:val="0"/>
        <w:adjustRightInd w:val="0"/>
        <w:snapToGrid w:val="0"/>
        <w:spacing w:after="0" w:line="240" w:lineRule="auto"/>
        <w:ind w:firstLine="425"/>
        <w:jc w:val="both"/>
        <w:rPr>
          <w:color w:val="FF0000"/>
          <w:sz w:val="20"/>
          <w:szCs w:val="20"/>
          <w:lang w:eastAsia="zh-CN"/>
        </w:rPr>
      </w:pPr>
    </w:p>
    <w:p w:rsidR="00903A07" w:rsidRPr="00DC52EE" w:rsidRDefault="0040592B" w:rsidP="00BB7760">
      <w:pPr>
        <w:autoSpaceDE w:val="0"/>
        <w:autoSpaceDN w:val="0"/>
        <w:adjustRightInd w:val="0"/>
        <w:snapToGrid w:val="0"/>
        <w:spacing w:after="0" w:line="240" w:lineRule="auto"/>
        <w:jc w:val="both"/>
        <w:rPr>
          <w:b/>
          <w:bCs/>
          <w:color w:val="000000"/>
          <w:sz w:val="20"/>
          <w:szCs w:val="20"/>
        </w:rPr>
      </w:pPr>
      <w:r w:rsidRPr="00DC52EE">
        <w:rPr>
          <w:b/>
          <w:bCs/>
          <w:color w:val="000000"/>
          <w:sz w:val="20"/>
          <w:szCs w:val="20"/>
        </w:rPr>
        <w:t>Acknowledgements:</w:t>
      </w:r>
    </w:p>
    <w:p w:rsidR="0040592B" w:rsidRPr="00DC52EE" w:rsidRDefault="00903A07" w:rsidP="00BB7760">
      <w:pPr>
        <w:autoSpaceDE w:val="0"/>
        <w:autoSpaceDN w:val="0"/>
        <w:adjustRightInd w:val="0"/>
        <w:snapToGrid w:val="0"/>
        <w:spacing w:after="0" w:line="240" w:lineRule="auto"/>
        <w:ind w:firstLine="425"/>
        <w:jc w:val="both"/>
        <w:rPr>
          <w:color w:val="000000"/>
          <w:sz w:val="20"/>
          <w:szCs w:val="20"/>
          <w:lang w:eastAsia="zh-CN"/>
        </w:rPr>
      </w:pPr>
      <w:r w:rsidRPr="00DC52EE">
        <w:rPr>
          <w:color w:val="000000"/>
          <w:sz w:val="20"/>
          <w:szCs w:val="20"/>
        </w:rPr>
        <w:t>T</w:t>
      </w:r>
      <w:r w:rsidR="0040592B" w:rsidRPr="00DC52EE">
        <w:rPr>
          <w:color w:val="000000"/>
          <w:sz w:val="20"/>
          <w:szCs w:val="20"/>
        </w:rPr>
        <w:t>he authors would like to extend their gratitude to individuals who provide unreserved help for identification of the parasites and multi-directional cooperation during the study and preparation of the manuscript.</w:t>
      </w:r>
    </w:p>
    <w:p w:rsidR="00BB7760" w:rsidRDefault="00BB7760" w:rsidP="00BB7760">
      <w:pPr>
        <w:autoSpaceDE w:val="0"/>
        <w:autoSpaceDN w:val="0"/>
        <w:adjustRightInd w:val="0"/>
        <w:snapToGrid w:val="0"/>
        <w:spacing w:after="0" w:line="240" w:lineRule="auto"/>
        <w:ind w:firstLine="425"/>
        <w:jc w:val="both"/>
        <w:rPr>
          <w:color w:val="000000"/>
          <w:sz w:val="20"/>
          <w:szCs w:val="20"/>
          <w:lang w:eastAsia="zh-CN"/>
        </w:rPr>
      </w:pPr>
    </w:p>
    <w:p w:rsidR="00286E43" w:rsidRDefault="00286E43" w:rsidP="00BB7760">
      <w:pPr>
        <w:autoSpaceDE w:val="0"/>
        <w:autoSpaceDN w:val="0"/>
        <w:adjustRightInd w:val="0"/>
        <w:snapToGrid w:val="0"/>
        <w:spacing w:after="0" w:line="240" w:lineRule="auto"/>
        <w:ind w:firstLine="425"/>
        <w:jc w:val="both"/>
        <w:rPr>
          <w:color w:val="000000"/>
          <w:sz w:val="20"/>
          <w:szCs w:val="20"/>
          <w:lang w:eastAsia="zh-CN"/>
        </w:rPr>
      </w:pPr>
    </w:p>
    <w:p w:rsidR="00286E43" w:rsidRPr="00DC52EE" w:rsidRDefault="00286E43" w:rsidP="00BB7760">
      <w:pPr>
        <w:autoSpaceDE w:val="0"/>
        <w:autoSpaceDN w:val="0"/>
        <w:adjustRightInd w:val="0"/>
        <w:snapToGrid w:val="0"/>
        <w:spacing w:after="0" w:line="240" w:lineRule="auto"/>
        <w:ind w:firstLine="425"/>
        <w:jc w:val="both"/>
        <w:rPr>
          <w:color w:val="000000"/>
          <w:sz w:val="20"/>
          <w:szCs w:val="20"/>
          <w:lang w:eastAsia="zh-CN"/>
        </w:rPr>
      </w:pPr>
    </w:p>
    <w:p w:rsidR="00903A07" w:rsidRPr="00DC52EE" w:rsidRDefault="0040592B" w:rsidP="00BB7760">
      <w:pPr>
        <w:autoSpaceDE w:val="0"/>
        <w:autoSpaceDN w:val="0"/>
        <w:adjustRightInd w:val="0"/>
        <w:snapToGrid w:val="0"/>
        <w:spacing w:after="0" w:line="240" w:lineRule="auto"/>
        <w:jc w:val="both"/>
        <w:rPr>
          <w:color w:val="000000"/>
          <w:sz w:val="20"/>
          <w:szCs w:val="20"/>
        </w:rPr>
      </w:pPr>
      <w:r w:rsidRPr="00DC52EE">
        <w:rPr>
          <w:b/>
          <w:bCs/>
          <w:color w:val="000000"/>
          <w:sz w:val="20"/>
          <w:szCs w:val="20"/>
        </w:rPr>
        <w:lastRenderedPageBreak/>
        <w:t>Corresponding author</w:t>
      </w:r>
      <w:r w:rsidRPr="00DC52EE">
        <w:rPr>
          <w:color w:val="000000"/>
          <w:sz w:val="20"/>
          <w:szCs w:val="20"/>
        </w:rPr>
        <w:t>:</w:t>
      </w:r>
    </w:p>
    <w:p w:rsidR="0040592B" w:rsidRPr="00DC52EE" w:rsidRDefault="00903A07" w:rsidP="00BB7760">
      <w:pPr>
        <w:autoSpaceDE w:val="0"/>
        <w:autoSpaceDN w:val="0"/>
        <w:adjustRightInd w:val="0"/>
        <w:snapToGrid w:val="0"/>
        <w:spacing w:after="0" w:line="240" w:lineRule="auto"/>
        <w:jc w:val="both"/>
        <w:rPr>
          <w:color w:val="000000"/>
          <w:sz w:val="20"/>
          <w:szCs w:val="20"/>
        </w:rPr>
      </w:pPr>
      <w:r w:rsidRPr="00DC52EE">
        <w:rPr>
          <w:color w:val="000000"/>
          <w:sz w:val="20"/>
          <w:szCs w:val="20"/>
        </w:rPr>
        <w:t>D</w:t>
      </w:r>
      <w:r w:rsidR="0040592B" w:rsidRPr="00DC52EE">
        <w:rPr>
          <w:color w:val="000000"/>
          <w:sz w:val="20"/>
          <w:szCs w:val="20"/>
        </w:rPr>
        <w:t>r. Haile Worku, Benishngul -Gumuz Regional State, Regional Bureau of Agriculture and Natural</w:t>
      </w:r>
      <w:r w:rsidR="00615D73" w:rsidRPr="00DC52EE">
        <w:rPr>
          <w:color w:val="000000"/>
          <w:sz w:val="20"/>
          <w:szCs w:val="20"/>
        </w:rPr>
        <w:t xml:space="preserve"> </w:t>
      </w:r>
      <w:r w:rsidR="0040592B" w:rsidRPr="00DC52EE">
        <w:rPr>
          <w:color w:val="000000"/>
          <w:sz w:val="20"/>
          <w:szCs w:val="20"/>
        </w:rPr>
        <w:t xml:space="preserve">Resource, Assosa, Ethiopia. </w:t>
      </w:r>
    </w:p>
    <w:p w:rsidR="0052369D" w:rsidRPr="00DC52EE" w:rsidRDefault="0040592B" w:rsidP="00BB7760">
      <w:pPr>
        <w:autoSpaceDE w:val="0"/>
        <w:autoSpaceDN w:val="0"/>
        <w:adjustRightInd w:val="0"/>
        <w:snapToGrid w:val="0"/>
        <w:spacing w:after="0" w:line="240" w:lineRule="auto"/>
        <w:jc w:val="both"/>
        <w:rPr>
          <w:color w:val="000000"/>
          <w:sz w:val="20"/>
          <w:szCs w:val="20"/>
        </w:rPr>
      </w:pPr>
      <w:r w:rsidRPr="00DC52EE">
        <w:rPr>
          <w:color w:val="000000"/>
          <w:sz w:val="20"/>
          <w:szCs w:val="20"/>
        </w:rPr>
        <w:t xml:space="preserve">Email: </w:t>
      </w:r>
      <w:r w:rsidRPr="00DC52EE">
        <w:rPr>
          <w:color w:val="0000FF"/>
          <w:sz w:val="20"/>
          <w:szCs w:val="20"/>
        </w:rPr>
        <w:t>workuhaile29@gmail.com</w:t>
      </w:r>
    </w:p>
    <w:p w:rsidR="00BB7760" w:rsidRPr="00DC52EE" w:rsidRDefault="00BB7760" w:rsidP="00BB7760">
      <w:pPr>
        <w:snapToGrid w:val="0"/>
        <w:spacing w:after="0" w:line="240" w:lineRule="auto"/>
        <w:jc w:val="both"/>
        <w:rPr>
          <w:b/>
          <w:sz w:val="20"/>
          <w:szCs w:val="20"/>
          <w:lang w:eastAsia="zh-CN"/>
        </w:rPr>
      </w:pPr>
    </w:p>
    <w:p w:rsidR="00DF70C9" w:rsidRPr="00DC52EE" w:rsidRDefault="00AD5716" w:rsidP="00BB7760">
      <w:pPr>
        <w:snapToGrid w:val="0"/>
        <w:spacing w:after="0" w:line="240" w:lineRule="auto"/>
        <w:jc w:val="both"/>
        <w:rPr>
          <w:b/>
          <w:sz w:val="20"/>
          <w:szCs w:val="20"/>
        </w:rPr>
      </w:pPr>
      <w:r w:rsidRPr="00DC52EE">
        <w:rPr>
          <w:b/>
          <w:sz w:val="20"/>
          <w:szCs w:val="20"/>
        </w:rPr>
        <w:t>R</w:t>
      </w:r>
      <w:r w:rsidR="00461FB5" w:rsidRPr="00DC52EE">
        <w:rPr>
          <w:b/>
          <w:sz w:val="20"/>
          <w:szCs w:val="20"/>
        </w:rPr>
        <w:t>eferences</w:t>
      </w:r>
    </w:p>
    <w:p w:rsidR="00903A07" w:rsidRPr="00DC52EE" w:rsidRDefault="00F86117" w:rsidP="00BB7760">
      <w:pPr>
        <w:pStyle w:val="ListParagraph"/>
        <w:numPr>
          <w:ilvl w:val="0"/>
          <w:numId w:val="21"/>
        </w:numPr>
        <w:autoSpaceDE w:val="0"/>
        <w:autoSpaceDN w:val="0"/>
        <w:adjustRightInd w:val="0"/>
        <w:snapToGrid w:val="0"/>
        <w:spacing w:after="0" w:line="240" w:lineRule="auto"/>
        <w:ind w:left="425" w:hanging="425"/>
        <w:jc w:val="both"/>
        <w:rPr>
          <w:iCs/>
          <w:sz w:val="20"/>
          <w:szCs w:val="20"/>
        </w:rPr>
      </w:pPr>
      <w:r w:rsidRPr="00DC52EE">
        <w:rPr>
          <w:sz w:val="20"/>
          <w:szCs w:val="20"/>
        </w:rPr>
        <w:t>Abebe,</w:t>
      </w:r>
      <w:r w:rsidR="00903A07" w:rsidRPr="00DC52EE">
        <w:rPr>
          <w:sz w:val="20"/>
          <w:szCs w:val="20"/>
        </w:rPr>
        <w:t xml:space="preserve"> </w:t>
      </w:r>
      <w:r w:rsidRPr="00DC52EE">
        <w:rPr>
          <w:sz w:val="20"/>
          <w:szCs w:val="20"/>
        </w:rPr>
        <w:t>W.</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Esayas,</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(1999):</w:t>
      </w:r>
      <w:r w:rsidR="00903A07" w:rsidRPr="00DC52EE">
        <w:rPr>
          <w:sz w:val="20"/>
          <w:szCs w:val="20"/>
        </w:rPr>
        <w:t xml:space="preserve"> </w:t>
      </w:r>
      <w:r w:rsidRPr="00DC52EE">
        <w:rPr>
          <w:bCs/>
          <w:sz w:val="20"/>
          <w:szCs w:val="20"/>
        </w:rPr>
        <w:t>Survey</w:t>
      </w:r>
      <w:r w:rsidR="00903A07" w:rsidRPr="00DC52EE">
        <w:rPr>
          <w:bCs/>
          <w:sz w:val="20"/>
          <w:szCs w:val="20"/>
        </w:rPr>
        <w:t xml:space="preserve"> </w:t>
      </w:r>
      <w:r w:rsidRPr="00DC52EE">
        <w:rPr>
          <w:bCs/>
          <w:sz w:val="20"/>
          <w:szCs w:val="20"/>
        </w:rPr>
        <w:t>of</w:t>
      </w:r>
      <w:r w:rsidR="00903A07" w:rsidRPr="00DC52EE">
        <w:rPr>
          <w:bCs/>
          <w:sz w:val="20"/>
          <w:szCs w:val="20"/>
        </w:rPr>
        <w:t xml:space="preserve"> </w:t>
      </w:r>
      <w:r w:rsidRPr="00DC52EE">
        <w:rPr>
          <w:bCs/>
          <w:sz w:val="20"/>
          <w:szCs w:val="20"/>
        </w:rPr>
        <w:t>ovine</w:t>
      </w:r>
      <w:r w:rsidR="00903A07" w:rsidRPr="00DC52EE">
        <w:rPr>
          <w:bCs/>
          <w:sz w:val="20"/>
          <w:szCs w:val="20"/>
        </w:rPr>
        <w:t xml:space="preserve"> </w:t>
      </w:r>
      <w:r w:rsidRPr="00DC52EE">
        <w:rPr>
          <w:bCs/>
          <w:sz w:val="20"/>
          <w:szCs w:val="20"/>
        </w:rPr>
        <w:t>and</w:t>
      </w:r>
      <w:r w:rsidR="00903A07" w:rsidRPr="00DC52EE">
        <w:rPr>
          <w:bCs/>
          <w:sz w:val="20"/>
          <w:szCs w:val="20"/>
        </w:rPr>
        <w:t xml:space="preserve"> </w:t>
      </w:r>
      <w:r w:rsidRPr="00DC52EE">
        <w:rPr>
          <w:bCs/>
          <w:sz w:val="20"/>
          <w:szCs w:val="20"/>
        </w:rPr>
        <w:t>caprine</w:t>
      </w:r>
      <w:r w:rsidR="00903A07" w:rsidRPr="00DC52EE">
        <w:rPr>
          <w:bCs/>
          <w:sz w:val="20"/>
          <w:szCs w:val="20"/>
        </w:rPr>
        <w:t xml:space="preserve"> </w:t>
      </w:r>
      <w:r w:rsidRPr="00DC52EE">
        <w:rPr>
          <w:bCs/>
          <w:sz w:val="20"/>
          <w:szCs w:val="20"/>
        </w:rPr>
        <w:t>gastro-intestinal</w:t>
      </w:r>
      <w:r w:rsidR="00903A07" w:rsidRPr="00DC52EE">
        <w:rPr>
          <w:bCs/>
          <w:sz w:val="20"/>
          <w:szCs w:val="20"/>
        </w:rPr>
        <w:t xml:space="preserve"> </w:t>
      </w:r>
      <w:r w:rsidRPr="00DC52EE">
        <w:rPr>
          <w:bCs/>
          <w:sz w:val="20"/>
          <w:szCs w:val="20"/>
        </w:rPr>
        <w:t>helminthosis</w:t>
      </w:r>
      <w:r w:rsidR="00BB7760" w:rsidRPr="00DC52EE">
        <w:rPr>
          <w:rFonts w:hint="eastAsia"/>
          <w:bCs/>
          <w:sz w:val="20"/>
          <w:szCs w:val="20"/>
          <w:lang w:eastAsia="zh-CN"/>
        </w:rPr>
        <w:t xml:space="preserve"> </w:t>
      </w:r>
      <w:r w:rsidRPr="00DC52EE">
        <w:rPr>
          <w:bCs/>
          <w:sz w:val="20"/>
          <w:szCs w:val="20"/>
        </w:rPr>
        <w:t>in</w:t>
      </w:r>
      <w:r w:rsidR="00903A07" w:rsidRPr="00DC52EE">
        <w:rPr>
          <w:bCs/>
          <w:sz w:val="20"/>
          <w:szCs w:val="20"/>
        </w:rPr>
        <w:t xml:space="preserve"> </w:t>
      </w:r>
      <w:r w:rsidRPr="00DC52EE">
        <w:rPr>
          <w:bCs/>
          <w:sz w:val="20"/>
          <w:szCs w:val="20"/>
        </w:rPr>
        <w:t>eastern</w:t>
      </w:r>
      <w:r w:rsidR="00903A07" w:rsidRPr="00DC52EE">
        <w:rPr>
          <w:bCs/>
          <w:sz w:val="20"/>
          <w:szCs w:val="20"/>
        </w:rPr>
        <w:t xml:space="preserve"> </w:t>
      </w:r>
      <w:r w:rsidRPr="00DC52EE">
        <w:rPr>
          <w:bCs/>
          <w:sz w:val="20"/>
          <w:szCs w:val="20"/>
        </w:rPr>
        <w:t>part</w:t>
      </w:r>
      <w:r w:rsidR="00903A07" w:rsidRPr="00DC52EE">
        <w:rPr>
          <w:bCs/>
          <w:sz w:val="20"/>
          <w:szCs w:val="20"/>
        </w:rPr>
        <w:t xml:space="preserve"> </w:t>
      </w:r>
      <w:r w:rsidRPr="00DC52EE">
        <w:rPr>
          <w:bCs/>
          <w:sz w:val="20"/>
          <w:szCs w:val="20"/>
        </w:rPr>
        <w:t>of</w:t>
      </w:r>
      <w:r w:rsidR="00903A07" w:rsidRPr="00DC52EE">
        <w:rPr>
          <w:bCs/>
          <w:sz w:val="20"/>
          <w:szCs w:val="20"/>
        </w:rPr>
        <w:t xml:space="preserve"> </w:t>
      </w:r>
      <w:r w:rsidRPr="00DC52EE">
        <w:rPr>
          <w:bCs/>
          <w:sz w:val="20"/>
          <w:szCs w:val="20"/>
        </w:rPr>
        <w:t>Ethiopia</w:t>
      </w:r>
      <w:r w:rsidR="00903A07" w:rsidRPr="00DC52EE">
        <w:rPr>
          <w:bCs/>
          <w:sz w:val="20"/>
          <w:szCs w:val="20"/>
        </w:rPr>
        <w:t xml:space="preserve"> </w:t>
      </w:r>
      <w:r w:rsidRPr="00DC52EE">
        <w:rPr>
          <w:bCs/>
          <w:sz w:val="20"/>
          <w:szCs w:val="20"/>
        </w:rPr>
        <w:t>during</w:t>
      </w:r>
      <w:r w:rsidR="00903A07" w:rsidRPr="00DC52EE">
        <w:rPr>
          <w:bCs/>
          <w:sz w:val="20"/>
          <w:szCs w:val="20"/>
        </w:rPr>
        <w:t xml:space="preserve"> </w:t>
      </w:r>
      <w:r w:rsidRPr="00DC52EE">
        <w:rPr>
          <w:bCs/>
          <w:sz w:val="20"/>
          <w:szCs w:val="20"/>
        </w:rPr>
        <w:t>the</w:t>
      </w:r>
      <w:r w:rsidR="00903A07" w:rsidRPr="00DC52EE">
        <w:rPr>
          <w:bCs/>
          <w:sz w:val="20"/>
          <w:szCs w:val="20"/>
        </w:rPr>
        <w:t xml:space="preserve"> </w:t>
      </w:r>
      <w:r w:rsidRPr="00DC52EE">
        <w:rPr>
          <w:bCs/>
          <w:sz w:val="20"/>
          <w:szCs w:val="20"/>
        </w:rPr>
        <w:t>dry</w:t>
      </w:r>
      <w:r w:rsidR="00903A07" w:rsidRPr="00DC52EE">
        <w:rPr>
          <w:bCs/>
          <w:sz w:val="20"/>
          <w:szCs w:val="20"/>
        </w:rPr>
        <w:t xml:space="preserve"> </w:t>
      </w:r>
      <w:r w:rsidRPr="00DC52EE">
        <w:rPr>
          <w:bCs/>
          <w:sz w:val="20"/>
          <w:szCs w:val="20"/>
        </w:rPr>
        <w:t>season</w:t>
      </w:r>
      <w:r w:rsidR="00903A07" w:rsidRPr="00DC52EE">
        <w:rPr>
          <w:bCs/>
          <w:sz w:val="20"/>
          <w:szCs w:val="20"/>
        </w:rPr>
        <w:t xml:space="preserve"> </w:t>
      </w:r>
      <w:r w:rsidRPr="00DC52EE">
        <w:rPr>
          <w:bCs/>
          <w:sz w:val="20"/>
          <w:szCs w:val="20"/>
        </w:rPr>
        <w:t>of</w:t>
      </w:r>
      <w:r w:rsidR="00903A07" w:rsidRPr="00DC52EE">
        <w:rPr>
          <w:bCs/>
          <w:sz w:val="20"/>
          <w:szCs w:val="20"/>
        </w:rPr>
        <w:t xml:space="preserve"> </w:t>
      </w:r>
      <w:r w:rsidRPr="00DC52EE">
        <w:rPr>
          <w:bCs/>
          <w:sz w:val="20"/>
          <w:szCs w:val="20"/>
        </w:rPr>
        <w:t>the</w:t>
      </w:r>
      <w:r w:rsidR="00903A07" w:rsidRPr="00DC52EE">
        <w:rPr>
          <w:bCs/>
          <w:sz w:val="20"/>
          <w:szCs w:val="20"/>
        </w:rPr>
        <w:t xml:space="preserve"> </w:t>
      </w:r>
      <w:r w:rsidRPr="00DC52EE">
        <w:rPr>
          <w:bCs/>
          <w:sz w:val="20"/>
          <w:szCs w:val="20"/>
        </w:rPr>
        <w:t>year.</w:t>
      </w:r>
      <w:r w:rsidR="00903A07" w:rsidRPr="00DC52EE">
        <w:rPr>
          <w:bCs/>
          <w:sz w:val="20"/>
          <w:szCs w:val="20"/>
        </w:rPr>
        <w:t xml:space="preserve"> </w:t>
      </w:r>
      <w:r w:rsidR="00EA0C01" w:rsidRPr="00DC52EE">
        <w:rPr>
          <w:iCs/>
          <w:sz w:val="20"/>
          <w:szCs w:val="20"/>
        </w:rPr>
        <w:t>Department</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Pathology</w:t>
      </w:r>
      <w:r w:rsidR="00903A07" w:rsidRPr="00DC52EE">
        <w:rPr>
          <w:iCs/>
          <w:sz w:val="20"/>
          <w:szCs w:val="20"/>
        </w:rPr>
        <w:t xml:space="preserve"> </w:t>
      </w:r>
      <w:r w:rsidRPr="00DC52EE">
        <w:rPr>
          <w:iCs/>
          <w:sz w:val="20"/>
          <w:szCs w:val="20"/>
        </w:rPr>
        <w:t>and</w:t>
      </w:r>
      <w:r w:rsidR="00903A07" w:rsidRPr="00DC52EE">
        <w:rPr>
          <w:iCs/>
          <w:sz w:val="20"/>
          <w:szCs w:val="20"/>
        </w:rPr>
        <w:t xml:space="preserve"> </w:t>
      </w:r>
      <w:r w:rsidRPr="00DC52EE">
        <w:rPr>
          <w:iCs/>
          <w:sz w:val="20"/>
          <w:szCs w:val="20"/>
        </w:rPr>
        <w:t>Parasitology,</w:t>
      </w:r>
      <w:r w:rsidR="00903A07" w:rsidRPr="00DC52EE">
        <w:rPr>
          <w:iCs/>
          <w:sz w:val="20"/>
          <w:szCs w:val="20"/>
        </w:rPr>
        <w:t xml:space="preserve"> </w:t>
      </w:r>
      <w:r w:rsidR="00EA0C01" w:rsidRPr="00DC52EE">
        <w:rPr>
          <w:iCs/>
          <w:sz w:val="20"/>
          <w:szCs w:val="20"/>
        </w:rPr>
        <w:t>Faculty</w:t>
      </w:r>
      <w:r w:rsidR="00903A07" w:rsidRPr="00DC52EE">
        <w:rPr>
          <w:iCs/>
          <w:sz w:val="20"/>
          <w:szCs w:val="20"/>
        </w:rPr>
        <w:t xml:space="preserve"> </w:t>
      </w:r>
      <w:r w:rsidR="00EA0C01" w:rsidRPr="00DC52EE">
        <w:rPr>
          <w:iCs/>
          <w:sz w:val="20"/>
          <w:szCs w:val="20"/>
        </w:rPr>
        <w:t>of</w:t>
      </w:r>
      <w:r w:rsidR="00903A07" w:rsidRPr="00DC52EE">
        <w:rPr>
          <w:iCs/>
          <w:sz w:val="20"/>
          <w:szCs w:val="20"/>
        </w:rPr>
        <w:t xml:space="preserve"> </w:t>
      </w:r>
      <w:r w:rsidR="00EA0C01" w:rsidRPr="00DC52EE">
        <w:rPr>
          <w:iCs/>
          <w:sz w:val="20"/>
          <w:szCs w:val="20"/>
        </w:rPr>
        <w:t>Veterinary</w:t>
      </w:r>
      <w:r w:rsidR="00903A07" w:rsidRPr="00DC52EE">
        <w:rPr>
          <w:iCs/>
          <w:sz w:val="20"/>
          <w:szCs w:val="20"/>
        </w:rPr>
        <w:t xml:space="preserve"> </w:t>
      </w:r>
      <w:r w:rsidR="00EA0C01" w:rsidRPr="00DC52EE">
        <w:rPr>
          <w:iCs/>
          <w:sz w:val="20"/>
          <w:szCs w:val="20"/>
        </w:rPr>
        <w:t>Medicine,</w:t>
      </w:r>
      <w:r w:rsidR="00903A07" w:rsidRPr="00DC52EE">
        <w:rPr>
          <w:iCs/>
          <w:sz w:val="20"/>
          <w:szCs w:val="20"/>
        </w:rPr>
        <w:t xml:space="preserve"> </w:t>
      </w:r>
      <w:r w:rsidRPr="00DC52EE">
        <w:rPr>
          <w:iCs/>
          <w:sz w:val="20"/>
          <w:szCs w:val="20"/>
        </w:rPr>
        <w:t>Addis</w:t>
      </w:r>
      <w:r w:rsidR="00903A07" w:rsidRPr="00DC52EE">
        <w:rPr>
          <w:iCs/>
          <w:sz w:val="20"/>
          <w:szCs w:val="20"/>
        </w:rPr>
        <w:t xml:space="preserve"> </w:t>
      </w:r>
      <w:r w:rsidRPr="00DC52EE">
        <w:rPr>
          <w:iCs/>
          <w:sz w:val="20"/>
          <w:szCs w:val="20"/>
        </w:rPr>
        <w:t>Ababa</w:t>
      </w:r>
      <w:r w:rsidR="00903A07" w:rsidRPr="00DC52EE">
        <w:rPr>
          <w:iCs/>
          <w:sz w:val="20"/>
          <w:szCs w:val="20"/>
        </w:rPr>
        <w:t xml:space="preserve"> </w:t>
      </w:r>
      <w:r w:rsidRPr="00DC52EE">
        <w:rPr>
          <w:iCs/>
          <w:sz w:val="20"/>
          <w:szCs w:val="20"/>
        </w:rPr>
        <w:t>University,</w:t>
      </w:r>
      <w:r w:rsidR="00903A07" w:rsidRPr="00DC52EE">
        <w:rPr>
          <w:iCs/>
          <w:sz w:val="20"/>
          <w:szCs w:val="20"/>
        </w:rPr>
        <w:t xml:space="preserve"> </w:t>
      </w:r>
      <w:r w:rsidR="001348E0" w:rsidRPr="00DC52EE">
        <w:rPr>
          <w:iCs/>
          <w:sz w:val="20"/>
          <w:szCs w:val="20"/>
        </w:rPr>
        <w:t>Debre</w:t>
      </w:r>
      <w:r w:rsidR="00903A07" w:rsidRPr="00DC52EE">
        <w:rPr>
          <w:iCs/>
          <w:sz w:val="20"/>
          <w:szCs w:val="20"/>
        </w:rPr>
        <w:t xml:space="preserve"> </w:t>
      </w:r>
      <w:r w:rsidR="001348E0" w:rsidRPr="00DC52EE">
        <w:rPr>
          <w:iCs/>
          <w:sz w:val="20"/>
          <w:szCs w:val="20"/>
        </w:rPr>
        <w:t>Zeit,</w:t>
      </w:r>
      <w:r w:rsidR="00903A07" w:rsidRPr="00DC52EE">
        <w:rPr>
          <w:iCs/>
          <w:sz w:val="20"/>
          <w:szCs w:val="20"/>
        </w:rPr>
        <w:t xml:space="preserve"> </w:t>
      </w:r>
      <w:r w:rsidR="001348E0" w:rsidRPr="00DC52EE">
        <w:rPr>
          <w:iCs/>
          <w:sz w:val="20"/>
          <w:szCs w:val="20"/>
        </w:rPr>
        <w:t>Ethiopia.</w:t>
      </w:r>
      <w:r w:rsidR="00903A07" w:rsidRPr="00DC52EE">
        <w:rPr>
          <w:iCs/>
          <w:sz w:val="20"/>
          <w:szCs w:val="20"/>
        </w:rPr>
        <w:t xml:space="preserve"> </w:t>
      </w:r>
    </w:p>
    <w:p w:rsidR="00903A07" w:rsidRPr="00DC52EE" w:rsidRDefault="00DF70C9"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Abebe,</w:t>
      </w:r>
      <w:r w:rsidR="00903A07" w:rsidRPr="00DC52EE">
        <w:rPr>
          <w:sz w:val="20"/>
          <w:szCs w:val="20"/>
        </w:rPr>
        <w:t xml:space="preserve"> </w:t>
      </w:r>
      <w:r w:rsidRPr="00DC52EE">
        <w:rPr>
          <w:sz w:val="20"/>
          <w:szCs w:val="20"/>
        </w:rPr>
        <w:t>W.</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Eseyas,</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(2001):</w:t>
      </w:r>
      <w:r w:rsidR="00903A07" w:rsidRPr="00DC52EE">
        <w:rPr>
          <w:sz w:val="20"/>
          <w:szCs w:val="20"/>
        </w:rPr>
        <w:t xml:space="preserve"> </w:t>
      </w:r>
      <w:r w:rsidRPr="00DC52EE">
        <w:rPr>
          <w:sz w:val="20"/>
          <w:szCs w:val="20"/>
        </w:rPr>
        <w:t>Survey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caprine</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helminthosis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eastern</w:t>
      </w:r>
      <w:r w:rsidR="00903A07" w:rsidRPr="00DC52EE">
        <w:rPr>
          <w:sz w:val="20"/>
          <w:szCs w:val="20"/>
        </w:rPr>
        <w:t xml:space="preserve"> </w:t>
      </w:r>
      <w:r w:rsidRPr="00DC52EE">
        <w:rPr>
          <w:sz w:val="20"/>
          <w:szCs w:val="20"/>
        </w:rPr>
        <w:t>part</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during</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dry</w:t>
      </w:r>
      <w:r w:rsidR="00903A07" w:rsidRPr="00DC52EE">
        <w:rPr>
          <w:sz w:val="20"/>
          <w:szCs w:val="20"/>
        </w:rPr>
        <w:t xml:space="preserve"> </w:t>
      </w:r>
      <w:r w:rsidRPr="00DC52EE">
        <w:rPr>
          <w:sz w:val="20"/>
          <w:szCs w:val="20"/>
        </w:rPr>
        <w:t>season</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year.</w:t>
      </w:r>
      <w:r w:rsidR="00903A07" w:rsidRPr="00DC52EE">
        <w:rPr>
          <w:sz w:val="20"/>
          <w:szCs w:val="20"/>
        </w:rPr>
        <w:t xml:space="preserve"> </w:t>
      </w:r>
      <w:r w:rsidR="00A850EC" w:rsidRPr="00DC52EE">
        <w:rPr>
          <w:i/>
          <w:sz w:val="20"/>
          <w:szCs w:val="20"/>
        </w:rPr>
        <w:t>Revue.</w:t>
      </w:r>
      <w:r w:rsidR="00903A07" w:rsidRPr="00DC52EE">
        <w:rPr>
          <w:i/>
          <w:sz w:val="20"/>
          <w:szCs w:val="20"/>
        </w:rPr>
        <w:t xml:space="preserve"> </w:t>
      </w:r>
      <w:r w:rsidR="00A850EC" w:rsidRPr="00DC52EE">
        <w:rPr>
          <w:i/>
          <w:sz w:val="20"/>
          <w:szCs w:val="20"/>
        </w:rPr>
        <w:t>Med.</w:t>
      </w:r>
      <w:r w:rsidR="00903A07" w:rsidRPr="00DC52EE">
        <w:rPr>
          <w:i/>
          <w:sz w:val="20"/>
          <w:szCs w:val="20"/>
        </w:rPr>
        <w:t xml:space="preserve"> </w:t>
      </w:r>
      <w:r w:rsidR="00C51EDA" w:rsidRPr="00DC52EE">
        <w:rPr>
          <w:i/>
          <w:sz w:val="20"/>
          <w:szCs w:val="20"/>
        </w:rPr>
        <w:t>Vet</w:t>
      </w:r>
      <w:r w:rsidRPr="00DC52EE">
        <w:rPr>
          <w:sz w:val="20"/>
          <w:szCs w:val="20"/>
        </w:rPr>
        <w:t>.</w:t>
      </w:r>
      <w:r w:rsidR="00903A07" w:rsidRPr="00DC52EE">
        <w:rPr>
          <w:sz w:val="20"/>
          <w:szCs w:val="20"/>
        </w:rPr>
        <w:t xml:space="preserve"> </w:t>
      </w:r>
      <w:r w:rsidRPr="00DC52EE">
        <w:rPr>
          <w:sz w:val="20"/>
          <w:szCs w:val="20"/>
        </w:rPr>
        <w:t>152(5):379-</w:t>
      </w:r>
      <w:r w:rsidR="00BA55AC" w:rsidRPr="00DC52EE">
        <w:rPr>
          <w:sz w:val="20"/>
          <w:szCs w:val="20"/>
        </w:rPr>
        <w:t>38</w:t>
      </w:r>
      <w:r w:rsidRPr="00DC52EE">
        <w:rPr>
          <w:sz w:val="20"/>
          <w:szCs w:val="20"/>
        </w:rPr>
        <w:t>5</w:t>
      </w:r>
      <w:r w:rsidR="00BB7760" w:rsidRPr="00DC52EE">
        <w:rPr>
          <w:rFonts w:hint="eastAsia"/>
          <w:sz w:val="20"/>
          <w:szCs w:val="20"/>
          <w:lang w:eastAsia="zh-CN"/>
        </w:rPr>
        <w:t>.</w:t>
      </w:r>
    </w:p>
    <w:p w:rsidR="00903A07" w:rsidRPr="00DC52EE" w:rsidRDefault="00EA0C01" w:rsidP="00BB7760">
      <w:pPr>
        <w:pStyle w:val="ListParagraph"/>
        <w:numPr>
          <w:ilvl w:val="0"/>
          <w:numId w:val="21"/>
        </w:numPr>
        <w:snapToGrid w:val="0"/>
        <w:spacing w:after="0" w:line="240" w:lineRule="auto"/>
        <w:ind w:left="425" w:hanging="425"/>
        <w:jc w:val="both"/>
        <w:rPr>
          <w:sz w:val="20"/>
          <w:szCs w:val="20"/>
        </w:rPr>
      </w:pPr>
      <w:r w:rsidRPr="00DC52EE">
        <w:rPr>
          <w:sz w:val="20"/>
          <w:szCs w:val="20"/>
        </w:rPr>
        <w:t>Ademosum</w:t>
      </w:r>
      <w:r w:rsidR="000237BF" w:rsidRPr="00DC52EE">
        <w:rPr>
          <w:sz w:val="20"/>
          <w:szCs w:val="20"/>
        </w:rPr>
        <w:t>,</w:t>
      </w:r>
      <w:r w:rsidR="00903A07" w:rsidRPr="00DC52EE">
        <w:rPr>
          <w:sz w:val="20"/>
          <w:szCs w:val="20"/>
        </w:rPr>
        <w:t xml:space="preserve"> </w:t>
      </w:r>
      <w:r w:rsidR="000237BF" w:rsidRPr="00DC52EE">
        <w:rPr>
          <w:sz w:val="20"/>
          <w:szCs w:val="20"/>
        </w:rPr>
        <w:t>A.</w:t>
      </w:r>
      <w:r w:rsidR="00903A07" w:rsidRPr="00DC52EE">
        <w:rPr>
          <w:sz w:val="20"/>
          <w:szCs w:val="20"/>
        </w:rPr>
        <w:t xml:space="preserve"> </w:t>
      </w:r>
      <w:r w:rsidR="000237BF" w:rsidRPr="00DC52EE">
        <w:rPr>
          <w:sz w:val="20"/>
          <w:szCs w:val="20"/>
        </w:rPr>
        <w:t>(1992):</w:t>
      </w:r>
      <w:r w:rsidR="00903A07" w:rsidRPr="00DC52EE">
        <w:rPr>
          <w:sz w:val="20"/>
          <w:szCs w:val="20"/>
        </w:rPr>
        <w:t xml:space="preserve"> </w:t>
      </w:r>
      <w:r w:rsidR="000237BF" w:rsidRPr="00DC52EE">
        <w:rPr>
          <w:sz w:val="20"/>
          <w:szCs w:val="20"/>
        </w:rPr>
        <w:t>Constraints</w:t>
      </w:r>
      <w:r w:rsidR="00903A07" w:rsidRPr="00DC52EE">
        <w:rPr>
          <w:sz w:val="20"/>
          <w:szCs w:val="20"/>
        </w:rPr>
        <w:t xml:space="preserve"> </w:t>
      </w:r>
      <w:r w:rsidR="000237BF" w:rsidRPr="00DC52EE">
        <w:rPr>
          <w:sz w:val="20"/>
          <w:szCs w:val="20"/>
        </w:rPr>
        <w:t>and</w:t>
      </w:r>
      <w:r w:rsidR="00903A07" w:rsidRPr="00DC52EE">
        <w:rPr>
          <w:sz w:val="20"/>
          <w:szCs w:val="20"/>
        </w:rPr>
        <w:t xml:space="preserve"> </w:t>
      </w:r>
      <w:r w:rsidR="000237BF" w:rsidRPr="00DC52EE">
        <w:rPr>
          <w:sz w:val="20"/>
          <w:szCs w:val="20"/>
        </w:rPr>
        <w:t>prospects</w:t>
      </w:r>
      <w:r w:rsidR="00903A07" w:rsidRPr="00DC52EE">
        <w:rPr>
          <w:sz w:val="20"/>
          <w:szCs w:val="20"/>
        </w:rPr>
        <w:t xml:space="preserve"> </w:t>
      </w:r>
      <w:r w:rsidR="000237BF" w:rsidRPr="00DC52EE">
        <w:rPr>
          <w:sz w:val="20"/>
          <w:szCs w:val="20"/>
        </w:rPr>
        <w:t>for</w:t>
      </w:r>
      <w:r w:rsidR="00903A07" w:rsidRPr="00DC52EE">
        <w:rPr>
          <w:sz w:val="20"/>
          <w:szCs w:val="20"/>
        </w:rPr>
        <w:t xml:space="preserve"> </w:t>
      </w:r>
      <w:r w:rsidR="000237BF" w:rsidRPr="00DC52EE">
        <w:rPr>
          <w:sz w:val="20"/>
          <w:szCs w:val="20"/>
        </w:rPr>
        <w:t>small</w:t>
      </w:r>
      <w:r w:rsidR="00903A07" w:rsidRPr="00DC52EE">
        <w:rPr>
          <w:sz w:val="20"/>
          <w:szCs w:val="20"/>
        </w:rPr>
        <w:t xml:space="preserve"> </w:t>
      </w:r>
      <w:r w:rsidR="000237BF" w:rsidRPr="00DC52EE">
        <w:rPr>
          <w:sz w:val="20"/>
          <w:szCs w:val="20"/>
        </w:rPr>
        <w:t>ruminant’s</w:t>
      </w:r>
      <w:r w:rsidR="00903A07" w:rsidRPr="00DC52EE">
        <w:rPr>
          <w:sz w:val="20"/>
          <w:szCs w:val="20"/>
        </w:rPr>
        <w:t xml:space="preserve"> </w:t>
      </w:r>
      <w:r w:rsidR="000237BF" w:rsidRPr="00DC52EE">
        <w:rPr>
          <w:sz w:val="20"/>
          <w:szCs w:val="20"/>
        </w:rPr>
        <w:t>research</w:t>
      </w:r>
      <w:r w:rsidR="00903A07" w:rsidRPr="00DC52EE">
        <w:rPr>
          <w:sz w:val="20"/>
          <w:szCs w:val="20"/>
        </w:rPr>
        <w:t xml:space="preserve"> </w:t>
      </w:r>
      <w:r w:rsidR="000237BF" w:rsidRPr="00DC52EE">
        <w:rPr>
          <w:sz w:val="20"/>
          <w:szCs w:val="20"/>
        </w:rPr>
        <w:t>and</w:t>
      </w:r>
      <w:r w:rsidR="00903A07" w:rsidRPr="00DC52EE">
        <w:rPr>
          <w:sz w:val="20"/>
          <w:szCs w:val="20"/>
        </w:rPr>
        <w:t xml:space="preserve"> </w:t>
      </w:r>
      <w:r w:rsidR="000237BF" w:rsidRPr="00DC52EE">
        <w:rPr>
          <w:sz w:val="20"/>
          <w:szCs w:val="20"/>
        </w:rPr>
        <w:t>development</w:t>
      </w:r>
      <w:r w:rsidR="00903A07" w:rsidRPr="00DC52EE">
        <w:rPr>
          <w:sz w:val="20"/>
          <w:szCs w:val="20"/>
        </w:rPr>
        <w:t xml:space="preserve"> </w:t>
      </w:r>
      <w:r w:rsidR="000237BF" w:rsidRPr="00DC52EE">
        <w:rPr>
          <w:sz w:val="20"/>
          <w:szCs w:val="20"/>
        </w:rPr>
        <w:t>in</w:t>
      </w:r>
      <w:r w:rsidR="00903A07" w:rsidRPr="00DC52EE">
        <w:rPr>
          <w:sz w:val="20"/>
          <w:szCs w:val="20"/>
        </w:rPr>
        <w:t xml:space="preserve"> </w:t>
      </w:r>
      <w:r w:rsidR="000237BF" w:rsidRPr="00DC52EE">
        <w:rPr>
          <w:sz w:val="20"/>
          <w:szCs w:val="20"/>
        </w:rPr>
        <w:t>Africa.</w:t>
      </w:r>
      <w:r w:rsidR="00903A07" w:rsidRPr="00DC52EE">
        <w:rPr>
          <w:sz w:val="20"/>
          <w:szCs w:val="20"/>
        </w:rPr>
        <w:t xml:space="preserve"> </w:t>
      </w:r>
      <w:r w:rsidR="00AE0E40" w:rsidRPr="00DC52EE">
        <w:rPr>
          <w:i/>
          <w:sz w:val="20"/>
          <w:szCs w:val="20"/>
        </w:rPr>
        <w:t>Sma</w:t>
      </w:r>
      <w:r w:rsidR="000237BF" w:rsidRPr="00DC52EE">
        <w:rPr>
          <w:i/>
          <w:sz w:val="20"/>
          <w:szCs w:val="20"/>
        </w:rPr>
        <w:t>.Rum.Dev.Afr</w:t>
      </w:r>
      <w:r w:rsidR="003F6714" w:rsidRPr="00DC52EE">
        <w:rPr>
          <w:i/>
          <w:sz w:val="20"/>
          <w:szCs w:val="20"/>
        </w:rPr>
        <w:t>i</w:t>
      </w:r>
      <w:r w:rsidR="006471F3" w:rsidRPr="00DC52EE">
        <w:rPr>
          <w:sz w:val="20"/>
          <w:szCs w:val="20"/>
        </w:rPr>
        <w:t>.</w:t>
      </w:r>
      <w:r w:rsidR="00903A07" w:rsidRPr="00DC52EE">
        <w:rPr>
          <w:sz w:val="20"/>
          <w:szCs w:val="20"/>
        </w:rPr>
        <w:t xml:space="preserve"> </w:t>
      </w:r>
      <w:r w:rsidR="006E01E5" w:rsidRPr="00DC52EE">
        <w:rPr>
          <w:sz w:val="20"/>
          <w:szCs w:val="20"/>
        </w:rPr>
        <w:t>1</w:t>
      </w:r>
      <w:r w:rsidR="000237BF" w:rsidRPr="00DC52EE">
        <w:rPr>
          <w:sz w:val="20"/>
          <w:szCs w:val="20"/>
        </w:rPr>
        <w:t>:</w:t>
      </w:r>
      <w:r w:rsidR="00903A07" w:rsidRPr="00DC52EE">
        <w:rPr>
          <w:sz w:val="20"/>
          <w:szCs w:val="20"/>
        </w:rPr>
        <w:t xml:space="preserve"> </w:t>
      </w:r>
      <w:r w:rsidR="000237BF" w:rsidRPr="00DC52EE">
        <w:rPr>
          <w:sz w:val="20"/>
          <w:szCs w:val="20"/>
        </w:rPr>
        <w:t>1-5.</w:t>
      </w:r>
    </w:p>
    <w:p w:rsidR="00903A07" w:rsidRPr="00DC52EE" w:rsidRDefault="00934298" w:rsidP="00BB7760">
      <w:pPr>
        <w:pStyle w:val="ListParagraph"/>
        <w:numPr>
          <w:ilvl w:val="0"/>
          <w:numId w:val="21"/>
        </w:numPr>
        <w:snapToGrid w:val="0"/>
        <w:spacing w:after="0" w:line="240" w:lineRule="auto"/>
        <w:ind w:left="425" w:hanging="425"/>
        <w:jc w:val="both"/>
        <w:rPr>
          <w:rFonts w:eastAsia="Times New Roman"/>
          <w:sz w:val="20"/>
          <w:szCs w:val="20"/>
        </w:rPr>
      </w:pPr>
      <w:r w:rsidRPr="00DC52EE">
        <w:rPr>
          <w:rFonts w:eastAsia="Times New Roman"/>
          <w:sz w:val="20"/>
          <w:szCs w:val="20"/>
        </w:rPr>
        <w:t>Alemayehu,</w:t>
      </w:r>
      <w:r w:rsidR="00903A07" w:rsidRPr="00DC52EE">
        <w:rPr>
          <w:rFonts w:eastAsia="Times New Roman"/>
          <w:sz w:val="20"/>
          <w:szCs w:val="20"/>
        </w:rPr>
        <w:t xml:space="preserve"> </w:t>
      </w:r>
      <w:r w:rsidRPr="00DC52EE">
        <w:rPr>
          <w:rFonts w:eastAsia="Times New Roman"/>
          <w:sz w:val="20"/>
          <w:szCs w:val="20"/>
        </w:rPr>
        <w:t>Z.</w:t>
      </w:r>
      <w:r w:rsidR="00903A07" w:rsidRPr="00DC52EE">
        <w:rPr>
          <w:rFonts w:eastAsia="Times New Roman"/>
          <w:sz w:val="20"/>
          <w:szCs w:val="20"/>
        </w:rPr>
        <w:t xml:space="preserve"> </w:t>
      </w:r>
      <w:r w:rsidRPr="00DC52EE">
        <w:rPr>
          <w:rFonts w:eastAsia="Times New Roman"/>
          <w:sz w:val="20"/>
          <w:szCs w:val="20"/>
        </w:rPr>
        <w:t>and</w:t>
      </w:r>
      <w:r w:rsidR="00903A07" w:rsidRPr="00DC52EE">
        <w:rPr>
          <w:rFonts w:eastAsia="Times New Roman"/>
          <w:sz w:val="20"/>
          <w:szCs w:val="20"/>
        </w:rPr>
        <w:t xml:space="preserve"> </w:t>
      </w:r>
      <w:r w:rsidRPr="00DC52EE">
        <w:rPr>
          <w:rFonts w:eastAsia="Times New Roman"/>
          <w:sz w:val="20"/>
          <w:szCs w:val="20"/>
        </w:rPr>
        <w:t>Fletcher,</w:t>
      </w:r>
      <w:r w:rsidR="00903A07" w:rsidRPr="00DC52EE">
        <w:rPr>
          <w:rFonts w:eastAsia="Times New Roman"/>
          <w:sz w:val="20"/>
          <w:szCs w:val="20"/>
        </w:rPr>
        <w:t xml:space="preserve"> </w:t>
      </w:r>
      <w:r w:rsidRPr="00DC52EE">
        <w:rPr>
          <w:rFonts w:eastAsia="Times New Roman"/>
          <w:sz w:val="20"/>
          <w:szCs w:val="20"/>
        </w:rPr>
        <w:t>I.</w:t>
      </w:r>
      <w:r w:rsidR="00903A07" w:rsidRPr="00DC52EE">
        <w:rPr>
          <w:rFonts w:eastAsia="Times New Roman"/>
          <w:sz w:val="20"/>
          <w:szCs w:val="20"/>
        </w:rPr>
        <w:t xml:space="preserve"> </w:t>
      </w:r>
      <w:r w:rsidRPr="00DC52EE">
        <w:rPr>
          <w:rFonts w:eastAsia="Times New Roman"/>
          <w:sz w:val="20"/>
          <w:szCs w:val="20"/>
        </w:rPr>
        <w:t>(1995):</w:t>
      </w:r>
      <w:r w:rsidR="00903A07" w:rsidRPr="00DC52EE">
        <w:rPr>
          <w:rFonts w:eastAsia="Times New Roman"/>
          <w:sz w:val="20"/>
          <w:szCs w:val="20"/>
        </w:rPr>
        <w:t xml:space="preserve"> </w:t>
      </w:r>
      <w:r w:rsidRPr="00DC52EE">
        <w:rPr>
          <w:rFonts w:eastAsia="Times New Roman"/>
          <w:sz w:val="20"/>
          <w:szCs w:val="20"/>
        </w:rPr>
        <w:t>Small</w:t>
      </w:r>
      <w:r w:rsidR="00903A07" w:rsidRPr="00DC52EE">
        <w:rPr>
          <w:rFonts w:eastAsia="Times New Roman"/>
          <w:sz w:val="20"/>
          <w:szCs w:val="20"/>
        </w:rPr>
        <w:t xml:space="preserve"> </w:t>
      </w:r>
      <w:r w:rsidRPr="00DC52EE">
        <w:rPr>
          <w:rFonts w:eastAsia="Times New Roman"/>
          <w:sz w:val="20"/>
          <w:szCs w:val="20"/>
        </w:rPr>
        <w:t>ruminant</w:t>
      </w:r>
      <w:r w:rsidR="00903A07" w:rsidRPr="00DC52EE">
        <w:rPr>
          <w:rFonts w:eastAsia="Times New Roman"/>
          <w:sz w:val="20"/>
          <w:szCs w:val="20"/>
        </w:rPr>
        <w:t xml:space="preserve"> </w:t>
      </w:r>
      <w:r w:rsidRPr="00DC52EE">
        <w:rPr>
          <w:rFonts w:eastAsia="Times New Roman"/>
          <w:sz w:val="20"/>
          <w:szCs w:val="20"/>
        </w:rPr>
        <w:t>productivity</w:t>
      </w:r>
      <w:r w:rsidR="00903A07" w:rsidRPr="00DC52EE">
        <w:rPr>
          <w:rFonts w:eastAsia="Times New Roman"/>
          <w:sz w:val="20"/>
          <w:szCs w:val="20"/>
        </w:rPr>
        <w:t xml:space="preserve"> </w:t>
      </w:r>
      <w:r w:rsidRPr="00DC52EE">
        <w:rPr>
          <w:rFonts w:eastAsia="Times New Roman"/>
          <w:sz w:val="20"/>
          <w:szCs w:val="20"/>
        </w:rPr>
        <w:t>in</w:t>
      </w:r>
      <w:r w:rsidR="00903A07" w:rsidRPr="00DC52EE">
        <w:rPr>
          <w:rFonts w:eastAsia="Times New Roman"/>
          <w:sz w:val="20"/>
          <w:szCs w:val="20"/>
        </w:rPr>
        <w:t xml:space="preserve"> </w:t>
      </w:r>
      <w:r w:rsidRPr="00DC52EE">
        <w:rPr>
          <w:rFonts w:eastAsia="Times New Roman"/>
          <w:sz w:val="20"/>
          <w:szCs w:val="20"/>
        </w:rPr>
        <w:t>the</w:t>
      </w:r>
      <w:r w:rsidR="00903A07" w:rsidRPr="00DC52EE">
        <w:rPr>
          <w:rFonts w:eastAsia="Times New Roman"/>
          <w:sz w:val="20"/>
          <w:szCs w:val="20"/>
        </w:rPr>
        <w:t xml:space="preserve"> </w:t>
      </w:r>
      <w:r w:rsidRPr="00DC52EE">
        <w:rPr>
          <w:rFonts w:eastAsia="Times New Roman"/>
          <w:sz w:val="20"/>
          <w:szCs w:val="20"/>
        </w:rPr>
        <w:t>central</w:t>
      </w:r>
      <w:r w:rsidR="00903A07" w:rsidRPr="00DC52EE">
        <w:rPr>
          <w:rFonts w:eastAsia="Times New Roman"/>
          <w:sz w:val="20"/>
          <w:szCs w:val="20"/>
        </w:rPr>
        <w:t xml:space="preserve"> </w:t>
      </w:r>
      <w:r w:rsidRPr="00DC52EE">
        <w:rPr>
          <w:rFonts w:eastAsia="Times New Roman"/>
          <w:sz w:val="20"/>
          <w:szCs w:val="20"/>
        </w:rPr>
        <w:t>Ethiopian</w:t>
      </w:r>
      <w:r w:rsidR="00903A07" w:rsidRPr="00DC52EE">
        <w:rPr>
          <w:rFonts w:eastAsia="Times New Roman"/>
          <w:sz w:val="20"/>
          <w:szCs w:val="20"/>
        </w:rPr>
        <w:t xml:space="preserve"> </w:t>
      </w:r>
      <w:r w:rsidRPr="00DC52EE">
        <w:rPr>
          <w:rFonts w:eastAsia="Times New Roman"/>
          <w:sz w:val="20"/>
          <w:szCs w:val="20"/>
        </w:rPr>
        <w:t>mixed</w:t>
      </w:r>
      <w:r w:rsidR="00903A07" w:rsidRPr="00DC52EE">
        <w:rPr>
          <w:rFonts w:eastAsia="Times New Roman"/>
          <w:sz w:val="20"/>
          <w:szCs w:val="20"/>
        </w:rPr>
        <w:t xml:space="preserve"> </w:t>
      </w:r>
      <w:r w:rsidRPr="00DC52EE">
        <w:rPr>
          <w:rFonts w:eastAsia="Times New Roman"/>
          <w:sz w:val="20"/>
          <w:szCs w:val="20"/>
        </w:rPr>
        <w:t>farming</w:t>
      </w:r>
      <w:r w:rsidR="00903A07" w:rsidRPr="00DC52EE">
        <w:rPr>
          <w:rFonts w:eastAsia="Times New Roman"/>
          <w:sz w:val="20"/>
          <w:szCs w:val="20"/>
        </w:rPr>
        <w:t xml:space="preserve"> </w:t>
      </w:r>
      <w:r w:rsidRPr="00DC52EE">
        <w:rPr>
          <w:rFonts w:eastAsia="Times New Roman"/>
          <w:sz w:val="20"/>
          <w:szCs w:val="20"/>
        </w:rPr>
        <w:t>system.</w:t>
      </w:r>
      <w:r w:rsidR="00903A07" w:rsidRPr="00DC52EE">
        <w:rPr>
          <w:rFonts w:eastAsia="Times New Roman"/>
          <w:sz w:val="20"/>
          <w:szCs w:val="20"/>
        </w:rPr>
        <w:t xml:space="preserve"> </w:t>
      </w:r>
      <w:r w:rsidR="00CD05FB" w:rsidRPr="00DC52EE">
        <w:rPr>
          <w:rFonts w:eastAsia="Times New Roman"/>
          <w:i/>
          <w:sz w:val="20"/>
          <w:szCs w:val="20"/>
        </w:rPr>
        <w:t>Insti.</w:t>
      </w:r>
      <w:r w:rsidR="00903A07" w:rsidRPr="00DC52EE">
        <w:rPr>
          <w:rFonts w:eastAsia="Times New Roman"/>
          <w:i/>
          <w:sz w:val="20"/>
          <w:szCs w:val="20"/>
        </w:rPr>
        <w:t xml:space="preserve"> </w:t>
      </w:r>
      <w:r w:rsidR="00935FC9" w:rsidRPr="00DC52EE">
        <w:rPr>
          <w:rFonts w:eastAsia="Times New Roman"/>
          <w:i/>
          <w:sz w:val="20"/>
          <w:szCs w:val="20"/>
        </w:rPr>
        <w:t>O</w:t>
      </w:r>
      <w:r w:rsidR="00CD05FB" w:rsidRPr="00DC52EE">
        <w:rPr>
          <w:rFonts w:eastAsia="Times New Roman"/>
          <w:i/>
          <w:sz w:val="20"/>
          <w:szCs w:val="20"/>
        </w:rPr>
        <w:t>f</w:t>
      </w:r>
      <w:r w:rsidR="00903A07" w:rsidRPr="00DC52EE">
        <w:rPr>
          <w:rFonts w:eastAsia="Times New Roman"/>
          <w:i/>
          <w:sz w:val="20"/>
          <w:szCs w:val="20"/>
        </w:rPr>
        <w:t xml:space="preserve"> </w:t>
      </w:r>
      <w:r w:rsidR="00CD05FB" w:rsidRPr="00DC52EE">
        <w:rPr>
          <w:rFonts w:eastAsia="Times New Roman"/>
          <w:i/>
          <w:sz w:val="20"/>
          <w:szCs w:val="20"/>
        </w:rPr>
        <w:t>agricul.</w:t>
      </w:r>
      <w:r w:rsidR="00903A07" w:rsidRPr="00DC52EE">
        <w:rPr>
          <w:rFonts w:eastAsia="Times New Roman"/>
          <w:i/>
          <w:sz w:val="20"/>
          <w:szCs w:val="20"/>
        </w:rPr>
        <w:t xml:space="preserve"> </w:t>
      </w:r>
      <w:r w:rsidR="00CD05FB" w:rsidRPr="00DC52EE">
        <w:rPr>
          <w:rFonts w:eastAsia="Times New Roman"/>
          <w:i/>
          <w:sz w:val="20"/>
          <w:szCs w:val="20"/>
        </w:rPr>
        <w:t>proceed.,</w:t>
      </w:r>
      <w:r w:rsidR="00903A07" w:rsidRPr="00DC52EE">
        <w:rPr>
          <w:rFonts w:eastAsia="Times New Roman"/>
          <w:i/>
          <w:sz w:val="20"/>
          <w:szCs w:val="20"/>
        </w:rPr>
        <w:t xml:space="preserve"> </w:t>
      </w:r>
      <w:r w:rsidRPr="00DC52EE">
        <w:rPr>
          <w:rFonts w:eastAsia="Times New Roman"/>
          <w:sz w:val="20"/>
          <w:szCs w:val="20"/>
        </w:rPr>
        <w:t>4:1941-1947.</w:t>
      </w:r>
      <w:r w:rsidR="00903A07" w:rsidRPr="00DC52EE">
        <w:rPr>
          <w:rFonts w:eastAsia="Times New Roman"/>
          <w:sz w:val="20"/>
          <w:szCs w:val="20"/>
        </w:rPr>
        <w:t xml:space="preserve"> </w:t>
      </w:r>
    </w:p>
    <w:p w:rsidR="00903A07" w:rsidRPr="00DC52EE" w:rsidRDefault="00A3782A"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Asif,</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Azeem,</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Asif,</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Nazir,</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(2008):</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Rawalpindi</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Islamabad.</w:t>
      </w:r>
      <w:r w:rsidR="00903A07" w:rsidRPr="00DC52EE">
        <w:rPr>
          <w:sz w:val="20"/>
          <w:szCs w:val="20"/>
        </w:rPr>
        <w:t xml:space="preserve"> </w:t>
      </w:r>
      <w:r w:rsidRPr="00DC52EE">
        <w:rPr>
          <w:i/>
          <w:sz w:val="20"/>
          <w:szCs w:val="20"/>
        </w:rPr>
        <w:t>Pak.</w:t>
      </w:r>
      <w:r w:rsidR="00903A07" w:rsidRPr="00DC52EE">
        <w:rPr>
          <w:i/>
          <w:sz w:val="20"/>
          <w:szCs w:val="20"/>
        </w:rPr>
        <w:t xml:space="preserve"> </w:t>
      </w:r>
      <w:r w:rsidRPr="00DC52EE">
        <w:rPr>
          <w:i/>
          <w:sz w:val="20"/>
          <w:szCs w:val="20"/>
        </w:rPr>
        <w:t>J</w:t>
      </w:r>
      <w:r w:rsidR="003F6714" w:rsidRPr="00DC52EE">
        <w:rPr>
          <w:i/>
          <w:sz w:val="20"/>
          <w:szCs w:val="20"/>
        </w:rPr>
        <w:t>ou</w:t>
      </w:r>
      <w:r w:rsidRPr="00DC52EE">
        <w:rPr>
          <w:i/>
          <w:sz w:val="20"/>
          <w:szCs w:val="20"/>
        </w:rPr>
        <w:t>.</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Anim.</w:t>
      </w:r>
      <w:r w:rsidR="00903A07" w:rsidRPr="00DC52EE">
        <w:rPr>
          <w:i/>
          <w:sz w:val="20"/>
          <w:szCs w:val="20"/>
        </w:rPr>
        <w:t xml:space="preserve"> </w:t>
      </w:r>
      <w:r w:rsidRPr="00DC52EE">
        <w:rPr>
          <w:i/>
          <w:sz w:val="20"/>
          <w:szCs w:val="20"/>
        </w:rPr>
        <w:t>Sci</w:t>
      </w:r>
      <w:r w:rsidRPr="00DC52EE">
        <w:rPr>
          <w:sz w:val="20"/>
          <w:szCs w:val="20"/>
        </w:rPr>
        <w:t>.1:</w:t>
      </w:r>
      <w:r w:rsidR="00903A07" w:rsidRPr="00DC52EE">
        <w:rPr>
          <w:sz w:val="20"/>
          <w:szCs w:val="20"/>
        </w:rPr>
        <w:t xml:space="preserve"> </w:t>
      </w:r>
      <w:r w:rsidRPr="00DC52EE">
        <w:rPr>
          <w:sz w:val="20"/>
          <w:szCs w:val="20"/>
        </w:rPr>
        <w:t>14-17.</w:t>
      </w:r>
    </w:p>
    <w:p w:rsidR="00903A07" w:rsidRPr="00DC52EE" w:rsidRDefault="00DF70C9" w:rsidP="00BB7760">
      <w:pPr>
        <w:pStyle w:val="ListParagraph"/>
        <w:numPr>
          <w:ilvl w:val="0"/>
          <w:numId w:val="21"/>
        </w:numPr>
        <w:snapToGrid w:val="0"/>
        <w:spacing w:after="0" w:line="240" w:lineRule="auto"/>
        <w:ind w:left="425" w:hanging="425"/>
        <w:jc w:val="both"/>
        <w:rPr>
          <w:sz w:val="20"/>
          <w:szCs w:val="20"/>
        </w:rPr>
      </w:pPr>
      <w:r w:rsidRPr="00DC52EE">
        <w:rPr>
          <w:sz w:val="20"/>
          <w:szCs w:val="20"/>
        </w:rPr>
        <w:t>Asmare,</w:t>
      </w:r>
      <w:r w:rsidR="00903A07" w:rsidRPr="00DC52EE">
        <w:rPr>
          <w:sz w:val="20"/>
          <w:szCs w:val="20"/>
        </w:rPr>
        <w:t xml:space="preserve"> </w:t>
      </w:r>
      <w:r w:rsidRPr="00DC52EE">
        <w:rPr>
          <w:sz w:val="20"/>
          <w:szCs w:val="20"/>
        </w:rPr>
        <w:t>K.</w:t>
      </w:r>
      <w:r w:rsidR="00903A07" w:rsidRPr="00DC52EE">
        <w:rPr>
          <w:sz w:val="20"/>
          <w:szCs w:val="20"/>
        </w:rPr>
        <w:t xml:space="preserve"> </w:t>
      </w:r>
      <w:r w:rsidRPr="00DC52EE">
        <w:rPr>
          <w:sz w:val="20"/>
          <w:szCs w:val="20"/>
        </w:rPr>
        <w:t>Gelaye,</w:t>
      </w:r>
      <w:r w:rsidR="00903A07" w:rsidRPr="00DC52EE">
        <w:rPr>
          <w:sz w:val="20"/>
          <w:szCs w:val="20"/>
        </w:rPr>
        <w:t xml:space="preserve"> </w:t>
      </w:r>
      <w:r w:rsidRPr="00DC52EE">
        <w:rPr>
          <w:sz w:val="20"/>
          <w:szCs w:val="20"/>
        </w:rPr>
        <w:t>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Ayelet,</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(2005):</w:t>
      </w:r>
      <w:r w:rsidR="00903A07" w:rsidRPr="00DC52EE">
        <w:rPr>
          <w:sz w:val="20"/>
          <w:szCs w:val="20"/>
        </w:rPr>
        <w:t xml:space="preserve"> </w:t>
      </w:r>
      <w:r w:rsidRPr="00DC52EE">
        <w:rPr>
          <w:sz w:val="20"/>
          <w:szCs w:val="20"/>
        </w:rPr>
        <w:t>Antihelminthic</w:t>
      </w:r>
      <w:r w:rsidR="00903A07" w:rsidRPr="00DC52EE">
        <w:rPr>
          <w:sz w:val="20"/>
          <w:szCs w:val="20"/>
        </w:rPr>
        <w:t xml:space="preserve"> </w:t>
      </w:r>
      <w:r w:rsidRPr="00DC52EE">
        <w:rPr>
          <w:sz w:val="20"/>
          <w:szCs w:val="20"/>
        </w:rPr>
        <w:t>resistance</w:t>
      </w:r>
      <w:r w:rsidR="00903A07" w:rsidRPr="00DC52EE">
        <w:rPr>
          <w:sz w:val="20"/>
          <w:szCs w:val="20"/>
        </w:rPr>
        <w:t xml:space="preserve"> </w:t>
      </w:r>
      <w:r w:rsidRPr="00DC52EE">
        <w:rPr>
          <w:sz w:val="20"/>
          <w:szCs w:val="20"/>
        </w:rPr>
        <w:t>test</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nematodes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southern</w:t>
      </w:r>
      <w:r w:rsidR="00903A07" w:rsidRPr="00DC52EE">
        <w:rPr>
          <w:sz w:val="20"/>
          <w:szCs w:val="20"/>
        </w:rPr>
        <w:t xml:space="preserve"> </w:t>
      </w:r>
      <w:r w:rsidRPr="00DC52EE">
        <w:rPr>
          <w:sz w:val="20"/>
          <w:szCs w:val="20"/>
        </w:rPr>
        <w:t>Ethiopia.</w:t>
      </w:r>
      <w:r w:rsidR="00903A07" w:rsidRPr="00DC52EE">
        <w:rPr>
          <w:sz w:val="20"/>
          <w:szCs w:val="20"/>
        </w:rPr>
        <w:t xml:space="preserve"> </w:t>
      </w:r>
      <w:r w:rsidR="00A07551" w:rsidRPr="00DC52EE">
        <w:rPr>
          <w:i/>
          <w:sz w:val="20"/>
          <w:szCs w:val="20"/>
        </w:rPr>
        <w:t>Bulle.</w:t>
      </w:r>
      <w:r w:rsidR="00903A07" w:rsidRPr="00DC52EE">
        <w:rPr>
          <w:i/>
          <w:sz w:val="20"/>
          <w:szCs w:val="20"/>
        </w:rPr>
        <w:t xml:space="preserve"> </w:t>
      </w:r>
      <w:r w:rsidR="00A07551" w:rsidRPr="00DC52EE">
        <w:rPr>
          <w:i/>
          <w:sz w:val="20"/>
          <w:szCs w:val="20"/>
        </w:rPr>
        <w:t>of</w:t>
      </w:r>
      <w:r w:rsidR="00903A07" w:rsidRPr="00DC52EE">
        <w:rPr>
          <w:i/>
          <w:sz w:val="20"/>
          <w:szCs w:val="20"/>
        </w:rPr>
        <w:t xml:space="preserve"> </w:t>
      </w:r>
      <w:r w:rsidR="00A07551" w:rsidRPr="00DC52EE">
        <w:rPr>
          <w:i/>
          <w:sz w:val="20"/>
          <w:szCs w:val="20"/>
        </w:rPr>
        <w:t>Anim.</w:t>
      </w:r>
      <w:r w:rsidR="00903A07" w:rsidRPr="00DC52EE">
        <w:rPr>
          <w:i/>
          <w:sz w:val="20"/>
          <w:szCs w:val="20"/>
        </w:rPr>
        <w:t xml:space="preserve"> </w:t>
      </w:r>
      <w:r w:rsidR="00A07551" w:rsidRPr="00DC52EE">
        <w:rPr>
          <w:i/>
          <w:sz w:val="20"/>
          <w:szCs w:val="20"/>
        </w:rPr>
        <w:t>Hea</w:t>
      </w:r>
      <w:r w:rsidR="003F6714" w:rsidRPr="00DC52EE">
        <w:rPr>
          <w:i/>
          <w:sz w:val="20"/>
          <w:szCs w:val="20"/>
        </w:rPr>
        <w:t>lt</w:t>
      </w:r>
      <w:r w:rsidR="00935FC9" w:rsidRPr="00DC52EE">
        <w:rPr>
          <w:i/>
          <w:sz w:val="20"/>
          <w:szCs w:val="20"/>
        </w:rPr>
        <w:t>.</w:t>
      </w:r>
      <w:r w:rsidR="00903A07" w:rsidRPr="00DC52EE">
        <w:rPr>
          <w:i/>
          <w:sz w:val="20"/>
          <w:szCs w:val="20"/>
        </w:rPr>
        <w:t xml:space="preserve"> </w:t>
      </w:r>
      <w:r w:rsidR="00A07551" w:rsidRPr="00DC52EE">
        <w:rPr>
          <w:i/>
          <w:sz w:val="20"/>
          <w:szCs w:val="20"/>
        </w:rPr>
        <w:t>and</w:t>
      </w:r>
      <w:r w:rsidR="00903A07" w:rsidRPr="00DC52EE">
        <w:rPr>
          <w:i/>
          <w:sz w:val="20"/>
          <w:szCs w:val="20"/>
        </w:rPr>
        <w:t xml:space="preserve"> </w:t>
      </w:r>
      <w:r w:rsidR="00A07551" w:rsidRPr="00DC52EE">
        <w:rPr>
          <w:i/>
          <w:sz w:val="20"/>
          <w:szCs w:val="20"/>
        </w:rPr>
        <w:t>Prod</w:t>
      </w:r>
      <w:r w:rsidR="00BB7760" w:rsidRPr="00DC52EE">
        <w:rPr>
          <w:i/>
          <w:sz w:val="20"/>
          <w:szCs w:val="20"/>
        </w:rPr>
        <w:t>. i</w:t>
      </w:r>
      <w:r w:rsidRPr="00DC52EE">
        <w:rPr>
          <w:i/>
          <w:sz w:val="20"/>
          <w:szCs w:val="20"/>
        </w:rPr>
        <w:t>n</w:t>
      </w:r>
      <w:r w:rsidR="00903A07" w:rsidRPr="00DC52EE">
        <w:rPr>
          <w:i/>
          <w:sz w:val="20"/>
          <w:szCs w:val="20"/>
        </w:rPr>
        <w:t xml:space="preserve"> </w:t>
      </w:r>
      <w:r w:rsidRPr="00DC52EE">
        <w:rPr>
          <w:i/>
          <w:sz w:val="20"/>
          <w:szCs w:val="20"/>
        </w:rPr>
        <w:t>Afri</w:t>
      </w:r>
      <w:r w:rsidRPr="00DC52EE">
        <w:rPr>
          <w:sz w:val="20"/>
          <w:szCs w:val="20"/>
        </w:rPr>
        <w:t>.</w:t>
      </w:r>
      <w:r w:rsidR="006471F3" w:rsidRPr="00DC52EE">
        <w:rPr>
          <w:sz w:val="20"/>
          <w:szCs w:val="20"/>
        </w:rPr>
        <w:t>,</w:t>
      </w:r>
      <w:r w:rsidR="00903A07" w:rsidRPr="00DC52EE">
        <w:rPr>
          <w:sz w:val="20"/>
          <w:szCs w:val="20"/>
        </w:rPr>
        <w:t xml:space="preserve"> </w:t>
      </w:r>
      <w:r w:rsidRPr="00DC52EE">
        <w:rPr>
          <w:sz w:val="20"/>
          <w:szCs w:val="20"/>
        </w:rPr>
        <w:t>53(2):89-95.</w:t>
      </w:r>
      <w:r w:rsidR="00903A07" w:rsidRPr="00DC52EE">
        <w:rPr>
          <w:sz w:val="20"/>
          <w:szCs w:val="20"/>
        </w:rPr>
        <w:t xml:space="preserve"> </w:t>
      </w:r>
    </w:p>
    <w:p w:rsidR="00903A07" w:rsidRPr="00DC52EE" w:rsidRDefault="00ED76CF"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Assefa,</w:t>
      </w:r>
      <w:r w:rsidR="00903A07" w:rsidRPr="00DC52EE">
        <w:rPr>
          <w:sz w:val="20"/>
          <w:szCs w:val="20"/>
        </w:rPr>
        <w:t xml:space="preserve"> </w:t>
      </w:r>
      <w:r w:rsidRPr="00DC52EE">
        <w:rPr>
          <w:sz w:val="20"/>
          <w:szCs w:val="20"/>
        </w:rPr>
        <w:t>D.</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Sissay,</w:t>
      </w:r>
      <w:r w:rsidR="00903A07" w:rsidRPr="00DC52EE">
        <w:rPr>
          <w:sz w:val="20"/>
          <w:szCs w:val="20"/>
        </w:rPr>
        <w:t xml:space="preserve"> </w:t>
      </w:r>
      <w:r w:rsidRPr="00DC52EE">
        <w:rPr>
          <w:sz w:val="20"/>
          <w:szCs w:val="20"/>
        </w:rPr>
        <w:t>L.</w:t>
      </w:r>
      <w:r w:rsidR="00903A07" w:rsidRPr="00DC52EE">
        <w:rPr>
          <w:sz w:val="20"/>
          <w:szCs w:val="20"/>
        </w:rPr>
        <w:t xml:space="preserve"> </w:t>
      </w:r>
      <w:r w:rsidRPr="00DC52EE">
        <w:rPr>
          <w:sz w:val="20"/>
          <w:szCs w:val="20"/>
        </w:rPr>
        <w:t>(1998):</w:t>
      </w:r>
      <w:r w:rsidR="00903A07" w:rsidRPr="00DC52EE">
        <w:rPr>
          <w:sz w:val="20"/>
          <w:szCs w:val="20"/>
        </w:rPr>
        <w:t xml:space="preserve"> </w:t>
      </w:r>
      <w:r w:rsidRPr="00DC52EE">
        <w:rPr>
          <w:sz w:val="20"/>
          <w:szCs w:val="20"/>
        </w:rPr>
        <w:t>Preliminary</w:t>
      </w:r>
      <w:r w:rsidR="00903A07" w:rsidRPr="00DC52EE">
        <w:rPr>
          <w:sz w:val="20"/>
          <w:szCs w:val="20"/>
        </w:rPr>
        <w:t xml:space="preserve"> </w:t>
      </w:r>
      <w:r w:rsidRPr="00DC52EE">
        <w:rPr>
          <w:sz w:val="20"/>
          <w:szCs w:val="20"/>
        </w:rPr>
        <w:t>investigation</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seasonal</w:t>
      </w:r>
      <w:r w:rsidR="00903A07" w:rsidRPr="00DC52EE">
        <w:rPr>
          <w:sz w:val="20"/>
          <w:szCs w:val="20"/>
        </w:rPr>
        <w:t xml:space="preserve"> </w:t>
      </w:r>
      <w:r w:rsidRPr="00DC52EE">
        <w:rPr>
          <w:sz w:val="20"/>
          <w:szCs w:val="20"/>
        </w:rPr>
        <w:t>occurrence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Sheno:</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5</w:t>
      </w:r>
      <w:r w:rsidRPr="00DC52EE">
        <w:rPr>
          <w:sz w:val="20"/>
          <w:szCs w:val="20"/>
          <w:vertAlign w:val="superscript"/>
        </w:rPr>
        <w:t>th</w:t>
      </w:r>
      <w:r w:rsidR="00903A07" w:rsidRPr="00DC52EE">
        <w:rPr>
          <w:sz w:val="20"/>
          <w:szCs w:val="20"/>
        </w:rPr>
        <w:t xml:space="preserve"> </w:t>
      </w:r>
      <w:r w:rsidRPr="00DC52EE">
        <w:rPr>
          <w:sz w:val="20"/>
          <w:szCs w:val="20"/>
        </w:rPr>
        <w:t>national</w:t>
      </w:r>
      <w:r w:rsidR="00903A07" w:rsidRPr="00DC52EE">
        <w:rPr>
          <w:sz w:val="20"/>
          <w:szCs w:val="20"/>
        </w:rPr>
        <w:t xml:space="preserve"> </w:t>
      </w:r>
      <w:r w:rsidRPr="00DC52EE">
        <w:rPr>
          <w:sz w:val="20"/>
          <w:szCs w:val="20"/>
        </w:rPr>
        <w:t>conference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society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animal</w:t>
      </w:r>
      <w:r w:rsidR="00903A07" w:rsidRPr="00DC52EE">
        <w:rPr>
          <w:sz w:val="20"/>
          <w:szCs w:val="20"/>
        </w:rPr>
        <w:t xml:space="preserve"> </w:t>
      </w:r>
      <w:r w:rsidRPr="00DC52EE">
        <w:rPr>
          <w:sz w:val="20"/>
          <w:szCs w:val="20"/>
        </w:rPr>
        <w:t>production,</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317D67" w:rsidRPr="00DC52EE">
        <w:rPr>
          <w:sz w:val="20"/>
          <w:szCs w:val="20"/>
        </w:rPr>
        <w: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123-13.</w:t>
      </w:r>
    </w:p>
    <w:p w:rsidR="00903A07" w:rsidRPr="00DC52EE" w:rsidRDefault="006F6DA6"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Bashir,</w:t>
      </w:r>
      <w:r w:rsidR="00903A07" w:rsidRPr="00DC52EE">
        <w:rPr>
          <w:sz w:val="20"/>
          <w:szCs w:val="20"/>
        </w:rPr>
        <w:t xml:space="preserve"> </w:t>
      </w:r>
      <w:r w:rsidRPr="00DC52EE">
        <w:rPr>
          <w:sz w:val="20"/>
          <w:szCs w:val="20"/>
        </w:rPr>
        <w:t>A.L.,</w:t>
      </w:r>
      <w:r w:rsidR="00903A07" w:rsidRPr="00DC52EE">
        <w:rPr>
          <w:sz w:val="20"/>
          <w:szCs w:val="20"/>
        </w:rPr>
        <w:t xml:space="preserve"> </w:t>
      </w:r>
      <w:r w:rsidRPr="00DC52EE">
        <w:rPr>
          <w:sz w:val="20"/>
          <w:szCs w:val="20"/>
        </w:rPr>
        <w:t>Chishti,</w:t>
      </w:r>
      <w:r w:rsidR="00903A07" w:rsidRPr="00DC52EE">
        <w:rPr>
          <w:sz w:val="20"/>
          <w:szCs w:val="20"/>
        </w:rPr>
        <w:t xml:space="preserve"> </w:t>
      </w:r>
      <w:r w:rsidRPr="00DC52EE">
        <w:rPr>
          <w:sz w:val="20"/>
          <w:szCs w:val="20"/>
        </w:rPr>
        <w:t>F.A.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Hidayatullah,</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(2012):</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Survey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Slaughtered</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Ganderbal,</w:t>
      </w:r>
      <w:r w:rsidR="00903A07" w:rsidRPr="00DC52EE">
        <w:rPr>
          <w:sz w:val="20"/>
          <w:szCs w:val="20"/>
        </w:rPr>
        <w:t xml:space="preserve"> </w:t>
      </w:r>
      <w:r w:rsidRPr="00DC52EE">
        <w:rPr>
          <w:sz w:val="20"/>
          <w:szCs w:val="20"/>
        </w:rPr>
        <w:t>Kashmir.</w:t>
      </w:r>
      <w:r w:rsidR="00903A07" w:rsidRPr="00DC52EE">
        <w:rPr>
          <w:sz w:val="20"/>
          <w:szCs w:val="20"/>
        </w:rPr>
        <w:t xml:space="preserve"> </w:t>
      </w:r>
      <w:r w:rsidR="00317D67" w:rsidRPr="00DC52EE">
        <w:rPr>
          <w:i/>
          <w:sz w:val="20"/>
          <w:szCs w:val="20"/>
        </w:rPr>
        <w:t>Glo.</w:t>
      </w:r>
      <w:r w:rsidRPr="00DC52EE">
        <w:rPr>
          <w:i/>
          <w:sz w:val="20"/>
          <w:szCs w:val="20"/>
        </w:rPr>
        <w:t>Veteri</w:t>
      </w:r>
      <w:r w:rsidR="00317D67" w:rsidRPr="00DC52EE">
        <w:rPr>
          <w:i/>
          <w:sz w:val="20"/>
          <w:szCs w:val="20"/>
        </w:rPr>
        <w:t>.</w:t>
      </w:r>
      <w:r w:rsidR="005E6C32" w:rsidRPr="00DC52EE">
        <w:rPr>
          <w:sz w:val="20"/>
          <w:szCs w:val="20"/>
        </w:rPr>
        <w:t>,</w:t>
      </w:r>
      <w:r w:rsidR="00903A07" w:rsidRPr="00DC52EE">
        <w:rPr>
          <w:sz w:val="20"/>
          <w:szCs w:val="20"/>
        </w:rPr>
        <w:t xml:space="preserve"> </w:t>
      </w:r>
      <w:r w:rsidR="005E6C32" w:rsidRPr="00DC52EE">
        <w:rPr>
          <w:sz w:val="20"/>
          <w:szCs w:val="20"/>
        </w:rPr>
        <w:t>8</w:t>
      </w:r>
      <w:r w:rsidRPr="00DC52EE">
        <w:rPr>
          <w:sz w:val="20"/>
          <w:szCs w:val="20"/>
        </w:rPr>
        <w:t>(4):</w:t>
      </w:r>
      <w:r w:rsidR="00903A07" w:rsidRPr="00DC52EE">
        <w:rPr>
          <w:sz w:val="20"/>
          <w:szCs w:val="20"/>
        </w:rPr>
        <w:t xml:space="preserve"> </w:t>
      </w:r>
      <w:r w:rsidRPr="00DC52EE">
        <w:rPr>
          <w:sz w:val="20"/>
          <w:szCs w:val="20"/>
        </w:rPr>
        <w:t>338-341.</w:t>
      </w:r>
    </w:p>
    <w:p w:rsidR="00BB7760" w:rsidRPr="00DC52EE" w:rsidRDefault="00974BFF"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Bayou,</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(1992):</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Buno</w:t>
      </w:r>
      <w:r w:rsidR="00903A07" w:rsidRPr="00DC52EE">
        <w:rPr>
          <w:sz w:val="20"/>
          <w:szCs w:val="20"/>
        </w:rPr>
        <w:t xml:space="preserve"> </w:t>
      </w:r>
      <w:r w:rsidRPr="00DC52EE">
        <w:rPr>
          <w:sz w:val="20"/>
          <w:szCs w:val="20"/>
        </w:rPr>
        <w:t>province,</w:t>
      </w:r>
      <w:r w:rsidR="00903A07" w:rsidRPr="00DC52EE">
        <w:rPr>
          <w:sz w:val="20"/>
          <w:szCs w:val="20"/>
        </w:rPr>
        <w:t xml:space="preserve"> </w:t>
      </w:r>
      <w:r w:rsidRPr="00DC52EE">
        <w:rPr>
          <w:sz w:val="20"/>
          <w:szCs w:val="20"/>
        </w:rPr>
        <w:t>Illubabor</w:t>
      </w:r>
      <w:r w:rsidR="00903A07" w:rsidRPr="00DC52EE">
        <w:rPr>
          <w:sz w:val="20"/>
          <w:szCs w:val="20"/>
        </w:rPr>
        <w:t xml:space="preserve"> </w:t>
      </w:r>
      <w:r w:rsidRPr="00DC52EE">
        <w:rPr>
          <w:sz w:val="20"/>
          <w:szCs w:val="20"/>
        </w:rPr>
        <w:t>Adminis</w:t>
      </w:r>
      <w:r w:rsidR="00317D67" w:rsidRPr="00DC52EE">
        <w:rPr>
          <w:sz w:val="20"/>
          <w:szCs w:val="20"/>
        </w:rPr>
        <w:t>trative</w:t>
      </w:r>
      <w:r w:rsidR="00903A07" w:rsidRPr="00DC52EE">
        <w:rPr>
          <w:sz w:val="20"/>
          <w:szCs w:val="20"/>
        </w:rPr>
        <w:t xml:space="preserve"> </w:t>
      </w:r>
      <w:r w:rsidR="00317D67" w:rsidRPr="00DC52EE">
        <w:rPr>
          <w:sz w:val="20"/>
          <w:szCs w:val="20"/>
        </w:rPr>
        <w:t>Region.</w:t>
      </w:r>
      <w:r w:rsidR="00903A07" w:rsidRPr="00DC52EE">
        <w:rPr>
          <w:sz w:val="20"/>
          <w:szCs w:val="20"/>
        </w:rPr>
        <w:t xml:space="preserve"> </w:t>
      </w:r>
      <w:r w:rsidR="00317D67" w:rsidRPr="00DC52EE">
        <w:rPr>
          <w:sz w:val="20"/>
          <w:szCs w:val="20"/>
        </w:rPr>
        <w:t>DVM</w:t>
      </w:r>
      <w:r w:rsidR="00903A07" w:rsidRPr="00DC52EE">
        <w:rPr>
          <w:sz w:val="20"/>
          <w:szCs w:val="20"/>
        </w:rPr>
        <w:t xml:space="preserve"> </w:t>
      </w:r>
      <w:r w:rsidR="00317D67" w:rsidRPr="00DC52EE">
        <w:rPr>
          <w:sz w:val="20"/>
          <w:szCs w:val="20"/>
        </w:rPr>
        <w:t>thesis.</w:t>
      </w:r>
      <w:r w:rsidR="00903A07" w:rsidRPr="00DC52EE">
        <w:rPr>
          <w:sz w:val="20"/>
          <w:szCs w:val="20"/>
        </w:rPr>
        <w:t xml:space="preserve"> </w:t>
      </w:r>
      <w:r w:rsidR="00317D67" w:rsidRPr="00DC52EE">
        <w:rPr>
          <w:sz w:val="20"/>
          <w:szCs w:val="20"/>
        </w:rPr>
        <w:t>Faculty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Debre-Zeit.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13</w:t>
      </w:r>
      <w:r w:rsidR="00BB7760" w:rsidRPr="00DC52EE">
        <w:rPr>
          <w:sz w:val="20"/>
          <w:szCs w:val="20"/>
        </w:rPr>
        <w:t>1.</w:t>
      </w:r>
    </w:p>
    <w:p w:rsidR="00903A07" w:rsidRPr="00DC52EE" w:rsidRDefault="00903A07"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w:t>
      </w:r>
      <w:r w:rsidR="00777972" w:rsidRPr="00DC52EE">
        <w:rPr>
          <w:sz w:val="20"/>
          <w:szCs w:val="20"/>
        </w:rPr>
        <w:t>ersissa,</w:t>
      </w:r>
      <w:r w:rsidRPr="00DC52EE">
        <w:rPr>
          <w:sz w:val="20"/>
          <w:szCs w:val="20"/>
        </w:rPr>
        <w:t xml:space="preserve"> </w:t>
      </w:r>
      <w:r w:rsidR="00777972" w:rsidRPr="00DC52EE">
        <w:rPr>
          <w:sz w:val="20"/>
          <w:szCs w:val="20"/>
        </w:rPr>
        <w:t>K.,</w:t>
      </w:r>
      <w:r w:rsidRPr="00DC52EE">
        <w:rPr>
          <w:sz w:val="20"/>
          <w:szCs w:val="20"/>
        </w:rPr>
        <w:t xml:space="preserve"> </w:t>
      </w:r>
      <w:r w:rsidR="00777972" w:rsidRPr="00DC52EE">
        <w:rPr>
          <w:sz w:val="20"/>
          <w:szCs w:val="20"/>
        </w:rPr>
        <w:t>Tigist,</w:t>
      </w:r>
      <w:r w:rsidRPr="00DC52EE">
        <w:rPr>
          <w:sz w:val="20"/>
          <w:szCs w:val="20"/>
        </w:rPr>
        <w:t xml:space="preserve"> </w:t>
      </w:r>
      <w:r w:rsidR="00777972" w:rsidRPr="00DC52EE">
        <w:rPr>
          <w:sz w:val="20"/>
          <w:szCs w:val="20"/>
        </w:rPr>
        <w:t>T.,</w:t>
      </w:r>
      <w:r w:rsidRPr="00DC52EE">
        <w:rPr>
          <w:sz w:val="20"/>
          <w:szCs w:val="20"/>
        </w:rPr>
        <w:t xml:space="preserve"> </w:t>
      </w:r>
      <w:r w:rsidR="00777972" w:rsidRPr="00DC52EE">
        <w:rPr>
          <w:sz w:val="20"/>
          <w:szCs w:val="20"/>
        </w:rPr>
        <w:t>Teshale,</w:t>
      </w:r>
      <w:r w:rsidRPr="00DC52EE">
        <w:rPr>
          <w:sz w:val="20"/>
          <w:szCs w:val="20"/>
        </w:rPr>
        <w:t xml:space="preserve"> </w:t>
      </w:r>
      <w:r w:rsidR="00777972" w:rsidRPr="00DC52EE">
        <w:rPr>
          <w:sz w:val="20"/>
          <w:szCs w:val="20"/>
        </w:rPr>
        <w:t>S.</w:t>
      </w:r>
      <w:r w:rsidRPr="00DC52EE">
        <w:rPr>
          <w:sz w:val="20"/>
          <w:szCs w:val="20"/>
        </w:rPr>
        <w:t xml:space="preserve"> </w:t>
      </w:r>
      <w:r w:rsidR="00777972" w:rsidRPr="00DC52EE">
        <w:rPr>
          <w:sz w:val="20"/>
          <w:szCs w:val="20"/>
        </w:rPr>
        <w:t>Reta,</w:t>
      </w:r>
      <w:r w:rsidRPr="00DC52EE">
        <w:rPr>
          <w:sz w:val="20"/>
          <w:szCs w:val="20"/>
        </w:rPr>
        <w:t xml:space="preserve"> </w:t>
      </w:r>
      <w:r w:rsidR="00777972" w:rsidRPr="00DC52EE">
        <w:rPr>
          <w:sz w:val="20"/>
          <w:szCs w:val="20"/>
        </w:rPr>
        <w:t>D.</w:t>
      </w:r>
      <w:r w:rsidRPr="00DC52EE">
        <w:rPr>
          <w:sz w:val="20"/>
          <w:szCs w:val="20"/>
        </w:rPr>
        <w:t xml:space="preserve"> </w:t>
      </w:r>
      <w:r w:rsidR="00777972" w:rsidRPr="00DC52EE">
        <w:rPr>
          <w:sz w:val="20"/>
          <w:szCs w:val="20"/>
        </w:rPr>
        <w:t>and</w:t>
      </w:r>
      <w:r w:rsidRPr="00DC52EE">
        <w:rPr>
          <w:sz w:val="20"/>
          <w:szCs w:val="20"/>
        </w:rPr>
        <w:t xml:space="preserve"> </w:t>
      </w:r>
      <w:r w:rsidR="00777972" w:rsidRPr="00DC52EE">
        <w:rPr>
          <w:sz w:val="20"/>
          <w:szCs w:val="20"/>
        </w:rPr>
        <w:t>Bedru,</w:t>
      </w:r>
      <w:r w:rsidRPr="00DC52EE">
        <w:rPr>
          <w:sz w:val="20"/>
          <w:szCs w:val="20"/>
        </w:rPr>
        <w:t xml:space="preserve"> </w:t>
      </w:r>
      <w:r w:rsidR="00777972" w:rsidRPr="00DC52EE">
        <w:rPr>
          <w:sz w:val="20"/>
          <w:szCs w:val="20"/>
        </w:rPr>
        <w:t>H.</w:t>
      </w:r>
      <w:r w:rsidRPr="00DC52EE">
        <w:rPr>
          <w:sz w:val="20"/>
          <w:szCs w:val="20"/>
        </w:rPr>
        <w:t xml:space="preserve"> </w:t>
      </w:r>
      <w:r w:rsidR="00777972" w:rsidRPr="00DC52EE">
        <w:rPr>
          <w:sz w:val="20"/>
          <w:szCs w:val="20"/>
        </w:rPr>
        <w:t>(2011):</w:t>
      </w:r>
      <w:r w:rsidRPr="00DC52EE">
        <w:rPr>
          <w:sz w:val="20"/>
          <w:szCs w:val="20"/>
        </w:rPr>
        <w:t xml:space="preserve"> </w:t>
      </w:r>
      <w:r w:rsidR="00777972" w:rsidRPr="00DC52EE">
        <w:rPr>
          <w:sz w:val="20"/>
          <w:szCs w:val="20"/>
        </w:rPr>
        <w:t>Helminths</w:t>
      </w:r>
      <w:r w:rsidRPr="00DC52EE">
        <w:rPr>
          <w:sz w:val="20"/>
          <w:szCs w:val="20"/>
        </w:rPr>
        <w:t xml:space="preserve"> </w:t>
      </w:r>
      <w:r w:rsidR="00777972" w:rsidRPr="00DC52EE">
        <w:rPr>
          <w:sz w:val="20"/>
          <w:szCs w:val="20"/>
        </w:rPr>
        <w:t>of</w:t>
      </w:r>
      <w:r w:rsidRPr="00DC52EE">
        <w:rPr>
          <w:sz w:val="20"/>
          <w:szCs w:val="20"/>
        </w:rPr>
        <w:t xml:space="preserve"> </w:t>
      </w:r>
      <w:r w:rsidR="00777972" w:rsidRPr="00DC52EE">
        <w:rPr>
          <w:sz w:val="20"/>
          <w:szCs w:val="20"/>
        </w:rPr>
        <w:t>sheep</w:t>
      </w:r>
      <w:r w:rsidRPr="00DC52EE">
        <w:rPr>
          <w:sz w:val="20"/>
          <w:szCs w:val="20"/>
        </w:rPr>
        <w:t xml:space="preserve"> </w:t>
      </w:r>
      <w:r w:rsidR="00777972" w:rsidRPr="00DC52EE">
        <w:rPr>
          <w:sz w:val="20"/>
          <w:szCs w:val="20"/>
        </w:rPr>
        <w:t>and</w:t>
      </w:r>
      <w:r w:rsidRPr="00DC52EE">
        <w:rPr>
          <w:sz w:val="20"/>
          <w:szCs w:val="20"/>
        </w:rPr>
        <w:t xml:space="preserve"> </w:t>
      </w:r>
      <w:r w:rsidR="00777972" w:rsidRPr="00DC52EE">
        <w:rPr>
          <w:sz w:val="20"/>
          <w:szCs w:val="20"/>
        </w:rPr>
        <w:t>goats</w:t>
      </w:r>
      <w:r w:rsidRPr="00DC52EE">
        <w:rPr>
          <w:sz w:val="20"/>
          <w:szCs w:val="20"/>
        </w:rPr>
        <w:t xml:space="preserve"> </w:t>
      </w:r>
      <w:r w:rsidR="00777972" w:rsidRPr="00DC52EE">
        <w:rPr>
          <w:sz w:val="20"/>
          <w:szCs w:val="20"/>
        </w:rPr>
        <w:t>in</w:t>
      </w:r>
      <w:r w:rsidRPr="00DC52EE">
        <w:rPr>
          <w:sz w:val="20"/>
          <w:szCs w:val="20"/>
        </w:rPr>
        <w:t xml:space="preserve"> </w:t>
      </w:r>
      <w:r w:rsidR="00777972" w:rsidRPr="00DC52EE">
        <w:rPr>
          <w:sz w:val="20"/>
          <w:szCs w:val="20"/>
        </w:rPr>
        <w:t>central</w:t>
      </w:r>
      <w:r w:rsidRPr="00DC52EE">
        <w:rPr>
          <w:sz w:val="20"/>
          <w:szCs w:val="20"/>
        </w:rPr>
        <w:t xml:space="preserve"> </w:t>
      </w:r>
      <w:r w:rsidR="00777972" w:rsidRPr="00DC52EE">
        <w:rPr>
          <w:sz w:val="20"/>
          <w:szCs w:val="20"/>
        </w:rPr>
        <w:t>Oromia</w:t>
      </w:r>
      <w:r w:rsidRPr="00DC52EE">
        <w:rPr>
          <w:sz w:val="20"/>
          <w:szCs w:val="20"/>
        </w:rPr>
        <w:t xml:space="preserve"> </w:t>
      </w:r>
      <w:r w:rsidR="00777972" w:rsidRPr="00DC52EE">
        <w:rPr>
          <w:sz w:val="20"/>
          <w:szCs w:val="20"/>
        </w:rPr>
        <w:t>(Ethiopia)</w:t>
      </w:r>
      <w:r w:rsidRPr="00DC52EE">
        <w:rPr>
          <w:sz w:val="20"/>
          <w:szCs w:val="20"/>
        </w:rPr>
        <w:t xml:space="preserve"> </w:t>
      </w:r>
      <w:r w:rsidR="00777972" w:rsidRPr="00DC52EE">
        <w:rPr>
          <w:sz w:val="20"/>
          <w:szCs w:val="20"/>
        </w:rPr>
        <w:t>during</w:t>
      </w:r>
      <w:r w:rsidRPr="00DC52EE">
        <w:rPr>
          <w:sz w:val="20"/>
          <w:szCs w:val="20"/>
        </w:rPr>
        <w:t xml:space="preserve"> </w:t>
      </w:r>
      <w:r w:rsidR="00777972" w:rsidRPr="00DC52EE">
        <w:rPr>
          <w:sz w:val="20"/>
          <w:szCs w:val="20"/>
        </w:rPr>
        <w:t>the</w:t>
      </w:r>
      <w:r w:rsidRPr="00DC52EE">
        <w:rPr>
          <w:sz w:val="20"/>
          <w:szCs w:val="20"/>
        </w:rPr>
        <w:t xml:space="preserve"> </w:t>
      </w:r>
      <w:r w:rsidR="00777972" w:rsidRPr="00DC52EE">
        <w:rPr>
          <w:sz w:val="20"/>
          <w:szCs w:val="20"/>
        </w:rPr>
        <w:t>dry</w:t>
      </w:r>
      <w:r w:rsidRPr="00DC52EE">
        <w:rPr>
          <w:sz w:val="20"/>
          <w:szCs w:val="20"/>
        </w:rPr>
        <w:t xml:space="preserve"> </w:t>
      </w:r>
      <w:r w:rsidR="00777972" w:rsidRPr="00DC52EE">
        <w:rPr>
          <w:sz w:val="20"/>
          <w:szCs w:val="20"/>
        </w:rPr>
        <w:t>season</w:t>
      </w:r>
      <w:r w:rsidR="00317D67" w:rsidRPr="00DC52EE">
        <w:rPr>
          <w:i/>
          <w:sz w:val="20"/>
          <w:szCs w:val="20"/>
        </w:rPr>
        <w:t>.</w:t>
      </w:r>
      <w:r w:rsidRPr="00DC52EE">
        <w:rPr>
          <w:i/>
          <w:sz w:val="20"/>
          <w:szCs w:val="20"/>
        </w:rPr>
        <w:t xml:space="preserve"> </w:t>
      </w:r>
      <w:r w:rsidR="00317D67" w:rsidRPr="00DC52EE">
        <w:rPr>
          <w:i/>
          <w:sz w:val="20"/>
          <w:szCs w:val="20"/>
        </w:rPr>
        <w:t>Jour</w:t>
      </w:r>
      <w:r w:rsidR="00CD05FB" w:rsidRPr="00DC52EE">
        <w:rPr>
          <w:i/>
          <w:sz w:val="20"/>
          <w:szCs w:val="20"/>
        </w:rPr>
        <w:t>.</w:t>
      </w:r>
      <w:r w:rsidRPr="00DC52EE">
        <w:rPr>
          <w:i/>
          <w:sz w:val="20"/>
          <w:szCs w:val="20"/>
        </w:rPr>
        <w:t xml:space="preserve"> </w:t>
      </w:r>
      <w:r w:rsidR="00317D67" w:rsidRPr="00DC52EE">
        <w:rPr>
          <w:i/>
          <w:sz w:val="20"/>
          <w:szCs w:val="20"/>
        </w:rPr>
        <w:t>of</w:t>
      </w:r>
      <w:r w:rsidRPr="00DC52EE">
        <w:rPr>
          <w:i/>
          <w:sz w:val="20"/>
          <w:szCs w:val="20"/>
        </w:rPr>
        <w:t xml:space="preserve"> </w:t>
      </w:r>
      <w:r w:rsidR="00317D67" w:rsidRPr="00DC52EE">
        <w:rPr>
          <w:i/>
          <w:sz w:val="20"/>
          <w:szCs w:val="20"/>
        </w:rPr>
        <w:t>Anim,</w:t>
      </w:r>
      <w:r w:rsidRPr="00DC52EE">
        <w:rPr>
          <w:i/>
          <w:sz w:val="20"/>
          <w:szCs w:val="20"/>
        </w:rPr>
        <w:t xml:space="preserve"> </w:t>
      </w:r>
      <w:r w:rsidR="00317D67" w:rsidRPr="00DC52EE">
        <w:rPr>
          <w:i/>
          <w:sz w:val="20"/>
          <w:szCs w:val="20"/>
        </w:rPr>
        <w:t>and</w:t>
      </w:r>
      <w:r w:rsidRPr="00DC52EE">
        <w:rPr>
          <w:i/>
          <w:sz w:val="20"/>
          <w:szCs w:val="20"/>
        </w:rPr>
        <w:t xml:space="preserve"> </w:t>
      </w:r>
      <w:r w:rsidR="00317D67" w:rsidRPr="00DC52EE">
        <w:rPr>
          <w:i/>
          <w:sz w:val="20"/>
          <w:szCs w:val="20"/>
        </w:rPr>
        <w:t>Veter.</w:t>
      </w:r>
      <w:r w:rsidRPr="00DC52EE">
        <w:rPr>
          <w:i/>
          <w:sz w:val="20"/>
          <w:szCs w:val="20"/>
        </w:rPr>
        <w:t xml:space="preserve"> </w:t>
      </w:r>
      <w:r w:rsidR="00777972" w:rsidRPr="00DC52EE">
        <w:rPr>
          <w:i/>
          <w:sz w:val="20"/>
          <w:szCs w:val="20"/>
        </w:rPr>
        <w:t>Advan</w:t>
      </w:r>
      <w:r w:rsidR="00317D67" w:rsidRPr="00DC52EE">
        <w:rPr>
          <w:i/>
          <w:sz w:val="20"/>
          <w:szCs w:val="20"/>
        </w:rPr>
        <w:t>.</w:t>
      </w:r>
      <w:r w:rsidR="005E6C32" w:rsidRPr="00DC52EE">
        <w:rPr>
          <w:i/>
          <w:sz w:val="20"/>
          <w:szCs w:val="20"/>
        </w:rPr>
        <w:t>,</w:t>
      </w:r>
      <w:r w:rsidRPr="00DC52EE">
        <w:rPr>
          <w:sz w:val="20"/>
          <w:szCs w:val="20"/>
        </w:rPr>
        <w:t xml:space="preserve"> </w:t>
      </w:r>
      <w:r w:rsidR="005E6C32" w:rsidRPr="00DC52EE">
        <w:rPr>
          <w:sz w:val="20"/>
          <w:szCs w:val="20"/>
        </w:rPr>
        <w:t>10</w:t>
      </w:r>
      <w:r w:rsidR="00777972" w:rsidRPr="00DC52EE">
        <w:rPr>
          <w:sz w:val="20"/>
          <w:szCs w:val="20"/>
        </w:rPr>
        <w:t>:</w:t>
      </w:r>
      <w:r w:rsidRPr="00DC52EE">
        <w:rPr>
          <w:sz w:val="20"/>
          <w:szCs w:val="20"/>
        </w:rPr>
        <w:t xml:space="preserve"> </w:t>
      </w:r>
      <w:r w:rsidR="00777972" w:rsidRPr="00DC52EE">
        <w:rPr>
          <w:sz w:val="20"/>
          <w:szCs w:val="20"/>
        </w:rPr>
        <w:t>1845-1849.</w:t>
      </w:r>
    </w:p>
    <w:p w:rsidR="00903A07" w:rsidRPr="00DC52EE" w:rsidRDefault="00146400"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Bikila,</w:t>
      </w:r>
      <w:r w:rsidR="00903A07" w:rsidRPr="00DC52EE">
        <w:rPr>
          <w:sz w:val="20"/>
          <w:szCs w:val="20"/>
        </w:rPr>
        <w:t xml:space="preserve"> </w:t>
      </w:r>
      <w:r w:rsidRPr="00DC52EE">
        <w:rPr>
          <w:sz w:val="20"/>
          <w:szCs w:val="20"/>
        </w:rPr>
        <w:t>E.,</w:t>
      </w:r>
      <w:r w:rsidR="00903A07" w:rsidRPr="00DC52EE">
        <w:rPr>
          <w:sz w:val="20"/>
          <w:szCs w:val="20"/>
        </w:rPr>
        <w:t xml:space="preserve"> </w:t>
      </w:r>
      <w:r w:rsidRPr="00DC52EE">
        <w:rPr>
          <w:sz w:val="20"/>
          <w:szCs w:val="20"/>
        </w:rPr>
        <w:t>Yeshitla,</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Worku,</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Teka,</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Benti,</w:t>
      </w:r>
      <w:r w:rsidR="00903A07" w:rsidRPr="00DC52EE">
        <w:rPr>
          <w:sz w:val="20"/>
          <w:szCs w:val="20"/>
        </w:rPr>
        <w:t xml:space="preserve"> </w:t>
      </w:r>
      <w:r w:rsidRPr="00DC52EE">
        <w:rPr>
          <w:sz w:val="20"/>
          <w:szCs w:val="20"/>
        </w:rPr>
        <w:t>D.</w:t>
      </w:r>
      <w:r w:rsidR="00903A07" w:rsidRPr="00DC52EE">
        <w:rPr>
          <w:sz w:val="20"/>
          <w:szCs w:val="20"/>
        </w:rPr>
        <w:t xml:space="preserve"> </w:t>
      </w:r>
      <w:r w:rsidRPr="00DC52EE">
        <w:rPr>
          <w:sz w:val="20"/>
          <w:szCs w:val="20"/>
        </w:rPr>
        <w:t>(2013):</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lastRenderedPageBreak/>
        <w:t>Gechi</w:t>
      </w:r>
      <w:r w:rsidR="00903A07" w:rsidRPr="00DC52EE">
        <w:rPr>
          <w:sz w:val="20"/>
          <w:szCs w:val="20"/>
        </w:rPr>
        <w:t xml:space="preserve"> </w:t>
      </w:r>
      <w:r w:rsidRPr="00DC52EE">
        <w:rPr>
          <w:sz w:val="20"/>
          <w:szCs w:val="20"/>
        </w:rPr>
        <w:t>District,</w:t>
      </w:r>
      <w:r w:rsidR="00903A07" w:rsidRPr="00DC52EE">
        <w:rPr>
          <w:sz w:val="20"/>
          <w:szCs w:val="20"/>
        </w:rPr>
        <w:t xml:space="preserve"> </w:t>
      </w:r>
      <w:r w:rsidRPr="00DC52EE">
        <w:rPr>
          <w:sz w:val="20"/>
          <w:szCs w:val="20"/>
        </w:rPr>
        <w:t>Southwest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Pr="00DC52EE">
        <w:rPr>
          <w:sz w:val="20"/>
          <w:szCs w:val="20"/>
        </w:rPr>
        <w:t>Jimma</w:t>
      </w:r>
      <w:r w:rsidR="00903A07" w:rsidRPr="00DC52EE">
        <w:rPr>
          <w:sz w:val="20"/>
          <w:szCs w:val="20"/>
        </w:rPr>
        <w:t xml:space="preserve"> </w:t>
      </w:r>
      <w:r w:rsidRPr="00DC52EE">
        <w:rPr>
          <w:sz w:val="20"/>
          <w:szCs w:val="20"/>
        </w:rPr>
        <w:t>Univer</w:t>
      </w:r>
      <w:r w:rsidR="00F32AF7" w:rsidRPr="00DC52EE">
        <w:rPr>
          <w:sz w:val="20"/>
          <w:szCs w:val="20"/>
        </w:rPr>
        <w:t>sity</w:t>
      </w:r>
      <w:r w:rsidR="00903A07" w:rsidRPr="00DC52EE">
        <w:rPr>
          <w:sz w:val="20"/>
          <w:szCs w:val="20"/>
        </w:rPr>
        <w:t xml:space="preserve"> </w:t>
      </w:r>
      <w:r w:rsidR="00F32AF7" w:rsidRPr="00DC52EE">
        <w:rPr>
          <w:sz w:val="20"/>
          <w:szCs w:val="20"/>
        </w:rPr>
        <w:t>College</w:t>
      </w:r>
      <w:r w:rsidR="00903A07" w:rsidRPr="00DC52EE">
        <w:rPr>
          <w:sz w:val="20"/>
          <w:szCs w:val="20"/>
        </w:rPr>
        <w:t xml:space="preserve"> </w:t>
      </w:r>
      <w:r w:rsidR="00F32AF7" w:rsidRPr="00DC52EE">
        <w:rPr>
          <w:sz w:val="20"/>
          <w:szCs w:val="20"/>
        </w:rPr>
        <w:t>of</w:t>
      </w:r>
      <w:r w:rsidR="00903A07" w:rsidRPr="00DC52EE">
        <w:rPr>
          <w:sz w:val="20"/>
          <w:szCs w:val="20"/>
        </w:rPr>
        <w:t xml:space="preserve"> </w:t>
      </w:r>
      <w:r w:rsidR="00F32AF7" w:rsidRPr="00DC52EE">
        <w:rPr>
          <w:sz w:val="20"/>
          <w:szCs w:val="20"/>
        </w:rPr>
        <w:t>Agriculture</w:t>
      </w:r>
      <w:r w:rsidR="00903A07" w:rsidRPr="00DC52EE">
        <w:rPr>
          <w:sz w:val="20"/>
          <w:szCs w:val="20"/>
        </w:rPr>
        <w:t xml:space="preserve"> </w:t>
      </w:r>
      <w:r w:rsidR="00F32AF7" w:rsidRPr="00DC52EE">
        <w:rPr>
          <w:sz w:val="20"/>
          <w:szCs w:val="20"/>
        </w:rPr>
        <w:t>and</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Jigjiga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College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i/>
          <w:iCs/>
          <w:sz w:val="20"/>
          <w:szCs w:val="20"/>
        </w:rPr>
        <w:t>Advan.</w:t>
      </w:r>
      <w:r w:rsidR="00903A07" w:rsidRPr="00DC52EE">
        <w:rPr>
          <w:i/>
          <w:iCs/>
          <w:sz w:val="20"/>
          <w:szCs w:val="20"/>
        </w:rPr>
        <w:t xml:space="preserve"> </w:t>
      </w:r>
      <w:r w:rsidRPr="00DC52EE">
        <w:rPr>
          <w:i/>
          <w:iCs/>
          <w:sz w:val="20"/>
          <w:szCs w:val="20"/>
        </w:rPr>
        <w:t>Biol.</w:t>
      </w:r>
      <w:r w:rsidR="00903A07" w:rsidRPr="00DC52EE">
        <w:rPr>
          <w:i/>
          <w:iCs/>
          <w:sz w:val="20"/>
          <w:szCs w:val="20"/>
        </w:rPr>
        <w:t xml:space="preserve"> </w:t>
      </w:r>
      <w:r w:rsidRPr="00DC52EE">
        <w:rPr>
          <w:i/>
          <w:iCs/>
          <w:sz w:val="20"/>
          <w:szCs w:val="20"/>
        </w:rPr>
        <w:t>Res.</w:t>
      </w:r>
      <w:r w:rsidR="006471F3" w:rsidRPr="00DC52EE">
        <w:rPr>
          <w:i/>
          <w:iCs/>
          <w:sz w:val="20"/>
          <w:szCs w:val="20"/>
        </w:rPr>
        <w:t>,</w:t>
      </w:r>
      <w:r w:rsidR="00903A07" w:rsidRPr="00DC52EE">
        <w:rPr>
          <w:i/>
          <w:iCs/>
          <w:sz w:val="20"/>
          <w:szCs w:val="20"/>
        </w:rPr>
        <w:t xml:space="preserve"> </w:t>
      </w:r>
      <w:r w:rsidRPr="00DC52EE">
        <w:rPr>
          <w:iCs/>
          <w:sz w:val="20"/>
          <w:szCs w:val="20"/>
        </w:rPr>
        <w:t>7</w:t>
      </w:r>
      <w:r w:rsidR="00903A07" w:rsidRPr="00DC52EE">
        <w:rPr>
          <w:iCs/>
          <w:sz w:val="20"/>
          <w:szCs w:val="20"/>
        </w:rPr>
        <w:t xml:space="preserve"> </w:t>
      </w:r>
      <w:r w:rsidRPr="00DC52EE">
        <w:rPr>
          <w:iCs/>
          <w:sz w:val="20"/>
          <w:szCs w:val="20"/>
        </w:rPr>
        <w:t>(5):169-174.</w:t>
      </w:r>
    </w:p>
    <w:p w:rsidR="00903A07" w:rsidRPr="00DC52EE" w:rsidRDefault="0044745B"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Bisset,</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Brunsdon,</w:t>
      </w:r>
      <w:r w:rsidR="00903A07" w:rsidRPr="00DC52EE">
        <w:rPr>
          <w:sz w:val="20"/>
          <w:szCs w:val="20"/>
        </w:rPr>
        <w:t xml:space="preserve"> </w:t>
      </w:r>
      <w:r w:rsidRPr="00DC52EE">
        <w:rPr>
          <w:sz w:val="20"/>
          <w:szCs w:val="20"/>
        </w:rPr>
        <w:t>R.V.,</w:t>
      </w:r>
      <w:r w:rsidR="00903A07" w:rsidRPr="00DC52EE">
        <w:rPr>
          <w:sz w:val="20"/>
          <w:szCs w:val="20"/>
        </w:rPr>
        <w:t xml:space="preserve"> </w:t>
      </w:r>
      <w:r w:rsidRPr="00DC52EE">
        <w:rPr>
          <w:sz w:val="20"/>
          <w:szCs w:val="20"/>
        </w:rPr>
        <w:t>Heath,</w:t>
      </w:r>
      <w:r w:rsidR="00903A07" w:rsidRPr="00DC52EE">
        <w:rPr>
          <w:sz w:val="20"/>
          <w:szCs w:val="20"/>
        </w:rPr>
        <w:t xml:space="preserve"> </w:t>
      </w:r>
      <w:r w:rsidRPr="00DC52EE">
        <w:rPr>
          <w:sz w:val="20"/>
          <w:szCs w:val="20"/>
        </w:rPr>
        <w:t>A.V.G.,</w:t>
      </w:r>
      <w:r w:rsidR="00903A07" w:rsidRPr="00DC52EE">
        <w:rPr>
          <w:sz w:val="20"/>
          <w:szCs w:val="20"/>
        </w:rPr>
        <w:t xml:space="preserve"> </w:t>
      </w:r>
      <w:r w:rsidRPr="00DC52EE">
        <w:rPr>
          <w:sz w:val="20"/>
          <w:szCs w:val="20"/>
        </w:rPr>
        <w:t>Vlassoff,</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Mason,</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P.C.</w:t>
      </w:r>
      <w:r w:rsidR="00903A07" w:rsidRPr="00DC52EE">
        <w:rPr>
          <w:sz w:val="20"/>
          <w:szCs w:val="20"/>
        </w:rPr>
        <w:t xml:space="preserve"> </w:t>
      </w:r>
      <w:r w:rsidRPr="00DC52EE">
        <w:rPr>
          <w:sz w:val="20"/>
          <w:szCs w:val="20"/>
        </w:rPr>
        <w:t>(1986):</w:t>
      </w:r>
      <w:r w:rsidR="00903A07" w:rsidRPr="00DC52EE">
        <w:rPr>
          <w:sz w:val="20"/>
          <w:szCs w:val="20"/>
        </w:rPr>
        <w:t xml:space="preserve"> </w:t>
      </w:r>
      <w:r w:rsidRPr="00DC52EE">
        <w:rPr>
          <w:sz w:val="20"/>
          <w:szCs w:val="20"/>
        </w:rPr>
        <w:t>Guide</w:t>
      </w:r>
      <w:r w:rsidR="00903A07" w:rsidRPr="00DC52EE">
        <w:rPr>
          <w:sz w:val="20"/>
          <w:szCs w:val="20"/>
        </w:rPr>
        <w:t xml:space="preserve"> </w:t>
      </w:r>
      <w:r w:rsidRPr="00DC52EE">
        <w:rPr>
          <w:sz w:val="20"/>
          <w:szCs w:val="20"/>
        </w:rPr>
        <w:t>to</w:t>
      </w:r>
      <w:r w:rsidR="00903A07" w:rsidRPr="00DC52EE">
        <w:rPr>
          <w:sz w:val="20"/>
          <w:szCs w:val="20"/>
        </w:rPr>
        <w:t xml:space="preserve"> </w:t>
      </w:r>
      <w:r w:rsidRPr="00DC52EE">
        <w:rPr>
          <w:sz w:val="20"/>
          <w:szCs w:val="20"/>
        </w:rPr>
        <w:t>livestock</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i/>
          <w:iCs/>
          <w:sz w:val="20"/>
          <w:szCs w:val="20"/>
        </w:rPr>
        <w:t>NZ</w:t>
      </w:r>
      <w:r w:rsidR="00903A07" w:rsidRPr="00DC52EE">
        <w:rPr>
          <w:i/>
          <w:iCs/>
          <w:sz w:val="20"/>
          <w:szCs w:val="20"/>
        </w:rPr>
        <w:t xml:space="preserve"> </w:t>
      </w:r>
      <w:r w:rsidRPr="00DC52EE">
        <w:rPr>
          <w:i/>
          <w:iCs/>
          <w:sz w:val="20"/>
          <w:szCs w:val="20"/>
        </w:rPr>
        <w:t>Farmer.</w:t>
      </w:r>
      <w:r w:rsidR="00903A07" w:rsidRPr="00DC52EE">
        <w:rPr>
          <w:i/>
          <w:iCs/>
          <w:sz w:val="20"/>
          <w:szCs w:val="20"/>
        </w:rPr>
        <w:t xml:space="preserve"> </w:t>
      </w:r>
      <w:r w:rsidRPr="00DC52EE">
        <w:rPr>
          <w:iCs/>
          <w:sz w:val="20"/>
          <w:szCs w:val="20"/>
        </w:rPr>
        <w:t>107</w:t>
      </w:r>
      <w:r w:rsidRPr="00DC52EE">
        <w:rPr>
          <w:i/>
          <w:iCs/>
          <w:sz w:val="20"/>
          <w:szCs w:val="20"/>
        </w:rPr>
        <w:t>:</w:t>
      </w:r>
      <w:r w:rsidR="00903A07" w:rsidRPr="00DC52EE">
        <w:rPr>
          <w:i/>
          <w:iCs/>
          <w:sz w:val="20"/>
          <w:szCs w:val="20"/>
        </w:rPr>
        <w:t xml:space="preserve"> </w:t>
      </w:r>
      <w:r w:rsidRPr="00DC52EE">
        <w:rPr>
          <w:sz w:val="20"/>
          <w:szCs w:val="20"/>
        </w:rPr>
        <w:t>5-22.</w:t>
      </w:r>
    </w:p>
    <w:p w:rsidR="00903A07" w:rsidRPr="00DC52EE" w:rsidRDefault="00903A07" w:rsidP="00BB7760">
      <w:pPr>
        <w:pStyle w:val="ListParagraph"/>
        <w:widowControl w:val="0"/>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B</w:t>
      </w:r>
      <w:r w:rsidR="00D90A76" w:rsidRPr="00DC52EE">
        <w:rPr>
          <w:sz w:val="20"/>
          <w:szCs w:val="20"/>
        </w:rPr>
        <w:t>onnet</w:t>
      </w:r>
      <w:r w:rsidRPr="00DC52EE">
        <w:rPr>
          <w:sz w:val="20"/>
          <w:szCs w:val="20"/>
        </w:rPr>
        <w:t xml:space="preserve"> </w:t>
      </w:r>
      <w:r w:rsidR="00D90A76" w:rsidRPr="00DC52EE">
        <w:rPr>
          <w:sz w:val="20"/>
          <w:szCs w:val="20"/>
        </w:rPr>
        <w:t>P,</w:t>
      </w:r>
      <w:r w:rsidRPr="00DC52EE">
        <w:rPr>
          <w:sz w:val="20"/>
          <w:szCs w:val="20"/>
        </w:rPr>
        <w:t xml:space="preserve"> </w:t>
      </w:r>
      <w:r w:rsidR="00D90A76" w:rsidRPr="00DC52EE">
        <w:rPr>
          <w:sz w:val="20"/>
          <w:szCs w:val="20"/>
        </w:rPr>
        <w:t>Lancelot</w:t>
      </w:r>
      <w:r w:rsidRPr="00DC52EE">
        <w:rPr>
          <w:sz w:val="20"/>
          <w:szCs w:val="20"/>
        </w:rPr>
        <w:t xml:space="preserve"> </w:t>
      </w:r>
      <w:r w:rsidR="00D90A76" w:rsidRPr="00DC52EE">
        <w:rPr>
          <w:sz w:val="20"/>
          <w:szCs w:val="20"/>
        </w:rPr>
        <w:t>R,</w:t>
      </w:r>
      <w:r w:rsidRPr="00DC52EE">
        <w:rPr>
          <w:sz w:val="20"/>
          <w:szCs w:val="20"/>
        </w:rPr>
        <w:t xml:space="preserve"> </w:t>
      </w:r>
      <w:r w:rsidR="00D90A76" w:rsidRPr="00DC52EE">
        <w:rPr>
          <w:sz w:val="20"/>
          <w:szCs w:val="20"/>
        </w:rPr>
        <w:t>Seegers</w:t>
      </w:r>
      <w:r w:rsidRPr="00DC52EE">
        <w:rPr>
          <w:sz w:val="20"/>
          <w:szCs w:val="20"/>
        </w:rPr>
        <w:t xml:space="preserve"> </w:t>
      </w:r>
      <w:r w:rsidR="00D90A76" w:rsidRPr="00DC52EE">
        <w:rPr>
          <w:sz w:val="20"/>
          <w:szCs w:val="20"/>
        </w:rPr>
        <w:t>H</w:t>
      </w:r>
      <w:r w:rsidRPr="00DC52EE">
        <w:rPr>
          <w:sz w:val="20"/>
          <w:szCs w:val="20"/>
        </w:rPr>
        <w:t xml:space="preserve"> </w:t>
      </w:r>
      <w:r w:rsidR="00D90A76" w:rsidRPr="00DC52EE">
        <w:rPr>
          <w:sz w:val="20"/>
          <w:szCs w:val="20"/>
        </w:rPr>
        <w:t>and</w:t>
      </w:r>
      <w:r w:rsidRPr="00DC52EE">
        <w:rPr>
          <w:sz w:val="20"/>
          <w:szCs w:val="20"/>
        </w:rPr>
        <w:t xml:space="preserve"> </w:t>
      </w:r>
      <w:r w:rsidR="00D90A76" w:rsidRPr="00DC52EE">
        <w:rPr>
          <w:sz w:val="20"/>
          <w:szCs w:val="20"/>
        </w:rPr>
        <w:t>Martinez</w:t>
      </w:r>
      <w:r w:rsidRPr="00DC52EE">
        <w:rPr>
          <w:sz w:val="20"/>
          <w:szCs w:val="20"/>
        </w:rPr>
        <w:t xml:space="preserve"> </w:t>
      </w:r>
      <w:r w:rsidR="00D90A76" w:rsidRPr="00DC52EE">
        <w:rPr>
          <w:sz w:val="20"/>
          <w:szCs w:val="20"/>
        </w:rPr>
        <w:t>D</w:t>
      </w:r>
      <w:r w:rsidRPr="00DC52EE">
        <w:rPr>
          <w:sz w:val="20"/>
          <w:szCs w:val="20"/>
        </w:rPr>
        <w:t xml:space="preserve"> </w:t>
      </w:r>
      <w:r w:rsidR="00D90A76" w:rsidRPr="00DC52EE">
        <w:rPr>
          <w:sz w:val="20"/>
          <w:szCs w:val="20"/>
        </w:rPr>
        <w:t>(2011):</w:t>
      </w:r>
      <w:r w:rsidRPr="00DC52EE">
        <w:rPr>
          <w:sz w:val="20"/>
          <w:szCs w:val="20"/>
        </w:rPr>
        <w:t xml:space="preserve"> </w:t>
      </w:r>
      <w:r w:rsidR="00D90A76" w:rsidRPr="00DC52EE">
        <w:rPr>
          <w:sz w:val="20"/>
          <w:szCs w:val="20"/>
        </w:rPr>
        <w:t>World</w:t>
      </w:r>
      <w:r w:rsidRPr="00DC52EE">
        <w:rPr>
          <w:sz w:val="20"/>
          <w:szCs w:val="20"/>
        </w:rPr>
        <w:t xml:space="preserve"> </w:t>
      </w:r>
      <w:r w:rsidR="00D90A76" w:rsidRPr="00DC52EE">
        <w:rPr>
          <w:sz w:val="20"/>
          <w:szCs w:val="20"/>
        </w:rPr>
        <w:t>organization</w:t>
      </w:r>
      <w:r w:rsidRPr="00DC52EE">
        <w:rPr>
          <w:sz w:val="20"/>
          <w:szCs w:val="20"/>
        </w:rPr>
        <w:t xml:space="preserve"> </w:t>
      </w:r>
      <w:r w:rsidR="00D90A76" w:rsidRPr="00DC52EE">
        <w:rPr>
          <w:sz w:val="20"/>
          <w:szCs w:val="20"/>
        </w:rPr>
        <w:t>for</w:t>
      </w:r>
      <w:r w:rsidRPr="00DC52EE">
        <w:rPr>
          <w:sz w:val="20"/>
          <w:szCs w:val="20"/>
        </w:rPr>
        <w:t xml:space="preserve"> </w:t>
      </w:r>
      <w:r w:rsidR="00D90A76" w:rsidRPr="00DC52EE">
        <w:rPr>
          <w:sz w:val="20"/>
          <w:szCs w:val="20"/>
        </w:rPr>
        <w:t>animal</w:t>
      </w:r>
      <w:r w:rsidRPr="00DC52EE">
        <w:rPr>
          <w:sz w:val="20"/>
          <w:szCs w:val="20"/>
        </w:rPr>
        <w:t xml:space="preserve"> </w:t>
      </w:r>
      <w:r w:rsidR="00D90A76" w:rsidRPr="00DC52EE">
        <w:rPr>
          <w:sz w:val="20"/>
          <w:szCs w:val="20"/>
        </w:rPr>
        <w:t>health.</w:t>
      </w:r>
      <w:r w:rsidRPr="00DC52EE">
        <w:rPr>
          <w:sz w:val="20"/>
          <w:szCs w:val="20"/>
        </w:rPr>
        <w:t xml:space="preserve"> </w:t>
      </w:r>
      <w:r w:rsidR="00D90A76" w:rsidRPr="00DC52EE">
        <w:rPr>
          <w:sz w:val="20"/>
          <w:szCs w:val="20"/>
        </w:rPr>
        <w:t>Seventy</w:t>
      </w:r>
      <w:r w:rsidRPr="00DC52EE">
        <w:rPr>
          <w:sz w:val="20"/>
          <w:szCs w:val="20"/>
        </w:rPr>
        <w:t xml:space="preserve"> </w:t>
      </w:r>
      <w:r w:rsidR="00D90A76" w:rsidRPr="00DC52EE">
        <w:rPr>
          <w:sz w:val="20"/>
          <w:szCs w:val="20"/>
        </w:rPr>
        <w:t>ninth</w:t>
      </w:r>
      <w:r w:rsidRPr="00DC52EE">
        <w:rPr>
          <w:sz w:val="20"/>
          <w:szCs w:val="20"/>
        </w:rPr>
        <w:t xml:space="preserve"> </w:t>
      </w:r>
      <w:r w:rsidR="00D90A76" w:rsidRPr="00DC52EE">
        <w:rPr>
          <w:sz w:val="20"/>
          <w:szCs w:val="20"/>
        </w:rPr>
        <w:t>General</w:t>
      </w:r>
      <w:r w:rsidRPr="00DC52EE">
        <w:rPr>
          <w:sz w:val="20"/>
          <w:szCs w:val="20"/>
        </w:rPr>
        <w:t xml:space="preserve"> </w:t>
      </w:r>
      <w:r w:rsidR="00D90A76" w:rsidRPr="00DC52EE">
        <w:rPr>
          <w:sz w:val="20"/>
          <w:szCs w:val="20"/>
        </w:rPr>
        <w:t>sessions</w:t>
      </w:r>
      <w:r w:rsidRPr="00DC52EE">
        <w:rPr>
          <w:sz w:val="20"/>
          <w:szCs w:val="20"/>
        </w:rPr>
        <w:t xml:space="preserve"> </w:t>
      </w:r>
      <w:r w:rsidR="00D90A76" w:rsidRPr="00DC52EE">
        <w:rPr>
          <w:sz w:val="20"/>
          <w:szCs w:val="20"/>
        </w:rPr>
        <w:t>World</w:t>
      </w:r>
      <w:r w:rsidRPr="00DC52EE">
        <w:rPr>
          <w:sz w:val="20"/>
          <w:szCs w:val="20"/>
        </w:rPr>
        <w:t xml:space="preserve"> </w:t>
      </w:r>
      <w:r w:rsidR="00D90A76" w:rsidRPr="00DC52EE">
        <w:rPr>
          <w:sz w:val="20"/>
          <w:szCs w:val="20"/>
        </w:rPr>
        <w:t>Assembly,</w:t>
      </w:r>
      <w:r w:rsidRPr="00DC52EE">
        <w:rPr>
          <w:sz w:val="20"/>
          <w:szCs w:val="20"/>
        </w:rPr>
        <w:t xml:space="preserve"> </w:t>
      </w:r>
      <w:r w:rsidR="00D90A76" w:rsidRPr="00DC52EE">
        <w:rPr>
          <w:sz w:val="20"/>
          <w:szCs w:val="20"/>
        </w:rPr>
        <w:t>Paris</w:t>
      </w:r>
      <w:r w:rsidRPr="00DC52EE">
        <w:rPr>
          <w:sz w:val="20"/>
          <w:szCs w:val="20"/>
        </w:rPr>
        <w:t xml:space="preserve"> </w:t>
      </w:r>
      <w:r w:rsidR="00D90A76" w:rsidRPr="00DC52EE">
        <w:rPr>
          <w:sz w:val="20"/>
          <w:szCs w:val="20"/>
        </w:rPr>
        <w:t>22-27</w:t>
      </w:r>
      <w:r w:rsidRPr="00DC52EE">
        <w:rPr>
          <w:sz w:val="20"/>
          <w:szCs w:val="20"/>
        </w:rPr>
        <w:t xml:space="preserve"> </w:t>
      </w:r>
      <w:r w:rsidR="00D90A76" w:rsidRPr="00DC52EE">
        <w:rPr>
          <w:sz w:val="20"/>
          <w:szCs w:val="20"/>
        </w:rPr>
        <w:t>May</w:t>
      </w:r>
      <w:r w:rsidRPr="00DC52EE">
        <w:rPr>
          <w:sz w:val="20"/>
          <w:szCs w:val="20"/>
        </w:rPr>
        <w:t xml:space="preserve"> </w:t>
      </w:r>
      <w:r w:rsidR="00D90A76" w:rsidRPr="00DC52EE">
        <w:rPr>
          <w:sz w:val="20"/>
          <w:szCs w:val="20"/>
        </w:rPr>
        <w:t>2011.</w:t>
      </w:r>
      <w:r w:rsidRPr="00DC52EE">
        <w:rPr>
          <w:sz w:val="20"/>
          <w:szCs w:val="20"/>
        </w:rPr>
        <w:t xml:space="preserve"> </w:t>
      </w:r>
    </w:p>
    <w:p w:rsidR="00903A07" w:rsidRPr="00DC52EE" w:rsidRDefault="006F6DA6" w:rsidP="00BB7760">
      <w:pPr>
        <w:pStyle w:val="ListParagraph"/>
        <w:numPr>
          <w:ilvl w:val="0"/>
          <w:numId w:val="21"/>
        </w:numPr>
        <w:snapToGrid w:val="0"/>
        <w:spacing w:after="0" w:line="240" w:lineRule="auto"/>
        <w:ind w:left="425" w:hanging="425"/>
        <w:jc w:val="both"/>
        <w:rPr>
          <w:sz w:val="20"/>
          <w:szCs w:val="20"/>
        </w:rPr>
      </w:pPr>
      <w:r w:rsidRPr="00DC52EE">
        <w:rPr>
          <w:rStyle w:val="Strong"/>
          <w:b w:val="0"/>
          <w:sz w:val="20"/>
          <w:szCs w:val="20"/>
        </w:rPr>
        <w:t>Cent</w:t>
      </w:r>
      <w:r w:rsidR="00994DE5" w:rsidRPr="00DC52EE">
        <w:rPr>
          <w:rStyle w:val="Strong"/>
          <w:b w:val="0"/>
          <w:sz w:val="20"/>
          <w:szCs w:val="20"/>
        </w:rPr>
        <w:t>ral</w:t>
      </w:r>
      <w:r w:rsidR="00903A07" w:rsidRPr="00DC52EE">
        <w:rPr>
          <w:rStyle w:val="Strong"/>
          <w:b w:val="0"/>
          <w:sz w:val="20"/>
          <w:szCs w:val="20"/>
        </w:rPr>
        <w:t xml:space="preserve"> </w:t>
      </w:r>
      <w:r w:rsidR="00994DE5" w:rsidRPr="00DC52EE">
        <w:rPr>
          <w:rStyle w:val="Strong"/>
          <w:b w:val="0"/>
          <w:sz w:val="20"/>
          <w:szCs w:val="20"/>
        </w:rPr>
        <w:t>Statistic</w:t>
      </w:r>
      <w:r w:rsidR="00903A07" w:rsidRPr="00DC52EE">
        <w:rPr>
          <w:rStyle w:val="Strong"/>
          <w:b w:val="0"/>
          <w:sz w:val="20"/>
          <w:szCs w:val="20"/>
        </w:rPr>
        <w:t xml:space="preserve"> </w:t>
      </w:r>
      <w:r w:rsidR="00994DE5" w:rsidRPr="00DC52EE">
        <w:rPr>
          <w:rStyle w:val="Strong"/>
          <w:b w:val="0"/>
          <w:sz w:val="20"/>
          <w:szCs w:val="20"/>
        </w:rPr>
        <w:t>Agency</w:t>
      </w:r>
      <w:r w:rsidR="00903A07" w:rsidRPr="00DC52EE">
        <w:rPr>
          <w:rStyle w:val="Strong"/>
          <w:b w:val="0"/>
          <w:sz w:val="20"/>
          <w:szCs w:val="20"/>
        </w:rPr>
        <w:t xml:space="preserve"> </w:t>
      </w:r>
      <w:r w:rsidR="00F32AF7" w:rsidRPr="00DC52EE">
        <w:rPr>
          <w:rStyle w:val="Strong"/>
          <w:b w:val="0"/>
          <w:sz w:val="20"/>
          <w:szCs w:val="20"/>
        </w:rPr>
        <w:t>(CSA).</w:t>
      </w:r>
      <w:r w:rsidR="00903A07" w:rsidRPr="00DC52EE">
        <w:rPr>
          <w:rStyle w:val="Strong"/>
          <w:b w:val="0"/>
          <w:sz w:val="20"/>
          <w:szCs w:val="20"/>
        </w:rPr>
        <w:t xml:space="preserve"> </w:t>
      </w:r>
      <w:r w:rsidR="00F32AF7" w:rsidRPr="00DC52EE">
        <w:rPr>
          <w:rStyle w:val="Strong"/>
          <w:b w:val="0"/>
          <w:sz w:val="20"/>
          <w:szCs w:val="20"/>
        </w:rPr>
        <w:t>(2008</w:t>
      </w:r>
      <w:r w:rsidRPr="00DC52EE">
        <w:rPr>
          <w:rStyle w:val="Strong"/>
          <w:b w:val="0"/>
          <w:sz w:val="20"/>
          <w:szCs w:val="20"/>
        </w:rPr>
        <w:t>):</w:t>
      </w:r>
      <w:r w:rsidR="00903A07" w:rsidRPr="00DC52EE">
        <w:rPr>
          <w:sz w:val="20"/>
          <w:szCs w:val="20"/>
        </w:rPr>
        <w:t xml:space="preserve"> </w:t>
      </w:r>
      <w:r w:rsidRPr="00DC52EE">
        <w:rPr>
          <w:sz w:val="20"/>
          <w:szCs w:val="20"/>
        </w:rPr>
        <w:t>Agricultural</w:t>
      </w:r>
      <w:r w:rsidR="00903A07" w:rsidRPr="00DC52EE">
        <w:rPr>
          <w:sz w:val="20"/>
          <w:szCs w:val="20"/>
        </w:rPr>
        <w:t xml:space="preserve"> </w:t>
      </w:r>
      <w:r w:rsidRPr="00DC52EE">
        <w:rPr>
          <w:sz w:val="20"/>
          <w:szCs w:val="20"/>
        </w:rPr>
        <w:t>sample</w:t>
      </w:r>
      <w:r w:rsidR="00903A07" w:rsidRPr="00DC52EE">
        <w:rPr>
          <w:sz w:val="20"/>
          <w:szCs w:val="20"/>
        </w:rPr>
        <w:t xml:space="preserve"> </w:t>
      </w:r>
      <w:r w:rsidRPr="00DC52EE">
        <w:rPr>
          <w:sz w:val="20"/>
          <w:szCs w:val="20"/>
        </w:rPr>
        <w:t>survey</w:t>
      </w:r>
      <w:r w:rsidR="00903A07" w:rsidRPr="00DC52EE">
        <w:rPr>
          <w:sz w:val="20"/>
          <w:szCs w:val="20"/>
        </w:rPr>
        <w:t xml:space="preserve"> </w:t>
      </w:r>
      <w:r w:rsidRPr="00DC52EE">
        <w:rPr>
          <w:sz w:val="20"/>
          <w:szCs w:val="20"/>
        </w:rPr>
        <w:t>Volume</w:t>
      </w:r>
      <w:r w:rsidR="00903A07" w:rsidRPr="00DC52EE">
        <w:rPr>
          <w:sz w:val="20"/>
          <w:szCs w:val="20"/>
        </w:rPr>
        <w:t xml:space="preserve"> </w:t>
      </w:r>
      <w:r w:rsidRPr="00DC52EE">
        <w:rPr>
          <w:sz w:val="20"/>
          <w:szCs w:val="20"/>
        </w:rPr>
        <w:t>II,</w:t>
      </w:r>
      <w:r w:rsidR="00903A07" w:rsidRPr="00DC52EE">
        <w:rPr>
          <w:sz w:val="20"/>
          <w:szCs w:val="20"/>
        </w:rPr>
        <w:t xml:space="preserve"> </w:t>
      </w:r>
      <w:r w:rsidRPr="00DC52EE">
        <w:rPr>
          <w:sz w:val="20"/>
          <w:szCs w:val="20"/>
        </w:rPr>
        <w:t>Central</w:t>
      </w:r>
      <w:r w:rsidR="00903A07" w:rsidRPr="00DC52EE">
        <w:rPr>
          <w:sz w:val="20"/>
          <w:szCs w:val="20"/>
        </w:rPr>
        <w:t xml:space="preserve"> </w:t>
      </w:r>
      <w:r w:rsidRPr="00DC52EE">
        <w:rPr>
          <w:sz w:val="20"/>
          <w:szCs w:val="20"/>
        </w:rPr>
        <w:t>Statistic</w:t>
      </w:r>
      <w:r w:rsidR="00903A07" w:rsidRPr="00DC52EE">
        <w:rPr>
          <w:sz w:val="20"/>
          <w:szCs w:val="20"/>
        </w:rPr>
        <w:t xml:space="preserve"> </w:t>
      </w:r>
      <w:r w:rsidRPr="00DC52EE">
        <w:rPr>
          <w:sz w:val="20"/>
          <w:szCs w:val="20"/>
        </w:rPr>
        <w:t>Authority,</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Ethiopia.</w:t>
      </w:r>
    </w:p>
    <w:p w:rsidR="00903A07" w:rsidRPr="00DC52EE" w:rsidRDefault="00205D43"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Chandrawathani,</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Jamnah,</w:t>
      </w:r>
      <w:r w:rsidR="00903A07" w:rsidRPr="00DC52EE">
        <w:rPr>
          <w:sz w:val="20"/>
          <w:szCs w:val="20"/>
        </w:rPr>
        <w:t xml:space="preserve"> </w:t>
      </w:r>
      <w:r w:rsidRPr="00DC52EE">
        <w:rPr>
          <w:sz w:val="20"/>
          <w:szCs w:val="20"/>
        </w:rPr>
        <w:t>O.,</w:t>
      </w:r>
      <w:r w:rsidR="00903A07" w:rsidRPr="00DC52EE">
        <w:rPr>
          <w:sz w:val="20"/>
          <w:szCs w:val="20"/>
        </w:rPr>
        <w:t xml:space="preserve"> </w:t>
      </w:r>
      <w:r w:rsidRPr="00DC52EE">
        <w:rPr>
          <w:sz w:val="20"/>
          <w:szCs w:val="20"/>
        </w:rPr>
        <w:t>Waller,</w:t>
      </w:r>
      <w:r w:rsidR="00903A07" w:rsidRPr="00DC52EE">
        <w:rPr>
          <w:sz w:val="20"/>
          <w:szCs w:val="20"/>
        </w:rPr>
        <w:t xml:space="preserve"> </w:t>
      </w:r>
      <w:r w:rsidRPr="00DC52EE">
        <w:rPr>
          <w:sz w:val="20"/>
          <w:szCs w:val="20"/>
        </w:rPr>
        <w:t>P.J.,</w:t>
      </w:r>
      <w:r w:rsidR="00903A07" w:rsidRPr="00DC52EE">
        <w:rPr>
          <w:sz w:val="20"/>
          <w:szCs w:val="20"/>
        </w:rPr>
        <w:t xml:space="preserve"> </w:t>
      </w:r>
      <w:r w:rsidRPr="00DC52EE">
        <w:rPr>
          <w:sz w:val="20"/>
          <w:szCs w:val="20"/>
        </w:rPr>
        <w:t>Lar</w:t>
      </w:r>
      <w:r w:rsidR="00DA2048" w:rsidRPr="00DC52EE">
        <w:rPr>
          <w:sz w:val="20"/>
          <w:szCs w:val="20"/>
        </w:rPr>
        <w:t>sen,</w:t>
      </w:r>
      <w:r w:rsidR="00903A07" w:rsidRPr="00DC52EE">
        <w:rPr>
          <w:sz w:val="20"/>
          <w:szCs w:val="20"/>
        </w:rPr>
        <w:t xml:space="preserve"> </w:t>
      </w:r>
      <w:r w:rsidR="00DA2048" w:rsidRPr="00DC52EE">
        <w:rPr>
          <w:sz w:val="20"/>
          <w:szCs w:val="20"/>
        </w:rPr>
        <w:t>M.,</w:t>
      </w:r>
      <w:r w:rsidR="00903A07" w:rsidRPr="00DC52EE">
        <w:rPr>
          <w:sz w:val="20"/>
          <w:szCs w:val="20"/>
        </w:rPr>
        <w:t xml:space="preserve"> </w:t>
      </w:r>
      <w:r w:rsidR="00DA2048" w:rsidRPr="00DC52EE">
        <w:rPr>
          <w:sz w:val="20"/>
          <w:szCs w:val="20"/>
        </w:rPr>
        <w:t>Gillespie,</w:t>
      </w:r>
      <w:r w:rsidR="00903A07" w:rsidRPr="00DC52EE">
        <w:rPr>
          <w:sz w:val="20"/>
          <w:szCs w:val="20"/>
        </w:rPr>
        <w:t xml:space="preserve"> </w:t>
      </w:r>
      <w:r w:rsidR="00DA2048" w:rsidRPr="00DC52EE">
        <w:rPr>
          <w:sz w:val="20"/>
          <w:szCs w:val="20"/>
        </w:rPr>
        <w:t>A.T.</w:t>
      </w:r>
      <w:r w:rsidR="00903A07" w:rsidRPr="00DC52EE">
        <w:rPr>
          <w:sz w:val="20"/>
          <w:szCs w:val="20"/>
        </w:rPr>
        <w:t xml:space="preserve"> </w:t>
      </w:r>
      <w:r w:rsidR="00DA2048" w:rsidRPr="00DC52EE">
        <w:rPr>
          <w:sz w:val="20"/>
          <w:szCs w:val="20"/>
        </w:rPr>
        <w:t>(2004):</w:t>
      </w:r>
      <w:r w:rsidR="00903A07" w:rsidRPr="00DC52EE">
        <w:rPr>
          <w:sz w:val="20"/>
          <w:szCs w:val="20"/>
        </w:rPr>
        <w:t xml:space="preserve"> </w:t>
      </w:r>
      <w:r w:rsidRPr="00DC52EE">
        <w:rPr>
          <w:sz w:val="20"/>
          <w:szCs w:val="20"/>
        </w:rPr>
        <w:t>Field</w:t>
      </w:r>
      <w:r w:rsidR="00903A07" w:rsidRPr="00DC52EE">
        <w:rPr>
          <w:sz w:val="20"/>
          <w:szCs w:val="20"/>
        </w:rPr>
        <w:t xml:space="preserve"> </w:t>
      </w:r>
      <w:r w:rsidRPr="00DC52EE">
        <w:rPr>
          <w:sz w:val="20"/>
          <w:szCs w:val="20"/>
        </w:rPr>
        <w:t>studies</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biological</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tropics,</w:t>
      </w:r>
      <w:r w:rsidR="00903A07" w:rsidRPr="00DC52EE">
        <w:rPr>
          <w:sz w:val="20"/>
          <w:szCs w:val="20"/>
        </w:rPr>
        <w:t xml:space="preserve"> </w:t>
      </w:r>
      <w:r w:rsidRPr="00DC52EE">
        <w:rPr>
          <w:sz w:val="20"/>
          <w:szCs w:val="20"/>
        </w:rPr>
        <w:t>using</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microfungus</w:t>
      </w:r>
      <w:r w:rsidR="00903A07" w:rsidRPr="00DC52EE">
        <w:rPr>
          <w:sz w:val="20"/>
          <w:szCs w:val="20"/>
        </w:rPr>
        <w:t xml:space="preserve"> </w:t>
      </w:r>
      <w:r w:rsidRPr="00DC52EE">
        <w:rPr>
          <w:sz w:val="20"/>
          <w:szCs w:val="20"/>
        </w:rPr>
        <w:t>Duddingtoniaflagrans.</w:t>
      </w:r>
      <w:r w:rsidR="00DC52EE" w:rsidRPr="00DC52EE">
        <w:rPr>
          <w:rFonts w:hint="eastAsia"/>
          <w:sz w:val="20"/>
          <w:szCs w:val="20"/>
          <w:lang w:eastAsia="zh-CN"/>
        </w:rPr>
        <w:t xml:space="preserve"> </w:t>
      </w:r>
      <w:r w:rsidR="00054C67" w:rsidRPr="00DC52EE">
        <w:rPr>
          <w:i/>
          <w:iCs/>
          <w:sz w:val="20"/>
          <w:szCs w:val="20"/>
        </w:rPr>
        <w:t>Veter.</w:t>
      </w:r>
      <w:r w:rsidR="00903A07" w:rsidRPr="00DC52EE">
        <w:rPr>
          <w:i/>
          <w:iCs/>
          <w:sz w:val="20"/>
          <w:szCs w:val="20"/>
        </w:rPr>
        <w:t xml:space="preserve"> </w:t>
      </w:r>
      <w:r w:rsidR="00054C67" w:rsidRPr="00DC52EE">
        <w:rPr>
          <w:i/>
          <w:iCs/>
          <w:sz w:val="20"/>
          <w:szCs w:val="20"/>
        </w:rPr>
        <w:t>Paras.</w:t>
      </w:r>
      <w:r w:rsidR="006471F3" w:rsidRPr="00DC52EE">
        <w:rPr>
          <w:i/>
          <w:iCs/>
          <w:sz w:val="20"/>
          <w:szCs w:val="20"/>
        </w:rPr>
        <w:t>,</w:t>
      </w:r>
      <w:r w:rsidRPr="00DC52EE">
        <w:rPr>
          <w:sz w:val="20"/>
          <w:szCs w:val="20"/>
        </w:rPr>
        <w:t>120:</w:t>
      </w:r>
      <w:r w:rsidR="00903A07" w:rsidRPr="00DC52EE">
        <w:rPr>
          <w:sz w:val="20"/>
          <w:szCs w:val="20"/>
        </w:rPr>
        <w:t xml:space="preserve"> </w:t>
      </w:r>
      <w:r w:rsidRPr="00DC52EE">
        <w:rPr>
          <w:sz w:val="20"/>
          <w:szCs w:val="20"/>
        </w:rPr>
        <w:t>177-187.</w:t>
      </w:r>
    </w:p>
    <w:p w:rsidR="00903A07" w:rsidRPr="00DC52EE" w:rsidRDefault="000B245A" w:rsidP="00BB7760">
      <w:pPr>
        <w:pStyle w:val="ListParagraph"/>
        <w:numPr>
          <w:ilvl w:val="0"/>
          <w:numId w:val="21"/>
        </w:numPr>
        <w:snapToGrid w:val="0"/>
        <w:spacing w:after="0" w:line="240" w:lineRule="auto"/>
        <w:ind w:left="425" w:hanging="425"/>
        <w:jc w:val="both"/>
        <w:rPr>
          <w:sz w:val="20"/>
          <w:szCs w:val="20"/>
        </w:rPr>
      </w:pPr>
      <w:r w:rsidRPr="00DC52EE">
        <w:rPr>
          <w:sz w:val="20"/>
          <w:szCs w:val="20"/>
        </w:rPr>
        <w:t>Charles,</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R</w:t>
      </w:r>
      <w:r w:rsidR="00DA2048" w:rsidRPr="00DC52EE">
        <w:rPr>
          <w:sz w:val="20"/>
          <w:szCs w:val="20"/>
        </w:rPr>
        <w:t>obinson,</w:t>
      </w:r>
      <w:r w:rsidR="00903A07" w:rsidRPr="00DC52EE">
        <w:rPr>
          <w:sz w:val="20"/>
          <w:szCs w:val="20"/>
        </w:rPr>
        <w:t xml:space="preserve"> </w:t>
      </w:r>
      <w:r w:rsidR="00DA2048" w:rsidRPr="00DC52EE">
        <w:rPr>
          <w:sz w:val="20"/>
          <w:szCs w:val="20"/>
        </w:rPr>
        <w:t>E.</w:t>
      </w:r>
      <w:r w:rsidR="00903A07" w:rsidRPr="00DC52EE">
        <w:rPr>
          <w:sz w:val="20"/>
          <w:szCs w:val="20"/>
        </w:rPr>
        <w:t xml:space="preserve"> </w:t>
      </w:r>
      <w:r w:rsidR="00DA2048" w:rsidRPr="00DC52EE">
        <w:rPr>
          <w:sz w:val="20"/>
          <w:szCs w:val="20"/>
        </w:rPr>
        <w:t>(2006):</w:t>
      </w:r>
      <w:r w:rsidR="00903A07" w:rsidRPr="00DC52EE">
        <w:rPr>
          <w:sz w:val="20"/>
          <w:szCs w:val="20"/>
        </w:rPr>
        <w:t xml:space="preserve"> </w:t>
      </w:r>
      <w:r w:rsidR="00DA2048" w:rsidRPr="00DC52EE">
        <w:rPr>
          <w:sz w:val="20"/>
          <w:szCs w:val="20"/>
        </w:rPr>
        <w:t>Diagnostic</w:t>
      </w:r>
      <w:r w:rsidR="00903A07" w:rsidRPr="00DC52EE">
        <w:rPr>
          <w:sz w:val="20"/>
          <w:szCs w:val="20"/>
        </w:rPr>
        <w:t xml:space="preserve"> </w:t>
      </w:r>
      <w:r w:rsidR="00DA2048" w:rsidRPr="00DC52EE">
        <w:rPr>
          <w:sz w:val="20"/>
          <w:szCs w:val="20"/>
        </w:rPr>
        <w:t>P</w:t>
      </w:r>
      <w:r w:rsidRPr="00DC52EE">
        <w:rPr>
          <w:sz w:val="20"/>
          <w:szCs w:val="20"/>
        </w:rPr>
        <w:t>arasitology</w:t>
      </w:r>
      <w:r w:rsidR="00903A07" w:rsidRPr="00DC52EE">
        <w:rPr>
          <w:sz w:val="20"/>
          <w:szCs w:val="20"/>
        </w:rPr>
        <w:t xml:space="preserve"> </w:t>
      </w:r>
      <w:r w:rsidRPr="00DC52EE">
        <w:rPr>
          <w:sz w:val="20"/>
          <w:szCs w:val="20"/>
        </w:rPr>
        <w:t>for</w:t>
      </w:r>
      <w:r w:rsidR="00903A07" w:rsidRPr="00DC52EE">
        <w:rPr>
          <w:sz w:val="20"/>
          <w:szCs w:val="20"/>
        </w:rPr>
        <w:t xml:space="preserve"> </w:t>
      </w:r>
      <w:r w:rsidRPr="00DC52EE">
        <w:rPr>
          <w:sz w:val="20"/>
          <w:szCs w:val="20"/>
        </w:rPr>
        <w:t>veterinary</w:t>
      </w:r>
      <w:r w:rsidR="00903A07" w:rsidRPr="00DC52EE">
        <w:rPr>
          <w:sz w:val="20"/>
          <w:szCs w:val="20"/>
        </w:rPr>
        <w:t xml:space="preserve"> </w:t>
      </w:r>
      <w:r w:rsidR="006471F3" w:rsidRPr="00DC52EE">
        <w:rPr>
          <w:sz w:val="20"/>
          <w:szCs w:val="20"/>
        </w:rPr>
        <w:t>technicians</w:t>
      </w:r>
      <w:r w:rsidRPr="00DC52EE">
        <w:rPr>
          <w:sz w:val="20"/>
          <w:szCs w:val="20"/>
        </w:rPr>
        <w:t>.</w:t>
      </w:r>
      <w:r w:rsidR="00903A07" w:rsidRPr="00DC52EE">
        <w:rPr>
          <w:sz w:val="20"/>
          <w:szCs w:val="20"/>
        </w:rPr>
        <w:t xml:space="preserve"> </w:t>
      </w:r>
      <w:r w:rsidRPr="00DC52EE">
        <w:rPr>
          <w:sz w:val="20"/>
          <w:szCs w:val="20"/>
        </w:rPr>
        <w:t>3</w:t>
      </w:r>
      <w:r w:rsidRPr="00DC52EE">
        <w:rPr>
          <w:sz w:val="20"/>
          <w:szCs w:val="20"/>
          <w:vertAlign w:val="superscript"/>
        </w:rPr>
        <w:t>rd</w:t>
      </w:r>
      <w:r w:rsidR="00903A07" w:rsidRPr="00DC52EE">
        <w:rPr>
          <w:sz w:val="20"/>
          <w:szCs w:val="20"/>
          <w:vertAlign w:val="superscript"/>
        </w:rPr>
        <w:t xml:space="preserve"> </w:t>
      </w:r>
      <w:r w:rsidRPr="00DC52EE">
        <w:rPr>
          <w:sz w:val="20"/>
          <w:szCs w:val="20"/>
        </w:rPr>
        <w:t>ed.</w:t>
      </w:r>
      <w:r w:rsidR="00903A07" w:rsidRPr="00DC52EE">
        <w:rPr>
          <w:sz w:val="20"/>
          <w:szCs w:val="20"/>
        </w:rPr>
        <w:t xml:space="preserve"> </w:t>
      </w:r>
      <w:r w:rsidR="00DA2048" w:rsidRPr="00DC52EE">
        <w:rPr>
          <w:sz w:val="20"/>
          <w:szCs w:val="20"/>
        </w:rPr>
        <w:t>Elsevier,</w:t>
      </w:r>
      <w:r w:rsidR="00903A07" w:rsidRPr="00DC52EE">
        <w:rPr>
          <w:sz w:val="20"/>
          <w:szCs w:val="20"/>
        </w:rPr>
        <w:t xml:space="preserve"> </w:t>
      </w:r>
      <w:r w:rsidR="00DA2048" w:rsidRPr="00DC52EE">
        <w:rPr>
          <w:sz w:val="20"/>
          <w:szCs w:val="20"/>
        </w:rPr>
        <w:t>Philadelphia,</w:t>
      </w:r>
      <w:r w:rsidR="00903A07" w:rsidRPr="00DC52EE">
        <w:rPr>
          <w:sz w:val="20"/>
          <w:szCs w:val="20"/>
        </w:rPr>
        <w:t xml:space="preserve"> </w:t>
      </w:r>
      <w:r w:rsidRPr="00DC52EE">
        <w:rPr>
          <w:sz w:val="20"/>
          <w:szCs w:val="20"/>
        </w:rPr>
        <w:t>USA.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43-45.</w:t>
      </w:r>
      <w:r w:rsidR="00903A07" w:rsidRPr="00DC52EE">
        <w:rPr>
          <w:sz w:val="20"/>
          <w:szCs w:val="20"/>
        </w:rPr>
        <w:t xml:space="preserve"> </w:t>
      </w:r>
    </w:p>
    <w:p w:rsidR="00903A07" w:rsidRPr="00DC52EE" w:rsidRDefault="00CA6608"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Charleston,</w:t>
      </w:r>
      <w:r w:rsidR="00903A07" w:rsidRPr="00DC52EE">
        <w:rPr>
          <w:sz w:val="20"/>
          <w:szCs w:val="20"/>
        </w:rPr>
        <w:t xml:space="preserve"> </w:t>
      </w:r>
      <w:r w:rsidRPr="00DC52EE">
        <w:rPr>
          <w:sz w:val="20"/>
          <w:szCs w:val="20"/>
        </w:rPr>
        <w:t>W.A.G.</w:t>
      </w:r>
      <w:r w:rsidR="00903A07" w:rsidRPr="00DC52EE">
        <w:rPr>
          <w:sz w:val="20"/>
          <w:szCs w:val="20"/>
        </w:rPr>
        <w:t xml:space="preserve"> </w:t>
      </w:r>
      <w:r w:rsidRPr="00DC52EE">
        <w:rPr>
          <w:sz w:val="20"/>
          <w:szCs w:val="20"/>
        </w:rPr>
        <w:t>(1997):</w:t>
      </w:r>
      <w:r w:rsidR="00903A07" w:rsidRPr="00DC52EE">
        <w:rPr>
          <w:sz w:val="20"/>
          <w:szCs w:val="20"/>
        </w:rPr>
        <w:t xml:space="preserve"> </w:t>
      </w:r>
      <w:r w:rsidRPr="00DC52EE">
        <w:rPr>
          <w:sz w:val="20"/>
          <w:szCs w:val="20"/>
        </w:rPr>
        <w:t>Trematode</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New</w:t>
      </w:r>
      <w:r w:rsidR="00903A07" w:rsidRPr="00DC52EE">
        <w:rPr>
          <w:sz w:val="20"/>
          <w:szCs w:val="20"/>
        </w:rPr>
        <w:t xml:space="preserve"> </w:t>
      </w:r>
      <w:r w:rsidRPr="00DC52EE">
        <w:rPr>
          <w:sz w:val="20"/>
          <w:szCs w:val="20"/>
        </w:rPr>
        <w:t>Zealand.</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iCs/>
          <w:sz w:val="20"/>
          <w:szCs w:val="20"/>
        </w:rPr>
        <w:t>Sustainable</w:t>
      </w:r>
      <w:r w:rsidR="00903A07" w:rsidRPr="00DC52EE">
        <w:rPr>
          <w:iCs/>
          <w:sz w:val="20"/>
          <w:szCs w:val="20"/>
        </w:rPr>
        <w:t xml:space="preserve"> </w:t>
      </w:r>
      <w:r w:rsidRPr="00DC52EE">
        <w:rPr>
          <w:iCs/>
          <w:sz w:val="20"/>
          <w:szCs w:val="20"/>
        </w:rPr>
        <w:t>control</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internal</w:t>
      </w:r>
      <w:r w:rsidR="00903A07" w:rsidRPr="00DC52EE">
        <w:rPr>
          <w:iCs/>
          <w:sz w:val="20"/>
          <w:szCs w:val="20"/>
        </w:rPr>
        <w:t xml:space="preserve"> </w:t>
      </w:r>
      <w:r w:rsidRPr="00DC52EE">
        <w:rPr>
          <w:iCs/>
          <w:sz w:val="20"/>
          <w:szCs w:val="20"/>
        </w:rPr>
        <w:t>parasites</w:t>
      </w:r>
      <w:r w:rsidR="00903A07" w:rsidRPr="00DC52EE">
        <w:rPr>
          <w:iCs/>
          <w:sz w:val="20"/>
          <w:szCs w:val="20"/>
        </w:rPr>
        <w:t xml:space="preserve"> </w:t>
      </w:r>
      <w:r w:rsidRPr="00DC52EE">
        <w:rPr>
          <w:iCs/>
          <w:sz w:val="20"/>
          <w:szCs w:val="20"/>
        </w:rPr>
        <w:t>in</w:t>
      </w:r>
      <w:r w:rsidR="00903A07" w:rsidRPr="00DC52EE">
        <w:rPr>
          <w:iCs/>
          <w:sz w:val="20"/>
          <w:szCs w:val="20"/>
        </w:rPr>
        <w:t xml:space="preserve"> </w:t>
      </w:r>
      <w:r w:rsidRPr="00DC52EE">
        <w:rPr>
          <w:iCs/>
          <w:sz w:val="20"/>
          <w:szCs w:val="20"/>
        </w:rPr>
        <w:t>ruminants.</w:t>
      </w:r>
      <w:r w:rsidR="00903A07" w:rsidRPr="00DC52EE">
        <w:rPr>
          <w:iCs/>
          <w:sz w:val="20"/>
          <w:szCs w:val="20"/>
        </w:rPr>
        <w:t xml:space="preserve"> </w:t>
      </w:r>
      <w:r w:rsidRPr="00DC52EE">
        <w:rPr>
          <w:iCs/>
          <w:sz w:val="20"/>
          <w:szCs w:val="20"/>
        </w:rPr>
        <w:t>Ed.G.K.</w:t>
      </w:r>
      <w:r w:rsidR="00903A07" w:rsidRPr="00DC52EE">
        <w:rPr>
          <w:iCs/>
          <w:sz w:val="20"/>
          <w:szCs w:val="20"/>
        </w:rPr>
        <w:t xml:space="preserve"> </w:t>
      </w:r>
      <w:r w:rsidRPr="00DC52EE">
        <w:rPr>
          <w:iCs/>
          <w:sz w:val="20"/>
          <w:szCs w:val="20"/>
        </w:rPr>
        <w:t>Barrell.</w:t>
      </w:r>
      <w:r w:rsidR="00903A07" w:rsidRPr="00DC52EE">
        <w:rPr>
          <w:iCs/>
          <w:sz w:val="20"/>
          <w:szCs w:val="20"/>
        </w:rPr>
        <w:t xml:space="preserve"> </w:t>
      </w:r>
      <w:r w:rsidRPr="00DC52EE">
        <w:rPr>
          <w:iCs/>
          <w:sz w:val="20"/>
          <w:szCs w:val="20"/>
        </w:rPr>
        <w:t>Animal</w:t>
      </w:r>
      <w:r w:rsidR="00903A07" w:rsidRPr="00DC52EE">
        <w:rPr>
          <w:iCs/>
          <w:sz w:val="20"/>
          <w:szCs w:val="20"/>
        </w:rPr>
        <w:t xml:space="preserve"> </w:t>
      </w:r>
      <w:r w:rsidRPr="00DC52EE">
        <w:rPr>
          <w:iCs/>
          <w:sz w:val="20"/>
          <w:szCs w:val="20"/>
        </w:rPr>
        <w:t>Industries</w:t>
      </w:r>
      <w:r w:rsidR="00903A07" w:rsidRPr="00DC52EE">
        <w:rPr>
          <w:iCs/>
          <w:sz w:val="20"/>
          <w:szCs w:val="20"/>
        </w:rPr>
        <w:t xml:space="preserve"> </w:t>
      </w:r>
      <w:r w:rsidRPr="00DC52EE">
        <w:rPr>
          <w:iCs/>
          <w:sz w:val="20"/>
          <w:szCs w:val="20"/>
        </w:rPr>
        <w:t>Workshop:</w:t>
      </w:r>
      <w:r w:rsidR="00903A07" w:rsidRPr="00DC52EE">
        <w:rPr>
          <w:iCs/>
          <w:sz w:val="20"/>
          <w:szCs w:val="20"/>
        </w:rPr>
        <w:t xml:space="preserve"> </w:t>
      </w:r>
      <w:r w:rsidRPr="00DC52EE">
        <w:rPr>
          <w:iCs/>
          <w:sz w:val="20"/>
          <w:szCs w:val="20"/>
        </w:rPr>
        <w:t>Chapter</w:t>
      </w:r>
      <w:r w:rsidR="00903A07" w:rsidRPr="00DC52EE">
        <w:rPr>
          <w:iCs/>
          <w:sz w:val="20"/>
          <w:szCs w:val="20"/>
        </w:rPr>
        <w:t xml:space="preserve"> </w:t>
      </w:r>
      <w:r w:rsidRPr="00DC52EE">
        <w:rPr>
          <w:iCs/>
          <w:sz w:val="20"/>
          <w:szCs w:val="20"/>
        </w:rPr>
        <w:t>19</w:t>
      </w:r>
      <w:r w:rsidRPr="00DC52EE">
        <w:rPr>
          <w:i/>
          <w:iCs/>
          <w:sz w:val="20"/>
          <w:szCs w:val="20"/>
        </w:rPr>
        <w:t>:</w:t>
      </w:r>
      <w:r w:rsidR="00903A07" w:rsidRPr="00DC52EE">
        <w:rPr>
          <w:i/>
          <w:iCs/>
          <w:sz w:val="20"/>
          <w:szCs w:val="20"/>
        </w:rPr>
        <w:t xml:space="preserve"> </w:t>
      </w:r>
      <w:r w:rsidRPr="00DC52EE">
        <w:rPr>
          <w:sz w:val="20"/>
          <w:szCs w:val="20"/>
        </w:rPr>
        <w:t>237-262.</w:t>
      </w:r>
    </w:p>
    <w:p w:rsidR="00903A07" w:rsidRPr="00DC52EE" w:rsidRDefault="00A56CC9"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Colditz,</w:t>
      </w:r>
      <w:r w:rsidR="00903A07" w:rsidRPr="00DC52EE">
        <w:rPr>
          <w:sz w:val="20"/>
          <w:szCs w:val="20"/>
        </w:rPr>
        <w:t xml:space="preserve"> </w:t>
      </w:r>
      <w:r w:rsidRPr="00DC52EE">
        <w:rPr>
          <w:sz w:val="20"/>
          <w:szCs w:val="20"/>
        </w:rPr>
        <w:t>I.</w:t>
      </w:r>
      <w:r w:rsidR="004D35E4" w:rsidRPr="00DC52EE">
        <w:rPr>
          <w:sz w:val="20"/>
          <w:szCs w:val="20"/>
        </w:rPr>
        <w:t>G.,</w:t>
      </w:r>
      <w:r w:rsidR="00903A07" w:rsidRPr="00DC52EE">
        <w:rPr>
          <w:sz w:val="20"/>
          <w:szCs w:val="20"/>
        </w:rPr>
        <w:t xml:space="preserve"> </w:t>
      </w:r>
      <w:r w:rsidR="004D35E4" w:rsidRPr="00DC52EE">
        <w:rPr>
          <w:sz w:val="20"/>
          <w:szCs w:val="20"/>
        </w:rPr>
        <w:t>Watson,</w:t>
      </w:r>
      <w:r w:rsidR="00903A07" w:rsidRPr="00DC52EE">
        <w:rPr>
          <w:sz w:val="20"/>
          <w:szCs w:val="20"/>
        </w:rPr>
        <w:t xml:space="preserve"> </w:t>
      </w:r>
      <w:r w:rsidR="004D35E4" w:rsidRPr="00DC52EE">
        <w:rPr>
          <w:sz w:val="20"/>
          <w:szCs w:val="20"/>
        </w:rPr>
        <w:t>D.L.,</w:t>
      </w:r>
      <w:r w:rsidR="00903A07" w:rsidRPr="00DC52EE">
        <w:rPr>
          <w:sz w:val="20"/>
          <w:szCs w:val="20"/>
        </w:rPr>
        <w:t xml:space="preserve"> </w:t>
      </w:r>
      <w:r w:rsidR="004D35E4" w:rsidRPr="00DC52EE">
        <w:rPr>
          <w:sz w:val="20"/>
          <w:szCs w:val="20"/>
        </w:rPr>
        <w:t>Gray,</w:t>
      </w:r>
      <w:r w:rsidR="00903A07" w:rsidRPr="00DC52EE">
        <w:rPr>
          <w:sz w:val="20"/>
          <w:szCs w:val="20"/>
        </w:rPr>
        <w:t xml:space="preserve"> </w:t>
      </w:r>
      <w:r w:rsidR="004D35E4" w:rsidRPr="00DC52EE">
        <w:rPr>
          <w:sz w:val="20"/>
          <w:szCs w:val="20"/>
        </w:rPr>
        <w:t>G.D.</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Eady,</w:t>
      </w:r>
      <w:r w:rsidR="00903A07" w:rsidRPr="00DC52EE">
        <w:rPr>
          <w:sz w:val="20"/>
          <w:szCs w:val="20"/>
        </w:rPr>
        <w:t xml:space="preserve"> </w:t>
      </w:r>
      <w:r w:rsidRPr="00DC52EE">
        <w:rPr>
          <w:sz w:val="20"/>
          <w:szCs w:val="20"/>
        </w:rPr>
        <w:t>S.J.</w:t>
      </w:r>
      <w:r w:rsidR="00903A07" w:rsidRPr="00DC52EE">
        <w:rPr>
          <w:sz w:val="20"/>
          <w:szCs w:val="20"/>
        </w:rPr>
        <w:t xml:space="preserve"> </w:t>
      </w:r>
      <w:r w:rsidRPr="00DC52EE">
        <w:rPr>
          <w:sz w:val="20"/>
          <w:szCs w:val="20"/>
        </w:rPr>
        <w:t>(1996):</w:t>
      </w:r>
      <w:r w:rsidR="00903A07" w:rsidRPr="00DC52EE">
        <w:rPr>
          <w:sz w:val="20"/>
          <w:szCs w:val="20"/>
        </w:rPr>
        <w:t xml:space="preserve"> </w:t>
      </w:r>
      <w:r w:rsidRPr="00DC52EE">
        <w:rPr>
          <w:sz w:val="20"/>
          <w:szCs w:val="20"/>
        </w:rPr>
        <w:t>Some</w:t>
      </w:r>
      <w:r w:rsidR="00903A07" w:rsidRPr="00DC52EE">
        <w:rPr>
          <w:sz w:val="20"/>
          <w:szCs w:val="20"/>
        </w:rPr>
        <w:t xml:space="preserve"> </w:t>
      </w:r>
      <w:r w:rsidRPr="00DC52EE">
        <w:rPr>
          <w:sz w:val="20"/>
          <w:szCs w:val="20"/>
        </w:rPr>
        <w:t>relationships</w:t>
      </w:r>
      <w:r w:rsidR="00903A07" w:rsidRPr="00DC52EE">
        <w:rPr>
          <w:sz w:val="20"/>
          <w:szCs w:val="20"/>
        </w:rPr>
        <w:t xml:space="preserve"> </w:t>
      </w:r>
      <w:r w:rsidRPr="00DC52EE">
        <w:rPr>
          <w:sz w:val="20"/>
          <w:szCs w:val="20"/>
        </w:rPr>
        <w:t>between</w:t>
      </w:r>
      <w:r w:rsidR="00903A07" w:rsidRPr="00DC52EE">
        <w:rPr>
          <w:sz w:val="20"/>
          <w:szCs w:val="20"/>
        </w:rPr>
        <w:t xml:space="preserve"> </w:t>
      </w:r>
      <w:r w:rsidRPr="00DC52EE">
        <w:rPr>
          <w:sz w:val="20"/>
          <w:szCs w:val="20"/>
        </w:rPr>
        <w:t>age</w:t>
      </w:r>
      <w:r w:rsidR="00EE227E" w:rsidRPr="00DC52EE">
        <w:rPr>
          <w:sz w:val="20"/>
          <w:szCs w:val="20"/>
        </w:rPr>
        <w:t>,</w:t>
      </w:r>
      <w:r w:rsidR="00903A07" w:rsidRPr="00DC52EE">
        <w:rPr>
          <w:sz w:val="20"/>
          <w:szCs w:val="20"/>
        </w:rPr>
        <w:t xml:space="preserve"> </w:t>
      </w:r>
      <w:r w:rsidR="00EE227E" w:rsidRPr="00DC52EE">
        <w:rPr>
          <w:sz w:val="20"/>
          <w:szCs w:val="20"/>
        </w:rPr>
        <w:t>immune</w:t>
      </w:r>
      <w:r w:rsidR="00903A07" w:rsidRPr="00DC52EE">
        <w:rPr>
          <w:sz w:val="20"/>
          <w:szCs w:val="20"/>
        </w:rPr>
        <w:t xml:space="preserve"> </w:t>
      </w:r>
      <w:r w:rsidRPr="00DC52EE">
        <w:rPr>
          <w:sz w:val="20"/>
          <w:szCs w:val="20"/>
        </w:rPr>
        <w:t>responsiveness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resistance</w:t>
      </w:r>
      <w:r w:rsidR="00903A07" w:rsidRPr="00DC52EE">
        <w:rPr>
          <w:sz w:val="20"/>
          <w:szCs w:val="20"/>
        </w:rPr>
        <w:t xml:space="preserve"> </w:t>
      </w:r>
      <w:r w:rsidRPr="00DC52EE">
        <w:rPr>
          <w:sz w:val="20"/>
          <w:szCs w:val="20"/>
        </w:rPr>
        <w:t>to</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ruminants.</w:t>
      </w:r>
      <w:r w:rsidR="00903A07" w:rsidRPr="00DC52EE">
        <w:rPr>
          <w:sz w:val="20"/>
          <w:szCs w:val="20"/>
        </w:rPr>
        <w:t xml:space="preserve"> </w:t>
      </w:r>
      <w:r w:rsidR="00283B75" w:rsidRPr="00DC52EE">
        <w:rPr>
          <w:i/>
          <w:sz w:val="20"/>
          <w:szCs w:val="20"/>
        </w:rPr>
        <w:t>Inter.</w:t>
      </w:r>
      <w:r w:rsidR="00903A07" w:rsidRPr="00DC52EE">
        <w:rPr>
          <w:i/>
          <w:sz w:val="20"/>
          <w:szCs w:val="20"/>
        </w:rPr>
        <w:t xml:space="preserve"> </w:t>
      </w:r>
      <w:r w:rsidR="00283B75" w:rsidRPr="00DC52EE">
        <w:rPr>
          <w:i/>
          <w:sz w:val="20"/>
          <w:szCs w:val="20"/>
        </w:rPr>
        <w:t>Jour.</w:t>
      </w:r>
      <w:r w:rsidR="00903A07" w:rsidRPr="00DC52EE">
        <w:rPr>
          <w:i/>
          <w:sz w:val="20"/>
          <w:szCs w:val="20"/>
        </w:rPr>
        <w:t xml:space="preserve"> </w:t>
      </w:r>
      <w:r w:rsidRPr="00DC52EE">
        <w:rPr>
          <w:i/>
          <w:sz w:val="20"/>
          <w:szCs w:val="20"/>
        </w:rPr>
        <w:t>of</w:t>
      </w:r>
      <w:r w:rsidR="00903A07" w:rsidRPr="00DC52EE">
        <w:rPr>
          <w:i/>
          <w:sz w:val="20"/>
          <w:szCs w:val="20"/>
        </w:rPr>
        <w:t xml:space="preserve"> </w:t>
      </w:r>
      <w:r w:rsidRPr="00DC52EE">
        <w:rPr>
          <w:i/>
          <w:sz w:val="20"/>
          <w:szCs w:val="20"/>
        </w:rPr>
        <w:t>Para</w:t>
      </w:r>
      <w:r w:rsidR="00A22A25" w:rsidRPr="00DC52EE">
        <w:rPr>
          <w:i/>
          <w:sz w:val="20"/>
          <w:szCs w:val="20"/>
        </w:rPr>
        <w:t>s</w:t>
      </w:r>
      <w:r w:rsidR="00283B75" w:rsidRPr="00DC52EE">
        <w:rPr>
          <w:i/>
          <w:sz w:val="20"/>
          <w:szCs w:val="20"/>
        </w:rPr>
        <w:t>.</w:t>
      </w:r>
      <w:r w:rsidR="006471F3" w:rsidRPr="00DC52EE">
        <w:rPr>
          <w:i/>
          <w:sz w:val="20"/>
          <w:szCs w:val="20"/>
        </w:rPr>
        <w:t>,</w:t>
      </w:r>
      <w:r w:rsidRPr="00DC52EE">
        <w:rPr>
          <w:sz w:val="20"/>
          <w:szCs w:val="20"/>
        </w:rPr>
        <w:t>26:</w:t>
      </w:r>
      <w:r w:rsidR="00903A07" w:rsidRPr="00DC52EE">
        <w:rPr>
          <w:sz w:val="20"/>
          <w:szCs w:val="20"/>
        </w:rPr>
        <w:t xml:space="preserve"> </w:t>
      </w:r>
      <w:r w:rsidRPr="00DC52EE">
        <w:rPr>
          <w:sz w:val="20"/>
          <w:szCs w:val="20"/>
        </w:rPr>
        <w:t>869-877.</w:t>
      </w:r>
      <w:r w:rsidR="00903A07" w:rsidRPr="00DC52EE">
        <w:rPr>
          <w:sz w:val="20"/>
          <w:szCs w:val="20"/>
        </w:rPr>
        <w:t xml:space="preserve"> </w:t>
      </w:r>
    </w:p>
    <w:p w:rsidR="00903A07" w:rsidRPr="00DC52EE" w:rsidRDefault="00192246"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Dagnachew,</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Amamute,</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Temegen,</w:t>
      </w:r>
      <w:r w:rsidR="00903A07" w:rsidRPr="00DC52EE">
        <w:rPr>
          <w:sz w:val="20"/>
          <w:szCs w:val="20"/>
        </w:rPr>
        <w:t xml:space="preserve"> </w:t>
      </w:r>
      <w:r w:rsidRPr="00DC52EE">
        <w:rPr>
          <w:sz w:val="20"/>
          <w:szCs w:val="20"/>
        </w:rPr>
        <w:t>W.</w:t>
      </w:r>
      <w:r w:rsidR="00903A07" w:rsidRPr="00DC52EE">
        <w:rPr>
          <w:sz w:val="20"/>
          <w:szCs w:val="20"/>
        </w:rPr>
        <w:t xml:space="preserve"> </w:t>
      </w:r>
      <w:r w:rsidRPr="00DC52EE">
        <w:rPr>
          <w:sz w:val="20"/>
          <w:szCs w:val="20"/>
        </w:rPr>
        <w:t>(2011):</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helminthiasis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selected</w:t>
      </w:r>
      <w:r w:rsidR="00903A07" w:rsidRPr="00DC52EE">
        <w:rPr>
          <w:sz w:val="20"/>
          <w:szCs w:val="20"/>
        </w:rPr>
        <w:t xml:space="preserve"> </w:t>
      </w:r>
      <w:r w:rsidRPr="00DC52EE">
        <w:rPr>
          <w:sz w:val="20"/>
          <w:szCs w:val="20"/>
        </w:rPr>
        <w:t>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North</w:t>
      </w:r>
      <w:r w:rsidR="00903A07" w:rsidRPr="00DC52EE">
        <w:rPr>
          <w:sz w:val="20"/>
          <w:szCs w:val="20"/>
        </w:rPr>
        <w:t xml:space="preserve"> </w:t>
      </w:r>
      <w:r w:rsidRPr="00DC52EE">
        <w:rPr>
          <w:sz w:val="20"/>
          <w:szCs w:val="20"/>
        </w:rPr>
        <w:t>Gondar</w:t>
      </w:r>
      <w:r w:rsidR="00903A07" w:rsidRPr="00DC52EE">
        <w:rPr>
          <w:sz w:val="20"/>
          <w:szCs w:val="20"/>
        </w:rPr>
        <w:t xml:space="preserve"> </w:t>
      </w:r>
      <w:r w:rsidRPr="00DC52EE">
        <w:rPr>
          <w:sz w:val="20"/>
          <w:szCs w:val="20"/>
        </w:rPr>
        <w:t>zone,</w:t>
      </w:r>
      <w:r w:rsidR="00903A07" w:rsidRPr="00DC52EE">
        <w:rPr>
          <w:sz w:val="20"/>
          <w:szCs w:val="20"/>
        </w:rPr>
        <w:t xml:space="preserve"> </w:t>
      </w:r>
      <w:r w:rsidRPr="00DC52EE">
        <w:rPr>
          <w:sz w:val="20"/>
          <w:szCs w:val="20"/>
        </w:rPr>
        <w:t>Northwest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J</w:t>
      </w:r>
      <w:r w:rsidRPr="00DC52EE">
        <w:rPr>
          <w:sz w:val="20"/>
          <w:szCs w:val="20"/>
        </w:rPr>
        <w:t>.</w:t>
      </w:r>
      <w:r w:rsidR="006471F3" w:rsidRPr="00DC52EE">
        <w:rPr>
          <w:sz w:val="20"/>
          <w:szCs w:val="20"/>
        </w:rPr>
        <w:t>,</w:t>
      </w:r>
      <w:r w:rsidR="00903A07" w:rsidRPr="00DC52EE">
        <w:rPr>
          <w:sz w:val="20"/>
          <w:szCs w:val="20"/>
        </w:rPr>
        <w:t xml:space="preserve"> </w:t>
      </w:r>
      <w:r w:rsidRPr="00DC52EE">
        <w:rPr>
          <w:sz w:val="20"/>
          <w:szCs w:val="20"/>
        </w:rPr>
        <w:t>15</w:t>
      </w:r>
      <w:r w:rsidR="00903A07" w:rsidRPr="00DC52EE">
        <w:rPr>
          <w:sz w:val="20"/>
          <w:szCs w:val="20"/>
        </w:rPr>
        <w:t xml:space="preserve"> </w:t>
      </w:r>
      <w:r w:rsidRPr="00DC52EE">
        <w:rPr>
          <w:sz w:val="20"/>
          <w:szCs w:val="20"/>
        </w:rPr>
        <w:t>(2):</w:t>
      </w:r>
      <w:r w:rsidR="00903A07" w:rsidRPr="00DC52EE">
        <w:rPr>
          <w:sz w:val="20"/>
          <w:szCs w:val="20"/>
        </w:rPr>
        <w:t xml:space="preserve"> </w:t>
      </w:r>
      <w:r w:rsidRPr="00DC52EE">
        <w:rPr>
          <w:sz w:val="20"/>
          <w:szCs w:val="20"/>
        </w:rPr>
        <w:t>57-68</w:t>
      </w:r>
      <w:r w:rsidR="00A850EC" w:rsidRPr="00DC52EE">
        <w:rPr>
          <w:sz w:val="20"/>
          <w:szCs w:val="20"/>
        </w:rPr>
        <w:t>.</w:t>
      </w:r>
    </w:p>
    <w:p w:rsidR="00903A07" w:rsidRPr="00DC52EE" w:rsidRDefault="00A05A29" w:rsidP="00BB7760">
      <w:pPr>
        <w:pStyle w:val="Default"/>
        <w:numPr>
          <w:ilvl w:val="0"/>
          <w:numId w:val="21"/>
        </w:numPr>
        <w:snapToGrid w:val="0"/>
        <w:ind w:left="425" w:hanging="425"/>
        <w:jc w:val="both"/>
        <w:rPr>
          <w:rFonts w:ascii="Times New Roman" w:hAnsi="Times New Roman" w:cs="Times New Roman"/>
          <w:sz w:val="20"/>
          <w:szCs w:val="20"/>
        </w:rPr>
      </w:pPr>
      <w:r w:rsidRPr="00DC52EE">
        <w:rPr>
          <w:rFonts w:ascii="Times New Roman" w:hAnsi="Times New Roman" w:cs="Times New Roman"/>
          <w:bCs/>
          <w:color w:val="auto"/>
          <w:sz w:val="20"/>
          <w:szCs w:val="20"/>
        </w:rPr>
        <w:t>Diriba,</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L.</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and</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Birhanu,</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color w:val="auto"/>
          <w:sz w:val="20"/>
          <w:szCs w:val="20"/>
        </w:rPr>
        <w:t>(2013):</w:t>
      </w:r>
      <w:r w:rsidR="00903A07" w:rsidRPr="00DC52EE">
        <w:rPr>
          <w:rFonts w:ascii="Times New Roman" w:hAnsi="Times New Roman" w:cs="Times New Roman"/>
          <w:color w:val="auto"/>
          <w:sz w:val="20"/>
          <w:szCs w:val="20"/>
        </w:rPr>
        <w:t xml:space="preserve"> </w:t>
      </w:r>
      <w:r w:rsidR="001B081A" w:rsidRPr="00DC52EE">
        <w:rPr>
          <w:rFonts w:ascii="Times New Roman" w:hAnsi="Times New Roman" w:cs="Times New Roman"/>
          <w:bCs/>
          <w:color w:val="auto"/>
          <w:sz w:val="20"/>
          <w:szCs w:val="20"/>
        </w:rPr>
        <w:t>Prevalence</w:t>
      </w:r>
      <w:r w:rsidR="00DC52EE" w:rsidRPr="00DC52EE">
        <w:rPr>
          <w:rFonts w:ascii="Times New Roman" w:hAnsi="Times New Roman" w:cs="Times New Roman" w:hint="eastAsia"/>
          <w:bCs/>
          <w:color w:val="auto"/>
          <w:sz w:val="20"/>
          <w:szCs w:val="20"/>
          <w:lang w:eastAsia="zh-CN"/>
        </w:rPr>
        <w:t xml:space="preserve"> </w:t>
      </w:r>
      <w:r w:rsidRPr="00DC52EE">
        <w:rPr>
          <w:rFonts w:ascii="Times New Roman" w:hAnsi="Times New Roman" w:cs="Times New Roman"/>
          <w:bCs/>
          <w:color w:val="auto"/>
          <w:sz w:val="20"/>
          <w:szCs w:val="20"/>
        </w:rPr>
        <w:t>of</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ovine</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gastrointestinal</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nematodes</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in</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and</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around</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Asella,</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South</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Eastern</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Ethiopia</w:t>
      </w:r>
      <w:r w:rsidR="003B1ECC" w:rsidRPr="00DC52EE">
        <w:rPr>
          <w:rFonts w:ascii="Times New Roman" w:hAnsi="Times New Roman" w:cs="Times New Roman"/>
          <w:bCs/>
          <w:color w:val="auto"/>
          <w:sz w:val="20"/>
          <w:szCs w:val="20"/>
        </w:rPr>
        <w:t>.</w:t>
      </w:r>
      <w:r w:rsidR="00903A07" w:rsidRPr="00DC52EE">
        <w:rPr>
          <w:rFonts w:ascii="Times New Roman" w:hAnsi="Times New Roman" w:cs="Times New Roman"/>
          <w:bCs/>
          <w:color w:val="auto"/>
          <w:sz w:val="20"/>
          <w:szCs w:val="20"/>
        </w:rPr>
        <w:t xml:space="preserve"> </w:t>
      </w:r>
      <w:r w:rsidR="008C4ABD" w:rsidRPr="00DC52EE">
        <w:rPr>
          <w:rFonts w:ascii="Times New Roman" w:hAnsi="Times New Roman" w:cs="Times New Roman"/>
          <w:sz w:val="20"/>
          <w:szCs w:val="20"/>
        </w:rPr>
        <w:t>Asella</w:t>
      </w:r>
      <w:r w:rsidR="00903A07" w:rsidRPr="00DC52EE">
        <w:rPr>
          <w:rFonts w:ascii="Times New Roman" w:hAnsi="Times New Roman" w:cs="Times New Roman"/>
          <w:sz w:val="20"/>
          <w:szCs w:val="20"/>
        </w:rPr>
        <w:t xml:space="preserve"> </w:t>
      </w:r>
      <w:r w:rsidR="008C4ABD" w:rsidRPr="00DC52EE">
        <w:rPr>
          <w:rFonts w:ascii="Times New Roman" w:hAnsi="Times New Roman" w:cs="Times New Roman"/>
          <w:sz w:val="20"/>
          <w:szCs w:val="20"/>
        </w:rPr>
        <w:t>Regional</w:t>
      </w:r>
      <w:r w:rsidR="00903A07" w:rsidRPr="00DC52EE">
        <w:rPr>
          <w:rFonts w:ascii="Times New Roman" w:hAnsi="Times New Roman" w:cs="Times New Roman"/>
          <w:sz w:val="20"/>
          <w:szCs w:val="20"/>
        </w:rPr>
        <w:t xml:space="preserve"> </w:t>
      </w:r>
      <w:r w:rsidR="008C4ABD" w:rsidRPr="00DC52EE">
        <w:rPr>
          <w:rFonts w:ascii="Times New Roman" w:hAnsi="Times New Roman" w:cs="Times New Roman"/>
          <w:sz w:val="20"/>
          <w:szCs w:val="20"/>
        </w:rPr>
        <w:t>Veterinary</w:t>
      </w:r>
      <w:r w:rsidR="00903A07" w:rsidRPr="00DC52EE">
        <w:rPr>
          <w:rFonts w:ascii="Times New Roman" w:hAnsi="Times New Roman" w:cs="Times New Roman"/>
          <w:sz w:val="20"/>
          <w:szCs w:val="20"/>
        </w:rPr>
        <w:t xml:space="preserve"> </w:t>
      </w:r>
      <w:r w:rsidR="00EF055E" w:rsidRPr="00DC52EE">
        <w:rPr>
          <w:rFonts w:ascii="Times New Roman" w:hAnsi="Times New Roman" w:cs="Times New Roman"/>
          <w:sz w:val="20"/>
          <w:szCs w:val="20"/>
        </w:rPr>
        <w:t>Laboratory</w:t>
      </w:r>
      <w:r w:rsidR="0036128B" w:rsidRPr="00DC52EE">
        <w:rPr>
          <w:rFonts w:ascii="Times New Roman" w:hAnsi="Times New Roman" w:cs="Times New Roman"/>
          <w:sz w:val="20"/>
          <w:szCs w:val="20"/>
        </w:rPr>
        <w:t>.</w:t>
      </w:r>
      <w:r w:rsidR="00903A07" w:rsidRPr="00DC52EE">
        <w:rPr>
          <w:rFonts w:ascii="Times New Roman" w:hAnsi="Times New Roman" w:cs="Times New Roman"/>
          <w:sz w:val="20"/>
          <w:szCs w:val="20"/>
        </w:rPr>
        <w:t xml:space="preserve"> </w:t>
      </w:r>
      <w:r w:rsidR="0036128B" w:rsidRPr="00DC52EE">
        <w:rPr>
          <w:rFonts w:ascii="Times New Roman" w:hAnsi="Times New Roman" w:cs="Times New Roman"/>
          <w:i/>
          <w:sz w:val="20"/>
          <w:szCs w:val="20"/>
        </w:rPr>
        <w:t>J.</w:t>
      </w:r>
      <w:r w:rsidR="003B1ECC" w:rsidRPr="00DC52EE">
        <w:rPr>
          <w:rFonts w:ascii="Times New Roman" w:hAnsi="Times New Roman" w:cs="Times New Roman"/>
          <w:i/>
          <w:sz w:val="20"/>
          <w:szCs w:val="20"/>
        </w:rPr>
        <w:t>Vet.</w:t>
      </w:r>
      <w:r w:rsidR="00903A07" w:rsidRPr="00DC52EE">
        <w:rPr>
          <w:rFonts w:ascii="Times New Roman" w:hAnsi="Times New Roman" w:cs="Times New Roman"/>
          <w:i/>
          <w:sz w:val="20"/>
          <w:szCs w:val="20"/>
        </w:rPr>
        <w:t xml:space="preserve"> </w:t>
      </w:r>
      <w:r w:rsidR="003B1ECC" w:rsidRPr="00DC52EE">
        <w:rPr>
          <w:rFonts w:ascii="Times New Roman" w:hAnsi="Times New Roman" w:cs="Times New Roman"/>
          <w:i/>
          <w:sz w:val="20"/>
          <w:szCs w:val="20"/>
        </w:rPr>
        <w:t>Med.</w:t>
      </w:r>
      <w:r w:rsidR="00903A07" w:rsidRPr="00DC52EE">
        <w:rPr>
          <w:rFonts w:ascii="Times New Roman" w:hAnsi="Times New Roman" w:cs="Times New Roman"/>
          <w:i/>
          <w:sz w:val="20"/>
          <w:szCs w:val="20"/>
        </w:rPr>
        <w:t xml:space="preserve"> </w:t>
      </w:r>
      <w:r w:rsidR="003B1ECC" w:rsidRPr="00DC52EE">
        <w:rPr>
          <w:rFonts w:ascii="Times New Roman" w:hAnsi="Times New Roman" w:cs="Times New Roman"/>
          <w:i/>
          <w:sz w:val="20"/>
          <w:szCs w:val="20"/>
        </w:rPr>
        <w:t>Anim.</w:t>
      </w:r>
      <w:r w:rsidR="00903A07" w:rsidRPr="00DC52EE">
        <w:rPr>
          <w:rFonts w:ascii="Times New Roman" w:hAnsi="Times New Roman" w:cs="Times New Roman"/>
          <w:i/>
          <w:sz w:val="20"/>
          <w:szCs w:val="20"/>
        </w:rPr>
        <w:t xml:space="preserve"> </w:t>
      </w:r>
      <w:r w:rsidR="003B1ECC" w:rsidRPr="00DC52EE">
        <w:rPr>
          <w:rFonts w:ascii="Times New Roman" w:hAnsi="Times New Roman" w:cs="Times New Roman"/>
          <w:i/>
          <w:sz w:val="20"/>
          <w:szCs w:val="20"/>
        </w:rPr>
        <w:t>Health</w:t>
      </w:r>
      <w:r w:rsidRPr="00DC52EE">
        <w:rPr>
          <w:rFonts w:ascii="Times New Roman" w:hAnsi="Times New Roman" w:cs="Times New Roman"/>
          <w:bCs/>
          <w:color w:val="auto"/>
          <w:sz w:val="20"/>
          <w:szCs w:val="20"/>
        </w:rPr>
        <w:t>.</w:t>
      </w:r>
      <w:r w:rsidR="00903A07" w:rsidRPr="00DC52EE">
        <w:rPr>
          <w:rFonts w:ascii="Times New Roman" w:hAnsi="Times New Roman" w:cs="Times New Roman"/>
          <w:bCs/>
          <w:color w:val="auto"/>
          <w:sz w:val="20"/>
          <w:szCs w:val="20"/>
        </w:rPr>
        <w:t xml:space="preserve"> </w:t>
      </w:r>
      <w:r w:rsidR="00D93292" w:rsidRPr="00DC52EE">
        <w:rPr>
          <w:rFonts w:ascii="Times New Roman" w:hAnsi="Times New Roman" w:cs="Times New Roman"/>
          <w:sz w:val="20"/>
          <w:szCs w:val="20"/>
        </w:rPr>
        <w:t>5</w:t>
      </w:r>
      <w:r w:rsidR="00903A07" w:rsidRPr="00DC52EE">
        <w:rPr>
          <w:rFonts w:ascii="Times New Roman" w:hAnsi="Times New Roman" w:cs="Times New Roman"/>
          <w:sz w:val="20"/>
          <w:szCs w:val="20"/>
        </w:rPr>
        <w:t xml:space="preserve"> </w:t>
      </w:r>
      <w:r w:rsidR="00D93292" w:rsidRPr="00DC52EE">
        <w:rPr>
          <w:rFonts w:ascii="Times New Roman" w:hAnsi="Times New Roman" w:cs="Times New Roman"/>
          <w:sz w:val="20"/>
          <w:szCs w:val="20"/>
        </w:rPr>
        <w:t>(8):222-228.</w:t>
      </w:r>
    </w:p>
    <w:p w:rsidR="00903A07" w:rsidRPr="00DC52EE" w:rsidRDefault="009D24A4" w:rsidP="00BB7760">
      <w:pPr>
        <w:pStyle w:val="Default"/>
        <w:numPr>
          <w:ilvl w:val="0"/>
          <w:numId w:val="21"/>
        </w:numPr>
        <w:snapToGrid w:val="0"/>
        <w:ind w:left="425" w:hanging="425"/>
        <w:jc w:val="both"/>
        <w:rPr>
          <w:rStyle w:val="Strong"/>
          <w:b w:val="0"/>
          <w:color w:val="auto"/>
          <w:sz w:val="20"/>
          <w:szCs w:val="20"/>
        </w:rPr>
      </w:pPr>
      <w:r w:rsidRPr="00DC52EE">
        <w:rPr>
          <w:rFonts w:ascii="Times New Roman" w:hAnsi="Times New Roman" w:cs="Times New Roman"/>
          <w:bCs/>
          <w:color w:val="auto"/>
          <w:sz w:val="20"/>
          <w:szCs w:val="20"/>
        </w:rPr>
        <w:t>Donald,</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W.,</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Duszynski,</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S.,</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Upton,</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J.,</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and</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Couch,</w:t>
      </w:r>
      <w:r w:rsidR="00903A07" w:rsidRPr="00DC52EE">
        <w:rPr>
          <w:rFonts w:ascii="Times New Roman" w:hAnsi="Times New Roman" w:cs="Times New Roman"/>
          <w:bCs/>
          <w:color w:val="auto"/>
          <w:sz w:val="20"/>
          <w:szCs w:val="20"/>
        </w:rPr>
        <w:t xml:space="preserve"> </w:t>
      </w:r>
      <w:r w:rsidRPr="00DC52EE">
        <w:rPr>
          <w:rFonts w:ascii="Times New Roman" w:hAnsi="Times New Roman" w:cs="Times New Roman"/>
          <w:bCs/>
          <w:color w:val="auto"/>
          <w:sz w:val="20"/>
          <w:szCs w:val="20"/>
        </w:rPr>
        <w:t>L.</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(2010):</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Taxonomic</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summary</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of</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genera</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within</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the</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“Eimeridae”</w:t>
      </w:r>
      <w:r w:rsidR="00CE48AA" w:rsidRPr="00DC52EE">
        <w:rPr>
          <w:rFonts w:ascii="Times New Roman" w:hAnsi="Times New Roman" w:cs="Times New Roman"/>
          <w:bCs/>
          <w:color w:val="auto"/>
          <w:sz w:val="20"/>
          <w:szCs w:val="20"/>
        </w:rPr>
        <w:t>.</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University</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of</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New</w:t>
      </w:r>
      <w:r w:rsidR="00903A07" w:rsidRPr="00DC52EE">
        <w:rPr>
          <w:rFonts w:ascii="Times New Roman" w:hAnsi="Times New Roman" w:cs="Times New Roman"/>
          <w:bCs/>
          <w:color w:val="auto"/>
          <w:sz w:val="20"/>
          <w:szCs w:val="20"/>
        </w:rPr>
        <w:t xml:space="preserve"> </w:t>
      </w:r>
      <w:r w:rsidR="00344550" w:rsidRPr="00DC52EE">
        <w:rPr>
          <w:rFonts w:ascii="Times New Roman" w:hAnsi="Times New Roman" w:cs="Times New Roman"/>
          <w:bCs/>
          <w:color w:val="auto"/>
          <w:sz w:val="20"/>
          <w:szCs w:val="20"/>
        </w:rPr>
        <w:t>Mexico.</w:t>
      </w:r>
    </w:p>
    <w:p w:rsidR="00903A07" w:rsidRPr="00DC52EE" w:rsidRDefault="00B370FA" w:rsidP="00BB7760">
      <w:pPr>
        <w:pStyle w:val="ListParagraph"/>
        <w:numPr>
          <w:ilvl w:val="0"/>
          <w:numId w:val="21"/>
        </w:numPr>
        <w:snapToGrid w:val="0"/>
        <w:spacing w:after="0" w:line="240" w:lineRule="auto"/>
        <w:ind w:left="425" w:hanging="425"/>
        <w:jc w:val="both"/>
        <w:rPr>
          <w:sz w:val="20"/>
          <w:szCs w:val="20"/>
        </w:rPr>
      </w:pPr>
      <w:r w:rsidRPr="00DC52EE">
        <w:rPr>
          <w:rStyle w:val="Strong"/>
          <w:b w:val="0"/>
          <w:sz w:val="20"/>
          <w:szCs w:val="20"/>
        </w:rPr>
        <w:t>Duguma,</w:t>
      </w:r>
      <w:r w:rsidR="00903A07" w:rsidRPr="00DC52EE">
        <w:rPr>
          <w:rStyle w:val="Strong"/>
          <w:b w:val="0"/>
          <w:sz w:val="20"/>
          <w:szCs w:val="20"/>
        </w:rPr>
        <w:t xml:space="preserve"> </w:t>
      </w:r>
      <w:r w:rsidRPr="00DC52EE">
        <w:rPr>
          <w:rStyle w:val="Strong"/>
          <w:b w:val="0"/>
          <w:sz w:val="20"/>
          <w:szCs w:val="20"/>
        </w:rPr>
        <w:t>G.,</w:t>
      </w:r>
      <w:r w:rsidR="00903A07" w:rsidRPr="00DC52EE">
        <w:rPr>
          <w:rStyle w:val="Strong"/>
          <w:b w:val="0"/>
          <w:sz w:val="20"/>
          <w:szCs w:val="20"/>
        </w:rPr>
        <w:t xml:space="preserve"> </w:t>
      </w:r>
      <w:r w:rsidRPr="00DC52EE">
        <w:rPr>
          <w:rStyle w:val="Strong"/>
          <w:b w:val="0"/>
          <w:sz w:val="20"/>
          <w:szCs w:val="20"/>
        </w:rPr>
        <w:t>Mirkena,</w:t>
      </w:r>
      <w:r w:rsidR="00903A07" w:rsidRPr="00DC52EE">
        <w:rPr>
          <w:rStyle w:val="Strong"/>
          <w:b w:val="0"/>
          <w:sz w:val="20"/>
          <w:szCs w:val="20"/>
        </w:rPr>
        <w:t xml:space="preserve"> </w:t>
      </w:r>
      <w:r w:rsidRPr="00DC52EE">
        <w:rPr>
          <w:rStyle w:val="Strong"/>
          <w:b w:val="0"/>
          <w:sz w:val="20"/>
          <w:szCs w:val="20"/>
        </w:rPr>
        <w:t>T.,</w:t>
      </w:r>
      <w:r w:rsidR="00903A07" w:rsidRPr="00DC52EE">
        <w:rPr>
          <w:rStyle w:val="Strong"/>
          <w:b w:val="0"/>
          <w:sz w:val="20"/>
          <w:szCs w:val="20"/>
        </w:rPr>
        <w:t xml:space="preserve"> </w:t>
      </w:r>
      <w:r w:rsidRPr="00DC52EE">
        <w:rPr>
          <w:rStyle w:val="Strong"/>
          <w:b w:val="0"/>
          <w:sz w:val="20"/>
          <w:szCs w:val="20"/>
        </w:rPr>
        <w:t>Haile,</w:t>
      </w:r>
      <w:r w:rsidR="00903A07" w:rsidRPr="00DC52EE">
        <w:rPr>
          <w:rStyle w:val="Strong"/>
          <w:b w:val="0"/>
          <w:sz w:val="20"/>
          <w:szCs w:val="20"/>
        </w:rPr>
        <w:t xml:space="preserve"> </w:t>
      </w:r>
      <w:r w:rsidRPr="00DC52EE">
        <w:rPr>
          <w:rStyle w:val="Strong"/>
          <w:b w:val="0"/>
          <w:sz w:val="20"/>
          <w:szCs w:val="20"/>
        </w:rPr>
        <w:t>A.,</w:t>
      </w:r>
      <w:r w:rsidR="00903A07" w:rsidRPr="00DC52EE">
        <w:rPr>
          <w:rStyle w:val="Strong"/>
          <w:b w:val="0"/>
          <w:sz w:val="20"/>
          <w:szCs w:val="20"/>
        </w:rPr>
        <w:t xml:space="preserve"> </w:t>
      </w:r>
      <w:r w:rsidRPr="00DC52EE">
        <w:rPr>
          <w:rStyle w:val="Strong"/>
          <w:b w:val="0"/>
          <w:sz w:val="20"/>
          <w:szCs w:val="20"/>
        </w:rPr>
        <w:t>Iñiguez,</w:t>
      </w:r>
      <w:r w:rsidR="00903A07" w:rsidRPr="00DC52EE">
        <w:rPr>
          <w:rStyle w:val="Strong"/>
          <w:b w:val="0"/>
          <w:sz w:val="20"/>
          <w:szCs w:val="20"/>
        </w:rPr>
        <w:t xml:space="preserve"> </w:t>
      </w:r>
      <w:r w:rsidRPr="00DC52EE">
        <w:rPr>
          <w:rStyle w:val="Strong"/>
          <w:b w:val="0"/>
          <w:sz w:val="20"/>
          <w:szCs w:val="20"/>
        </w:rPr>
        <w:t>L.,</w:t>
      </w:r>
      <w:r w:rsidR="00903A07" w:rsidRPr="00DC52EE">
        <w:rPr>
          <w:rStyle w:val="Strong"/>
          <w:b w:val="0"/>
          <w:sz w:val="20"/>
          <w:szCs w:val="20"/>
        </w:rPr>
        <w:t xml:space="preserve"> </w:t>
      </w:r>
      <w:r w:rsidRPr="00DC52EE">
        <w:rPr>
          <w:rStyle w:val="Strong"/>
          <w:b w:val="0"/>
          <w:sz w:val="20"/>
          <w:szCs w:val="20"/>
        </w:rPr>
        <w:t>Okeyo,</w:t>
      </w:r>
      <w:r w:rsidR="00903A07" w:rsidRPr="00DC52EE">
        <w:rPr>
          <w:rStyle w:val="Strong"/>
          <w:b w:val="0"/>
          <w:sz w:val="20"/>
          <w:szCs w:val="20"/>
        </w:rPr>
        <w:t xml:space="preserve"> </w:t>
      </w:r>
      <w:r w:rsidRPr="00DC52EE">
        <w:rPr>
          <w:rStyle w:val="Strong"/>
          <w:b w:val="0"/>
          <w:sz w:val="20"/>
          <w:szCs w:val="20"/>
        </w:rPr>
        <w:t>A.</w:t>
      </w:r>
      <w:r w:rsidR="00903A07" w:rsidRPr="00DC52EE">
        <w:rPr>
          <w:rStyle w:val="Strong"/>
          <w:b w:val="0"/>
          <w:sz w:val="20"/>
          <w:szCs w:val="20"/>
        </w:rPr>
        <w:t xml:space="preserve"> </w:t>
      </w:r>
      <w:r w:rsidRPr="00DC52EE">
        <w:rPr>
          <w:rStyle w:val="Strong"/>
          <w:b w:val="0"/>
          <w:sz w:val="20"/>
          <w:szCs w:val="20"/>
        </w:rPr>
        <w:t>M.,</w:t>
      </w:r>
      <w:r w:rsidR="00903A07" w:rsidRPr="00DC52EE">
        <w:rPr>
          <w:rStyle w:val="Strong"/>
          <w:b w:val="0"/>
          <w:sz w:val="20"/>
          <w:szCs w:val="20"/>
        </w:rPr>
        <w:t xml:space="preserve"> </w:t>
      </w:r>
      <w:r w:rsidRPr="00DC52EE">
        <w:rPr>
          <w:rStyle w:val="Strong"/>
          <w:b w:val="0"/>
          <w:sz w:val="20"/>
          <w:szCs w:val="20"/>
        </w:rPr>
        <w:t>Tibbo,</w:t>
      </w:r>
      <w:r w:rsidR="00903A07" w:rsidRPr="00DC52EE">
        <w:rPr>
          <w:rStyle w:val="Strong"/>
          <w:b w:val="0"/>
          <w:sz w:val="20"/>
          <w:szCs w:val="20"/>
        </w:rPr>
        <w:t xml:space="preserve"> </w:t>
      </w:r>
      <w:r w:rsidRPr="00DC52EE">
        <w:rPr>
          <w:rStyle w:val="Strong"/>
          <w:b w:val="0"/>
          <w:sz w:val="20"/>
          <w:szCs w:val="20"/>
        </w:rPr>
        <w:t>M.,</w:t>
      </w:r>
      <w:r w:rsidR="00903A07" w:rsidRPr="00DC52EE">
        <w:rPr>
          <w:rStyle w:val="Strong"/>
          <w:b w:val="0"/>
          <w:sz w:val="20"/>
          <w:szCs w:val="20"/>
        </w:rPr>
        <w:t xml:space="preserve"> </w:t>
      </w:r>
      <w:r w:rsidRPr="00DC52EE">
        <w:rPr>
          <w:rStyle w:val="Strong"/>
          <w:b w:val="0"/>
          <w:sz w:val="20"/>
          <w:szCs w:val="20"/>
        </w:rPr>
        <w:t>Rischkowsky,</w:t>
      </w:r>
      <w:r w:rsidR="00903A07" w:rsidRPr="00DC52EE">
        <w:rPr>
          <w:rStyle w:val="Strong"/>
          <w:b w:val="0"/>
          <w:sz w:val="20"/>
          <w:szCs w:val="20"/>
        </w:rPr>
        <w:t xml:space="preserve"> </w:t>
      </w:r>
      <w:r w:rsidRPr="00DC52EE">
        <w:rPr>
          <w:rStyle w:val="Strong"/>
          <w:b w:val="0"/>
          <w:sz w:val="20"/>
          <w:szCs w:val="20"/>
        </w:rPr>
        <w:t>B.,</w:t>
      </w:r>
      <w:r w:rsidR="00903A07" w:rsidRPr="00DC52EE">
        <w:rPr>
          <w:rStyle w:val="Strong"/>
          <w:b w:val="0"/>
          <w:sz w:val="20"/>
          <w:szCs w:val="20"/>
        </w:rPr>
        <w:t xml:space="preserve"> </w:t>
      </w:r>
      <w:r w:rsidRPr="00DC52EE">
        <w:rPr>
          <w:rStyle w:val="Strong"/>
          <w:b w:val="0"/>
          <w:sz w:val="20"/>
          <w:szCs w:val="20"/>
        </w:rPr>
        <w:t>Sölkner,</w:t>
      </w:r>
      <w:r w:rsidR="00903A07" w:rsidRPr="00DC52EE">
        <w:rPr>
          <w:rStyle w:val="Strong"/>
          <w:b w:val="0"/>
          <w:sz w:val="20"/>
          <w:szCs w:val="20"/>
        </w:rPr>
        <w:t xml:space="preserve"> </w:t>
      </w:r>
      <w:r w:rsidRPr="00DC52EE">
        <w:rPr>
          <w:rStyle w:val="Strong"/>
          <w:b w:val="0"/>
          <w:sz w:val="20"/>
          <w:szCs w:val="20"/>
        </w:rPr>
        <w:t>J.</w:t>
      </w:r>
      <w:r w:rsidR="00903A07" w:rsidRPr="00DC52EE">
        <w:rPr>
          <w:rStyle w:val="Strong"/>
          <w:b w:val="0"/>
          <w:sz w:val="20"/>
          <w:szCs w:val="20"/>
        </w:rPr>
        <w:t xml:space="preserve"> </w:t>
      </w:r>
      <w:r w:rsidRPr="00DC52EE">
        <w:rPr>
          <w:rStyle w:val="Strong"/>
          <w:b w:val="0"/>
          <w:sz w:val="20"/>
          <w:szCs w:val="20"/>
        </w:rPr>
        <w:t>and</w:t>
      </w:r>
      <w:r w:rsidR="00903A07" w:rsidRPr="00DC52EE">
        <w:rPr>
          <w:rStyle w:val="Strong"/>
          <w:b w:val="0"/>
          <w:sz w:val="20"/>
          <w:szCs w:val="20"/>
        </w:rPr>
        <w:t xml:space="preserve"> </w:t>
      </w:r>
      <w:r w:rsidRPr="00DC52EE">
        <w:rPr>
          <w:rStyle w:val="Strong"/>
          <w:b w:val="0"/>
          <w:sz w:val="20"/>
          <w:szCs w:val="20"/>
        </w:rPr>
        <w:t>Wurzinger,</w:t>
      </w:r>
      <w:r w:rsidR="00903A07" w:rsidRPr="00DC52EE">
        <w:rPr>
          <w:rStyle w:val="Strong"/>
          <w:b w:val="0"/>
          <w:sz w:val="20"/>
          <w:szCs w:val="20"/>
        </w:rPr>
        <w:t xml:space="preserve"> </w:t>
      </w:r>
      <w:r w:rsidRPr="00DC52EE">
        <w:rPr>
          <w:rStyle w:val="Strong"/>
          <w:b w:val="0"/>
          <w:sz w:val="20"/>
          <w:szCs w:val="20"/>
        </w:rPr>
        <w:t>M.</w:t>
      </w:r>
      <w:r w:rsidR="00903A07" w:rsidRPr="00DC52EE">
        <w:rPr>
          <w:rStyle w:val="Strong"/>
          <w:b w:val="0"/>
          <w:sz w:val="20"/>
          <w:szCs w:val="20"/>
        </w:rPr>
        <w:t xml:space="preserve"> </w:t>
      </w:r>
      <w:r w:rsidRPr="00DC52EE">
        <w:rPr>
          <w:rStyle w:val="Strong"/>
          <w:b w:val="0"/>
          <w:sz w:val="20"/>
          <w:szCs w:val="20"/>
        </w:rPr>
        <w:t>(2010):</w:t>
      </w:r>
      <w:r w:rsidR="00903A07" w:rsidRPr="00DC52EE">
        <w:rPr>
          <w:rStyle w:val="Strong"/>
          <w:b w:val="0"/>
          <w:sz w:val="20"/>
          <w:szCs w:val="20"/>
        </w:rPr>
        <w:t xml:space="preserve"> </w:t>
      </w:r>
      <w:r w:rsidR="003052A8" w:rsidRPr="00DC52EE">
        <w:rPr>
          <w:sz w:val="20"/>
          <w:szCs w:val="20"/>
        </w:rPr>
        <w:t>Designing</w:t>
      </w:r>
      <w:r w:rsidR="00903A07" w:rsidRPr="00DC52EE">
        <w:rPr>
          <w:sz w:val="20"/>
          <w:szCs w:val="20"/>
        </w:rPr>
        <w:t xml:space="preserve"> </w:t>
      </w:r>
      <w:r w:rsidR="00CD05FB" w:rsidRPr="00DC52EE">
        <w:rPr>
          <w:sz w:val="20"/>
          <w:szCs w:val="20"/>
        </w:rPr>
        <w:t>and</w:t>
      </w:r>
      <w:r w:rsidR="00903A07" w:rsidRPr="00DC52EE">
        <w:rPr>
          <w:sz w:val="20"/>
          <w:szCs w:val="20"/>
        </w:rPr>
        <w:t xml:space="preserve"> </w:t>
      </w:r>
      <w:r w:rsidR="00CD05FB" w:rsidRPr="00DC52EE">
        <w:rPr>
          <w:sz w:val="20"/>
          <w:szCs w:val="20"/>
        </w:rPr>
        <w:t>implementation</w:t>
      </w:r>
      <w:r w:rsidR="00903A07" w:rsidRPr="00DC52EE">
        <w:rPr>
          <w:sz w:val="20"/>
          <w:szCs w:val="20"/>
        </w:rPr>
        <w:t xml:space="preserve"> </w:t>
      </w:r>
      <w:r w:rsidR="00CD05FB" w:rsidRPr="00DC52EE">
        <w:rPr>
          <w:sz w:val="20"/>
          <w:szCs w:val="20"/>
        </w:rPr>
        <w:t>of</w:t>
      </w:r>
      <w:r w:rsidR="00903A07" w:rsidRPr="00DC52EE">
        <w:rPr>
          <w:sz w:val="20"/>
          <w:szCs w:val="20"/>
        </w:rPr>
        <w:t xml:space="preserve"> </w:t>
      </w:r>
      <w:r w:rsidR="00CD05FB" w:rsidRPr="00DC52EE">
        <w:rPr>
          <w:sz w:val="20"/>
          <w:szCs w:val="20"/>
        </w:rPr>
        <w:t>community</w:t>
      </w:r>
      <w:r w:rsidR="00903A07" w:rsidRPr="00DC52EE">
        <w:rPr>
          <w:sz w:val="20"/>
          <w:szCs w:val="20"/>
        </w:rPr>
        <w:t xml:space="preserve"> </w:t>
      </w:r>
      <w:r w:rsidR="00CD05FB" w:rsidRPr="00DC52EE">
        <w:rPr>
          <w:sz w:val="20"/>
          <w:szCs w:val="20"/>
        </w:rPr>
        <w:t>based</w:t>
      </w:r>
      <w:r w:rsidR="00903A07" w:rsidRPr="00DC52EE">
        <w:rPr>
          <w:sz w:val="20"/>
          <w:szCs w:val="20"/>
        </w:rPr>
        <w:t xml:space="preserve"> </w:t>
      </w:r>
      <w:r w:rsidR="00CD05FB" w:rsidRPr="00DC52EE">
        <w:rPr>
          <w:sz w:val="20"/>
          <w:szCs w:val="20"/>
        </w:rPr>
        <w:t>breeding</w:t>
      </w:r>
      <w:r w:rsidR="00903A07" w:rsidRPr="00DC52EE">
        <w:rPr>
          <w:sz w:val="20"/>
          <w:szCs w:val="20"/>
        </w:rPr>
        <w:t xml:space="preserve"> </w:t>
      </w:r>
      <w:r w:rsidR="00CD05FB" w:rsidRPr="00DC52EE">
        <w:rPr>
          <w:sz w:val="20"/>
          <w:szCs w:val="20"/>
        </w:rPr>
        <w:t>programs</w:t>
      </w:r>
      <w:r w:rsidR="00903A07" w:rsidRPr="00DC52EE">
        <w:rPr>
          <w:sz w:val="20"/>
          <w:szCs w:val="20"/>
        </w:rPr>
        <w:t xml:space="preserve"> </w:t>
      </w:r>
      <w:r w:rsidR="00CD05FB" w:rsidRPr="00DC52EE">
        <w:rPr>
          <w:sz w:val="20"/>
          <w:szCs w:val="20"/>
        </w:rPr>
        <w:t>for</w:t>
      </w:r>
      <w:r w:rsidR="00903A07" w:rsidRPr="00DC52EE">
        <w:rPr>
          <w:sz w:val="20"/>
          <w:szCs w:val="20"/>
        </w:rPr>
        <w:t xml:space="preserve"> </w:t>
      </w:r>
      <w:r w:rsidR="00CD05FB" w:rsidRPr="00DC52EE">
        <w:rPr>
          <w:sz w:val="20"/>
          <w:szCs w:val="20"/>
        </w:rPr>
        <w:t>adapted</w:t>
      </w:r>
      <w:r w:rsidR="00903A07" w:rsidRPr="00DC52EE">
        <w:rPr>
          <w:sz w:val="20"/>
          <w:szCs w:val="20"/>
        </w:rPr>
        <w:t xml:space="preserve"> </w:t>
      </w:r>
      <w:r w:rsidR="00CD05FB" w:rsidRPr="00DC52EE">
        <w:rPr>
          <w:sz w:val="20"/>
          <w:szCs w:val="20"/>
        </w:rPr>
        <w:t>local</w:t>
      </w:r>
      <w:r w:rsidR="00903A07" w:rsidRPr="00DC52EE">
        <w:rPr>
          <w:sz w:val="20"/>
          <w:szCs w:val="20"/>
        </w:rPr>
        <w:t xml:space="preserve"> </w:t>
      </w:r>
      <w:r w:rsidR="00CD05FB" w:rsidRPr="00DC52EE">
        <w:rPr>
          <w:sz w:val="20"/>
          <w:szCs w:val="20"/>
        </w:rPr>
        <w:t>sheep</w:t>
      </w:r>
      <w:r w:rsidR="00903A07" w:rsidRPr="00DC52EE">
        <w:rPr>
          <w:sz w:val="20"/>
          <w:szCs w:val="20"/>
        </w:rPr>
        <w:t xml:space="preserve"> </w:t>
      </w:r>
      <w:r w:rsidR="00CD05FB" w:rsidRPr="00DC52EE">
        <w:rPr>
          <w:sz w:val="20"/>
          <w:szCs w:val="20"/>
        </w:rPr>
        <w:t>breeds</w:t>
      </w:r>
      <w:r w:rsidR="00903A07" w:rsidRPr="00DC52EE">
        <w:rPr>
          <w:sz w:val="20"/>
          <w:szCs w:val="20"/>
        </w:rPr>
        <w:t xml:space="preserve"> </w:t>
      </w:r>
      <w:r w:rsidR="00CD05FB" w:rsidRPr="00DC52EE">
        <w:rPr>
          <w:sz w:val="20"/>
          <w:szCs w:val="20"/>
        </w:rPr>
        <w:t>in</w:t>
      </w:r>
      <w:r w:rsidR="00903A07" w:rsidRPr="00DC52EE">
        <w:rPr>
          <w:sz w:val="20"/>
          <w:szCs w:val="20"/>
        </w:rPr>
        <w:t xml:space="preserve"> </w:t>
      </w:r>
      <w:r w:rsidR="00CD05FB" w:rsidRPr="00DC52EE">
        <w:rPr>
          <w:sz w:val="20"/>
          <w:szCs w:val="20"/>
        </w:rPr>
        <w:t>Ethiopia.</w:t>
      </w:r>
      <w:r w:rsidR="00903A07" w:rsidRPr="00DC52EE">
        <w:rPr>
          <w:sz w:val="20"/>
          <w:szCs w:val="20"/>
        </w:rPr>
        <w:t xml:space="preserve"> </w:t>
      </w:r>
      <w:r w:rsidR="00CD05FB" w:rsidRPr="00DC52EE">
        <w:rPr>
          <w:sz w:val="20"/>
          <w:szCs w:val="20"/>
        </w:rPr>
        <w:t>5</w:t>
      </w:r>
      <w:r w:rsidR="00CD05FB" w:rsidRPr="00DC52EE">
        <w:rPr>
          <w:sz w:val="20"/>
          <w:szCs w:val="20"/>
          <w:vertAlign w:val="superscript"/>
        </w:rPr>
        <w:t>th</w:t>
      </w:r>
      <w:r w:rsidR="00903A07" w:rsidRPr="00DC52EE">
        <w:rPr>
          <w:sz w:val="20"/>
          <w:szCs w:val="20"/>
        </w:rPr>
        <w:t xml:space="preserve"> </w:t>
      </w:r>
      <w:r w:rsidR="005660B3" w:rsidRPr="00DC52EE">
        <w:rPr>
          <w:sz w:val="20"/>
          <w:szCs w:val="20"/>
        </w:rPr>
        <w:t>all</w:t>
      </w:r>
      <w:r w:rsidR="00903A07" w:rsidRPr="00DC52EE">
        <w:rPr>
          <w:sz w:val="20"/>
          <w:szCs w:val="20"/>
        </w:rPr>
        <w:t xml:space="preserve"> </w:t>
      </w:r>
      <w:r w:rsidR="005660B3" w:rsidRPr="00DC52EE">
        <w:rPr>
          <w:sz w:val="20"/>
          <w:szCs w:val="20"/>
        </w:rPr>
        <w:t>Africa</w:t>
      </w:r>
      <w:r w:rsidR="00903A07" w:rsidRPr="00DC52EE">
        <w:rPr>
          <w:sz w:val="20"/>
          <w:szCs w:val="20"/>
        </w:rPr>
        <w:t xml:space="preserve"> </w:t>
      </w:r>
      <w:r w:rsidR="005660B3" w:rsidRPr="00DC52EE">
        <w:rPr>
          <w:sz w:val="20"/>
          <w:szCs w:val="20"/>
        </w:rPr>
        <w:t>co</w:t>
      </w:r>
      <w:r w:rsidR="006C62EB" w:rsidRPr="00DC52EE">
        <w:rPr>
          <w:sz w:val="20"/>
          <w:szCs w:val="20"/>
        </w:rPr>
        <w:t>nference</w:t>
      </w:r>
      <w:r w:rsidR="00903A07" w:rsidRPr="00DC52EE">
        <w:rPr>
          <w:sz w:val="20"/>
          <w:szCs w:val="20"/>
        </w:rPr>
        <w:t xml:space="preserve"> </w:t>
      </w:r>
      <w:r w:rsidR="00AA4DCB" w:rsidRPr="00DC52EE">
        <w:rPr>
          <w:sz w:val="20"/>
          <w:szCs w:val="20"/>
        </w:rPr>
        <w:t>on</w:t>
      </w:r>
      <w:r w:rsidR="00903A07" w:rsidRPr="00DC52EE">
        <w:rPr>
          <w:sz w:val="20"/>
          <w:szCs w:val="20"/>
        </w:rPr>
        <w:t xml:space="preserve"> </w:t>
      </w:r>
      <w:r w:rsidR="00792EA1" w:rsidRPr="00DC52EE">
        <w:rPr>
          <w:sz w:val="20"/>
          <w:szCs w:val="20"/>
        </w:rPr>
        <w:t>animal</w:t>
      </w:r>
      <w:r w:rsidR="00903A07" w:rsidRPr="00DC52EE">
        <w:rPr>
          <w:sz w:val="20"/>
          <w:szCs w:val="20"/>
        </w:rPr>
        <w:t xml:space="preserve"> </w:t>
      </w:r>
      <w:r w:rsidR="00CD05FB" w:rsidRPr="00DC52EE">
        <w:rPr>
          <w:sz w:val="20"/>
          <w:szCs w:val="20"/>
        </w:rPr>
        <w:t>agriculture.</w:t>
      </w:r>
      <w:r w:rsidR="00903A07" w:rsidRPr="00DC52EE">
        <w:rPr>
          <w:sz w:val="20"/>
          <w:szCs w:val="20"/>
        </w:rPr>
        <w:t xml:space="preserve"> </w:t>
      </w:r>
      <w:r w:rsidR="00CD05FB" w:rsidRPr="00DC52EE">
        <w:rPr>
          <w:sz w:val="20"/>
          <w:szCs w:val="20"/>
        </w:rPr>
        <w:t>In:</w:t>
      </w:r>
      <w:r w:rsidR="00903A07" w:rsidRPr="00DC52EE">
        <w:rPr>
          <w:sz w:val="20"/>
          <w:szCs w:val="20"/>
        </w:rPr>
        <w:t xml:space="preserve"> </w:t>
      </w:r>
      <w:r w:rsidR="00CD05FB" w:rsidRPr="00DC52EE">
        <w:rPr>
          <w:sz w:val="20"/>
          <w:szCs w:val="20"/>
        </w:rPr>
        <w:t>all</w:t>
      </w:r>
      <w:r w:rsidR="00903A07" w:rsidRPr="00DC52EE">
        <w:rPr>
          <w:sz w:val="20"/>
          <w:szCs w:val="20"/>
        </w:rPr>
        <w:t xml:space="preserve"> </w:t>
      </w:r>
      <w:r w:rsidR="00CD05FB" w:rsidRPr="00DC52EE">
        <w:rPr>
          <w:sz w:val="20"/>
          <w:szCs w:val="20"/>
        </w:rPr>
        <w:t>Africa</w:t>
      </w:r>
      <w:r w:rsidR="00903A07" w:rsidRPr="00DC52EE">
        <w:rPr>
          <w:sz w:val="20"/>
          <w:szCs w:val="20"/>
        </w:rPr>
        <w:t xml:space="preserve"> </w:t>
      </w:r>
      <w:r w:rsidR="00CD05FB" w:rsidRPr="00DC52EE">
        <w:rPr>
          <w:sz w:val="20"/>
          <w:szCs w:val="20"/>
        </w:rPr>
        <w:t>society</w:t>
      </w:r>
      <w:r w:rsidR="00903A07" w:rsidRPr="00DC52EE">
        <w:rPr>
          <w:sz w:val="20"/>
          <w:szCs w:val="20"/>
        </w:rPr>
        <w:t xml:space="preserve"> </w:t>
      </w:r>
      <w:r w:rsidR="00CD05FB" w:rsidRPr="00DC52EE">
        <w:rPr>
          <w:sz w:val="20"/>
          <w:szCs w:val="20"/>
        </w:rPr>
        <w:t>for</w:t>
      </w:r>
      <w:r w:rsidR="00903A07" w:rsidRPr="00DC52EE">
        <w:rPr>
          <w:sz w:val="20"/>
          <w:szCs w:val="20"/>
        </w:rPr>
        <w:t xml:space="preserve"> </w:t>
      </w:r>
      <w:r w:rsidR="00CD05FB" w:rsidRPr="00DC52EE">
        <w:rPr>
          <w:sz w:val="20"/>
          <w:szCs w:val="20"/>
        </w:rPr>
        <w:t>animal</w:t>
      </w:r>
      <w:r w:rsidR="00903A07" w:rsidRPr="00DC52EE">
        <w:rPr>
          <w:sz w:val="20"/>
          <w:szCs w:val="20"/>
        </w:rPr>
        <w:t xml:space="preserve"> </w:t>
      </w:r>
      <w:r w:rsidR="00CD05FB" w:rsidRPr="00DC52EE">
        <w:rPr>
          <w:sz w:val="20"/>
          <w:szCs w:val="20"/>
        </w:rPr>
        <w:t>production,</w:t>
      </w:r>
      <w:r w:rsidR="00903A07" w:rsidRPr="00DC52EE">
        <w:rPr>
          <w:sz w:val="20"/>
          <w:szCs w:val="20"/>
        </w:rPr>
        <w:t xml:space="preserve"> </w:t>
      </w:r>
      <w:r w:rsidR="00CD05FB" w:rsidRPr="00DC52EE">
        <w:rPr>
          <w:sz w:val="20"/>
          <w:szCs w:val="20"/>
        </w:rPr>
        <w:t>commercialization</w:t>
      </w:r>
      <w:r w:rsidR="00903A07" w:rsidRPr="00DC52EE">
        <w:rPr>
          <w:sz w:val="20"/>
          <w:szCs w:val="20"/>
        </w:rPr>
        <w:t xml:space="preserve"> </w:t>
      </w:r>
      <w:r w:rsidR="00CD05FB" w:rsidRPr="00DC52EE">
        <w:rPr>
          <w:sz w:val="20"/>
          <w:szCs w:val="20"/>
        </w:rPr>
        <w:t>of</w:t>
      </w:r>
      <w:r w:rsidR="00903A07" w:rsidRPr="00DC52EE">
        <w:rPr>
          <w:sz w:val="20"/>
          <w:szCs w:val="20"/>
        </w:rPr>
        <w:t xml:space="preserve"> </w:t>
      </w:r>
      <w:r w:rsidR="00CD05FB" w:rsidRPr="00DC52EE">
        <w:rPr>
          <w:sz w:val="20"/>
          <w:szCs w:val="20"/>
        </w:rPr>
        <w:lastRenderedPageBreak/>
        <w:t>livestock</w:t>
      </w:r>
      <w:r w:rsidR="00903A07" w:rsidRPr="00DC52EE">
        <w:rPr>
          <w:sz w:val="20"/>
          <w:szCs w:val="20"/>
        </w:rPr>
        <w:t xml:space="preserve"> </w:t>
      </w:r>
      <w:r w:rsidR="00CD05FB" w:rsidRPr="00DC52EE">
        <w:rPr>
          <w:sz w:val="20"/>
          <w:szCs w:val="20"/>
        </w:rPr>
        <w:t>agriculture</w:t>
      </w:r>
      <w:r w:rsidR="00903A07" w:rsidRPr="00DC52EE">
        <w:rPr>
          <w:sz w:val="20"/>
          <w:szCs w:val="20"/>
        </w:rPr>
        <w:t xml:space="preserve"> </w:t>
      </w:r>
      <w:r w:rsidR="00CD05FB" w:rsidRPr="00DC52EE">
        <w:rPr>
          <w:sz w:val="20"/>
          <w:szCs w:val="20"/>
        </w:rPr>
        <w:t>in</w:t>
      </w:r>
      <w:r w:rsidR="00903A07" w:rsidRPr="00DC52EE">
        <w:rPr>
          <w:sz w:val="20"/>
          <w:szCs w:val="20"/>
        </w:rPr>
        <w:t xml:space="preserve"> </w:t>
      </w:r>
      <w:r w:rsidR="00CD05FB" w:rsidRPr="00DC52EE">
        <w:rPr>
          <w:sz w:val="20"/>
          <w:szCs w:val="20"/>
        </w:rPr>
        <w:t>Africa,</w:t>
      </w:r>
      <w:r w:rsidR="00903A07" w:rsidRPr="00DC52EE">
        <w:rPr>
          <w:sz w:val="20"/>
          <w:szCs w:val="20"/>
        </w:rPr>
        <w:t xml:space="preserve"> </w:t>
      </w:r>
      <w:r w:rsidR="00CD05FB" w:rsidRPr="00DC52EE">
        <w:rPr>
          <w:sz w:val="20"/>
          <w:szCs w:val="20"/>
        </w:rPr>
        <w:t>challenges</w:t>
      </w:r>
      <w:r w:rsidR="00903A07" w:rsidRPr="00DC52EE">
        <w:rPr>
          <w:sz w:val="20"/>
          <w:szCs w:val="20"/>
        </w:rPr>
        <w:t xml:space="preserve"> </w:t>
      </w:r>
      <w:r w:rsidR="00CD05FB" w:rsidRPr="00DC52EE">
        <w:rPr>
          <w:sz w:val="20"/>
          <w:szCs w:val="20"/>
        </w:rPr>
        <w:t>and</w:t>
      </w:r>
      <w:r w:rsidR="00903A07" w:rsidRPr="00DC52EE">
        <w:rPr>
          <w:sz w:val="20"/>
          <w:szCs w:val="20"/>
        </w:rPr>
        <w:t xml:space="preserve"> </w:t>
      </w:r>
      <w:r w:rsidR="00CD05FB" w:rsidRPr="00DC52EE">
        <w:rPr>
          <w:sz w:val="20"/>
          <w:szCs w:val="20"/>
        </w:rPr>
        <w:t>opportunities.</w:t>
      </w:r>
      <w:r w:rsidR="00903A07" w:rsidRPr="00DC52EE">
        <w:rPr>
          <w:sz w:val="20"/>
          <w:szCs w:val="20"/>
        </w:rPr>
        <w:t xml:space="preserve"> </w:t>
      </w:r>
    </w:p>
    <w:p w:rsidR="00903A07" w:rsidRPr="00DC52EE" w:rsidRDefault="0073252A"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Familton,</w:t>
      </w:r>
      <w:r w:rsidR="00903A07" w:rsidRPr="00DC52EE">
        <w:rPr>
          <w:sz w:val="20"/>
          <w:szCs w:val="20"/>
        </w:rPr>
        <w:t xml:space="preserve"> </w:t>
      </w:r>
      <w:r w:rsidRPr="00DC52EE">
        <w:rPr>
          <w:sz w:val="20"/>
          <w:szCs w:val="20"/>
        </w:rPr>
        <w:t>A.S.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McAnulty,</w:t>
      </w:r>
      <w:r w:rsidR="00903A07" w:rsidRPr="00DC52EE">
        <w:rPr>
          <w:sz w:val="20"/>
          <w:szCs w:val="20"/>
        </w:rPr>
        <w:t xml:space="preserve"> </w:t>
      </w:r>
      <w:r w:rsidR="005660B3" w:rsidRPr="00DC52EE">
        <w:rPr>
          <w:sz w:val="20"/>
          <w:szCs w:val="20"/>
        </w:rPr>
        <w:t>R.W.</w:t>
      </w:r>
      <w:r w:rsidR="00903A07" w:rsidRPr="00DC52EE">
        <w:rPr>
          <w:sz w:val="20"/>
          <w:szCs w:val="20"/>
        </w:rPr>
        <w:t xml:space="preserve"> </w:t>
      </w:r>
      <w:r w:rsidR="005660B3" w:rsidRPr="00DC52EE">
        <w:rPr>
          <w:sz w:val="20"/>
          <w:szCs w:val="20"/>
        </w:rPr>
        <w:t>1995</w:t>
      </w:r>
      <w:r w:rsidR="00BB7760" w:rsidRPr="00DC52EE">
        <w:rPr>
          <w:sz w:val="20"/>
          <w:szCs w:val="20"/>
        </w:rPr>
        <w:t>. T</w:t>
      </w:r>
      <w:r w:rsidR="005660B3" w:rsidRPr="00DC52EE">
        <w:rPr>
          <w:sz w:val="20"/>
          <w:szCs w:val="20"/>
        </w:rPr>
        <w:t>he</w:t>
      </w:r>
      <w:r w:rsidR="00903A07" w:rsidRPr="00DC52EE">
        <w:rPr>
          <w:sz w:val="20"/>
          <w:szCs w:val="20"/>
        </w:rPr>
        <w:t xml:space="preserve"> </w:t>
      </w:r>
      <w:r w:rsidR="005660B3" w:rsidRPr="00DC52EE">
        <w:rPr>
          <w:sz w:val="20"/>
          <w:szCs w:val="20"/>
        </w:rPr>
        <w:t>epidemiology</w:t>
      </w:r>
      <w:r w:rsidR="00903A07" w:rsidRPr="00DC52EE">
        <w:rPr>
          <w:sz w:val="20"/>
          <w:szCs w:val="20"/>
        </w:rPr>
        <w:t xml:space="preserve"> </w:t>
      </w:r>
      <w:r w:rsidR="005660B3" w:rsidRPr="00DC52EE">
        <w:rPr>
          <w:sz w:val="20"/>
          <w:szCs w:val="20"/>
        </w:rPr>
        <w:t>of</w:t>
      </w:r>
      <w:r w:rsidR="00903A07" w:rsidRPr="00DC52EE">
        <w:rPr>
          <w:sz w:val="20"/>
          <w:szCs w:val="20"/>
        </w:rPr>
        <w:t xml:space="preserve"> </w:t>
      </w:r>
      <w:r w:rsidRPr="00DC52EE">
        <w:rPr>
          <w:sz w:val="20"/>
          <w:szCs w:val="20"/>
        </w:rPr>
        <w:t>gastr</w:t>
      </w:r>
      <w:r w:rsidR="005F2546" w:rsidRPr="00DC52EE">
        <w:rPr>
          <w:sz w:val="20"/>
          <w:szCs w:val="20"/>
        </w:rPr>
        <w:t>ointestinal</w:t>
      </w:r>
      <w:r w:rsidR="00903A07" w:rsidRPr="00DC52EE">
        <w:rPr>
          <w:sz w:val="20"/>
          <w:szCs w:val="20"/>
        </w:rPr>
        <w:t xml:space="preserve"> </w:t>
      </w:r>
      <w:r w:rsidR="005F2546" w:rsidRPr="00DC52EE">
        <w:rPr>
          <w:sz w:val="20"/>
          <w:szCs w:val="20"/>
        </w:rPr>
        <w:t>parasites</w:t>
      </w:r>
      <w:r w:rsidR="00903A07" w:rsidRPr="00DC52EE">
        <w:rPr>
          <w:sz w:val="20"/>
          <w:szCs w:val="20"/>
        </w:rPr>
        <w:t xml:space="preserve"> </w:t>
      </w:r>
      <w:r w:rsidR="005F2546" w:rsidRPr="00DC52EE">
        <w:rPr>
          <w:sz w:val="20"/>
          <w:szCs w:val="20"/>
        </w:rPr>
        <w:t>of</w:t>
      </w:r>
      <w:r w:rsidR="00903A07" w:rsidRPr="00DC52EE">
        <w:rPr>
          <w:sz w:val="20"/>
          <w:szCs w:val="20"/>
        </w:rPr>
        <w:t xml:space="preserve"> </w:t>
      </w:r>
      <w:r w:rsidR="005F2546" w:rsidRPr="00DC52EE">
        <w:rPr>
          <w:sz w:val="20"/>
          <w:szCs w:val="20"/>
        </w:rPr>
        <w:t>sheep</w:t>
      </w:r>
      <w:r w:rsidR="00903A07" w:rsidRPr="00DC52EE">
        <w:rPr>
          <w:sz w:val="20"/>
          <w:szCs w:val="20"/>
        </w:rPr>
        <w:t xml:space="preserve"> </w:t>
      </w:r>
      <w:r w:rsidRPr="00DC52EE">
        <w:rPr>
          <w:sz w:val="20"/>
          <w:szCs w:val="20"/>
        </w:rPr>
        <w:t>back</w:t>
      </w:r>
      <w:r w:rsidR="00903A07" w:rsidRPr="00DC52EE">
        <w:rPr>
          <w:sz w:val="20"/>
          <w:szCs w:val="20"/>
        </w:rPr>
        <w:t xml:space="preserve"> </w:t>
      </w:r>
      <w:r w:rsidRPr="00DC52EE">
        <w:rPr>
          <w:sz w:val="20"/>
          <w:szCs w:val="20"/>
        </w:rPr>
        <w:t>to</w:t>
      </w:r>
      <w:r w:rsidR="00903A07" w:rsidRPr="00DC52EE">
        <w:rPr>
          <w:sz w:val="20"/>
          <w:szCs w:val="20"/>
        </w:rPr>
        <w:t xml:space="preserve"> </w:t>
      </w:r>
      <w:r w:rsidRPr="00DC52EE">
        <w:rPr>
          <w:sz w:val="20"/>
          <w:szCs w:val="20"/>
        </w:rPr>
        <w:t>basics.</w:t>
      </w:r>
      <w:r w:rsidR="00903A07" w:rsidRPr="00DC52EE">
        <w:rPr>
          <w:sz w:val="20"/>
          <w:szCs w:val="20"/>
        </w:rPr>
        <w:t xml:space="preserve"> </w:t>
      </w:r>
      <w:r w:rsidRPr="00DC52EE">
        <w:rPr>
          <w:iCs/>
          <w:sz w:val="20"/>
          <w:szCs w:val="20"/>
        </w:rPr>
        <w:t>Proceedings</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the</w:t>
      </w:r>
      <w:r w:rsidR="00903A07" w:rsidRPr="00DC52EE">
        <w:rPr>
          <w:iCs/>
          <w:sz w:val="20"/>
          <w:szCs w:val="20"/>
        </w:rPr>
        <w:t xml:space="preserve"> </w:t>
      </w:r>
      <w:r w:rsidRPr="00DC52EE">
        <w:rPr>
          <w:iCs/>
          <w:sz w:val="20"/>
          <w:szCs w:val="20"/>
        </w:rPr>
        <w:t>25</w:t>
      </w:r>
      <w:r w:rsidRPr="00DC52EE">
        <w:rPr>
          <w:iCs/>
          <w:sz w:val="20"/>
          <w:szCs w:val="20"/>
          <w:vertAlign w:val="superscript"/>
        </w:rPr>
        <w:t>th</w:t>
      </w:r>
      <w:r w:rsidR="00903A07" w:rsidRPr="00DC52EE">
        <w:rPr>
          <w:iCs/>
          <w:sz w:val="20"/>
          <w:szCs w:val="20"/>
        </w:rPr>
        <w:t xml:space="preserve"> </w:t>
      </w:r>
      <w:r w:rsidRPr="00DC52EE">
        <w:rPr>
          <w:iCs/>
          <w:sz w:val="20"/>
          <w:szCs w:val="20"/>
        </w:rPr>
        <w:t>Seminar,</w:t>
      </w:r>
      <w:r w:rsidR="00903A07" w:rsidRPr="00DC52EE">
        <w:rPr>
          <w:iCs/>
          <w:sz w:val="20"/>
          <w:szCs w:val="20"/>
        </w:rPr>
        <w:t xml:space="preserve"> </w:t>
      </w:r>
      <w:r w:rsidRPr="00DC52EE">
        <w:rPr>
          <w:iCs/>
          <w:sz w:val="20"/>
          <w:szCs w:val="20"/>
        </w:rPr>
        <w:t>Sheep</w:t>
      </w:r>
      <w:r w:rsidR="00903A07" w:rsidRPr="00DC52EE">
        <w:rPr>
          <w:iCs/>
          <w:sz w:val="20"/>
          <w:szCs w:val="20"/>
        </w:rPr>
        <w:t xml:space="preserve"> &amp; </w:t>
      </w:r>
      <w:r w:rsidRPr="00DC52EE">
        <w:rPr>
          <w:iCs/>
          <w:sz w:val="20"/>
          <w:szCs w:val="20"/>
        </w:rPr>
        <w:t>Beef</w:t>
      </w:r>
      <w:r w:rsidR="00903A07" w:rsidRPr="00DC52EE">
        <w:rPr>
          <w:iCs/>
          <w:sz w:val="20"/>
          <w:szCs w:val="20"/>
        </w:rPr>
        <w:t xml:space="preserve"> </w:t>
      </w:r>
      <w:r w:rsidRPr="00DC52EE">
        <w:rPr>
          <w:iCs/>
          <w:sz w:val="20"/>
          <w:szCs w:val="20"/>
        </w:rPr>
        <w:t>Cattle</w:t>
      </w:r>
      <w:r w:rsidR="00903A07" w:rsidRPr="00DC52EE">
        <w:rPr>
          <w:iCs/>
          <w:sz w:val="20"/>
          <w:szCs w:val="20"/>
        </w:rPr>
        <w:t xml:space="preserve"> </w:t>
      </w:r>
      <w:r w:rsidRPr="00DC52EE">
        <w:rPr>
          <w:iCs/>
          <w:sz w:val="20"/>
          <w:szCs w:val="20"/>
        </w:rPr>
        <w:t>Society</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the</w:t>
      </w:r>
      <w:r w:rsidR="00903A07" w:rsidRPr="00DC52EE">
        <w:rPr>
          <w:iCs/>
          <w:sz w:val="20"/>
          <w:szCs w:val="20"/>
        </w:rPr>
        <w:t xml:space="preserve"> </w:t>
      </w:r>
      <w:r w:rsidRPr="00DC52EE">
        <w:rPr>
          <w:iCs/>
          <w:sz w:val="20"/>
          <w:szCs w:val="20"/>
        </w:rPr>
        <w:t>NZ</w:t>
      </w:r>
      <w:r w:rsidR="00903A07" w:rsidRPr="00DC52EE">
        <w:rPr>
          <w:iCs/>
          <w:sz w:val="20"/>
          <w:szCs w:val="20"/>
        </w:rPr>
        <w:t xml:space="preserve"> </w:t>
      </w:r>
      <w:r w:rsidRPr="00DC52EE">
        <w:rPr>
          <w:iCs/>
          <w:sz w:val="20"/>
          <w:szCs w:val="20"/>
        </w:rPr>
        <w:t>Veterinary</w:t>
      </w:r>
      <w:r w:rsidR="00903A07" w:rsidRPr="00DC52EE">
        <w:rPr>
          <w:iCs/>
          <w:sz w:val="20"/>
          <w:szCs w:val="20"/>
        </w:rPr>
        <w:t xml:space="preserve"> </w:t>
      </w:r>
      <w:r w:rsidRPr="00DC52EE">
        <w:rPr>
          <w:iCs/>
          <w:sz w:val="20"/>
          <w:szCs w:val="20"/>
        </w:rPr>
        <w:t>Association:</w:t>
      </w:r>
      <w:r w:rsidR="00903A07" w:rsidRPr="00DC52EE">
        <w:rPr>
          <w:iCs/>
          <w:sz w:val="20"/>
          <w:szCs w:val="20"/>
        </w:rPr>
        <w:t xml:space="preserve"> </w:t>
      </w:r>
      <w:r w:rsidRPr="00DC52EE">
        <w:rPr>
          <w:iCs/>
          <w:sz w:val="20"/>
          <w:szCs w:val="20"/>
        </w:rPr>
        <w:t>Pp:</w:t>
      </w:r>
      <w:r w:rsidR="00903A07" w:rsidRPr="00DC52EE">
        <w:rPr>
          <w:iCs/>
          <w:sz w:val="20"/>
          <w:szCs w:val="20"/>
        </w:rPr>
        <w:t xml:space="preserve"> </w:t>
      </w:r>
      <w:r w:rsidRPr="00DC52EE">
        <w:rPr>
          <w:sz w:val="20"/>
          <w:szCs w:val="20"/>
        </w:rPr>
        <w:t>67-74.</w:t>
      </w:r>
    </w:p>
    <w:p w:rsidR="00903A07" w:rsidRPr="00DC52EE" w:rsidRDefault="00800133"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Familton,</w:t>
      </w:r>
      <w:r w:rsidR="00903A07" w:rsidRPr="00DC52EE">
        <w:rPr>
          <w:sz w:val="20"/>
          <w:szCs w:val="20"/>
        </w:rPr>
        <w:t xml:space="preserve"> </w:t>
      </w:r>
      <w:r w:rsidRPr="00DC52EE">
        <w:rPr>
          <w:sz w:val="20"/>
          <w:szCs w:val="20"/>
        </w:rPr>
        <w:t>A.S.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McAnulty,</w:t>
      </w:r>
      <w:r w:rsidR="00903A07" w:rsidRPr="00DC52EE">
        <w:rPr>
          <w:sz w:val="20"/>
          <w:szCs w:val="20"/>
        </w:rPr>
        <w:t xml:space="preserve"> </w:t>
      </w:r>
      <w:r w:rsidRPr="00DC52EE">
        <w:rPr>
          <w:sz w:val="20"/>
          <w:szCs w:val="20"/>
        </w:rPr>
        <w:t>R.W.</w:t>
      </w:r>
      <w:r w:rsidR="00903A07" w:rsidRPr="00DC52EE">
        <w:rPr>
          <w:sz w:val="20"/>
          <w:szCs w:val="20"/>
        </w:rPr>
        <w:t xml:space="preserve"> </w:t>
      </w:r>
      <w:r w:rsidRPr="00DC52EE">
        <w:rPr>
          <w:sz w:val="20"/>
          <w:szCs w:val="20"/>
        </w:rPr>
        <w:t>(1997):</w:t>
      </w:r>
      <w:r w:rsidR="00903A07" w:rsidRPr="00DC52EE">
        <w:rPr>
          <w:sz w:val="20"/>
          <w:szCs w:val="20"/>
        </w:rPr>
        <w:t xml:space="preserve"> </w:t>
      </w:r>
      <w:r w:rsidRPr="00DC52EE">
        <w:rPr>
          <w:sz w:val="20"/>
          <w:szCs w:val="20"/>
        </w:rPr>
        <w:t>Life</w:t>
      </w:r>
      <w:r w:rsidR="00903A07" w:rsidRPr="00DC52EE">
        <w:rPr>
          <w:sz w:val="20"/>
          <w:szCs w:val="20"/>
        </w:rPr>
        <w:t xml:space="preserve"> </w:t>
      </w:r>
      <w:r w:rsidRPr="00DC52EE">
        <w:rPr>
          <w:sz w:val="20"/>
          <w:szCs w:val="20"/>
        </w:rPr>
        <w:t>cycles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development</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i/>
          <w:iCs/>
          <w:sz w:val="20"/>
          <w:szCs w:val="20"/>
        </w:rPr>
        <w:t>In:</w:t>
      </w:r>
      <w:r w:rsidR="00903A07" w:rsidRPr="00DC52EE">
        <w:rPr>
          <w:i/>
          <w:iCs/>
          <w:sz w:val="20"/>
          <w:szCs w:val="20"/>
        </w:rPr>
        <w:t xml:space="preserve"> </w:t>
      </w:r>
      <w:r w:rsidRPr="00DC52EE">
        <w:rPr>
          <w:iCs/>
          <w:sz w:val="20"/>
          <w:szCs w:val="20"/>
        </w:rPr>
        <w:t>Sustainable</w:t>
      </w:r>
      <w:r w:rsidR="00903A07" w:rsidRPr="00DC52EE">
        <w:rPr>
          <w:iCs/>
          <w:sz w:val="20"/>
          <w:szCs w:val="20"/>
        </w:rPr>
        <w:t xml:space="preserve"> </w:t>
      </w:r>
      <w:r w:rsidRPr="00DC52EE">
        <w:rPr>
          <w:iCs/>
          <w:sz w:val="20"/>
          <w:szCs w:val="20"/>
        </w:rPr>
        <w:t>control</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internal</w:t>
      </w:r>
      <w:r w:rsidR="00903A07" w:rsidRPr="00DC52EE">
        <w:rPr>
          <w:iCs/>
          <w:sz w:val="20"/>
          <w:szCs w:val="20"/>
        </w:rPr>
        <w:t xml:space="preserve"> </w:t>
      </w:r>
      <w:r w:rsidRPr="00DC52EE">
        <w:rPr>
          <w:iCs/>
          <w:sz w:val="20"/>
          <w:szCs w:val="20"/>
        </w:rPr>
        <w:t>parasites</w:t>
      </w:r>
      <w:r w:rsidR="00903A07" w:rsidRPr="00DC52EE">
        <w:rPr>
          <w:iCs/>
          <w:sz w:val="20"/>
          <w:szCs w:val="20"/>
        </w:rPr>
        <w:t xml:space="preserve"> </w:t>
      </w:r>
      <w:r w:rsidRPr="00DC52EE">
        <w:rPr>
          <w:iCs/>
          <w:sz w:val="20"/>
          <w:szCs w:val="20"/>
        </w:rPr>
        <w:t>in</w:t>
      </w:r>
      <w:r w:rsidR="00903A07" w:rsidRPr="00DC52EE">
        <w:rPr>
          <w:iCs/>
          <w:sz w:val="20"/>
          <w:szCs w:val="20"/>
        </w:rPr>
        <w:t xml:space="preserve"> </w:t>
      </w:r>
      <w:r w:rsidRPr="00DC52EE">
        <w:rPr>
          <w:iCs/>
          <w:sz w:val="20"/>
          <w:szCs w:val="20"/>
        </w:rPr>
        <w:t>ruminants.</w:t>
      </w:r>
      <w:r w:rsidR="00903A07" w:rsidRPr="00DC52EE">
        <w:rPr>
          <w:iCs/>
          <w:sz w:val="20"/>
          <w:szCs w:val="20"/>
        </w:rPr>
        <w:t xml:space="preserve"> </w:t>
      </w:r>
      <w:r w:rsidRPr="00DC52EE">
        <w:rPr>
          <w:sz w:val="20"/>
          <w:szCs w:val="20"/>
        </w:rPr>
        <w:t>Ed.</w:t>
      </w:r>
      <w:r w:rsidR="00903A07" w:rsidRPr="00DC52EE">
        <w:rPr>
          <w:sz w:val="20"/>
          <w:szCs w:val="20"/>
        </w:rPr>
        <w:t xml:space="preserve"> </w:t>
      </w:r>
      <w:r w:rsidRPr="00DC52EE">
        <w:rPr>
          <w:sz w:val="20"/>
          <w:szCs w:val="20"/>
        </w:rPr>
        <w:t>G.K.</w:t>
      </w:r>
      <w:r w:rsidR="00903A07" w:rsidRPr="00DC52EE">
        <w:rPr>
          <w:sz w:val="20"/>
          <w:szCs w:val="20"/>
        </w:rPr>
        <w:t xml:space="preserve"> </w:t>
      </w:r>
      <w:r w:rsidRPr="00DC52EE">
        <w:rPr>
          <w:sz w:val="20"/>
          <w:szCs w:val="20"/>
        </w:rPr>
        <w:t>Barrell.</w:t>
      </w:r>
      <w:r w:rsidR="00903A07" w:rsidRPr="00DC52EE">
        <w:rPr>
          <w:sz w:val="20"/>
          <w:szCs w:val="20"/>
        </w:rPr>
        <w:t xml:space="preserve"> </w:t>
      </w:r>
      <w:r w:rsidRPr="00DC52EE">
        <w:rPr>
          <w:iCs/>
          <w:sz w:val="20"/>
          <w:szCs w:val="20"/>
        </w:rPr>
        <w:t>Animal</w:t>
      </w:r>
      <w:r w:rsidR="00903A07" w:rsidRPr="00DC52EE">
        <w:rPr>
          <w:iCs/>
          <w:sz w:val="20"/>
          <w:szCs w:val="20"/>
        </w:rPr>
        <w:t xml:space="preserve"> </w:t>
      </w:r>
      <w:r w:rsidRPr="00DC52EE">
        <w:rPr>
          <w:iCs/>
          <w:sz w:val="20"/>
          <w:szCs w:val="20"/>
        </w:rPr>
        <w:t>Industries</w:t>
      </w:r>
      <w:r w:rsidR="00903A07" w:rsidRPr="00DC52EE">
        <w:rPr>
          <w:iCs/>
          <w:sz w:val="20"/>
          <w:szCs w:val="20"/>
        </w:rPr>
        <w:t xml:space="preserve"> </w:t>
      </w:r>
      <w:r w:rsidRPr="00DC52EE">
        <w:rPr>
          <w:iCs/>
          <w:sz w:val="20"/>
          <w:szCs w:val="20"/>
        </w:rPr>
        <w:t>Workshop,</w:t>
      </w:r>
      <w:r w:rsidR="00903A07" w:rsidRPr="00DC52EE">
        <w:rPr>
          <w:iCs/>
          <w:sz w:val="20"/>
          <w:szCs w:val="20"/>
        </w:rPr>
        <w:t xml:space="preserve"> </w:t>
      </w:r>
      <w:r w:rsidRPr="00DC52EE">
        <w:rPr>
          <w:iCs/>
          <w:sz w:val="20"/>
          <w:szCs w:val="20"/>
        </w:rPr>
        <w:t>Chapter</w:t>
      </w:r>
      <w:r w:rsidR="00903A07" w:rsidRPr="00DC52EE">
        <w:rPr>
          <w:iCs/>
          <w:sz w:val="20"/>
          <w:szCs w:val="20"/>
        </w:rPr>
        <w:t xml:space="preserve"> </w:t>
      </w:r>
      <w:r w:rsidRPr="00DC52EE">
        <w:rPr>
          <w:iCs/>
          <w:sz w:val="20"/>
          <w:szCs w:val="20"/>
        </w:rPr>
        <w:t>6:</w:t>
      </w:r>
      <w:r w:rsidRPr="00DC52EE">
        <w:rPr>
          <w:sz w:val="20"/>
          <w:szCs w:val="20"/>
        </w:rPr>
        <w:t>67-80.</w:t>
      </w:r>
    </w:p>
    <w:p w:rsidR="00903A07" w:rsidRPr="00DC52EE" w:rsidRDefault="00874F22"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Fikru,</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Teshale,</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Reta,</w:t>
      </w:r>
      <w:r w:rsidR="00903A07" w:rsidRPr="00DC52EE">
        <w:rPr>
          <w:sz w:val="20"/>
          <w:szCs w:val="20"/>
        </w:rPr>
        <w:t xml:space="preserve"> </w:t>
      </w:r>
      <w:r w:rsidRPr="00DC52EE">
        <w:rPr>
          <w:sz w:val="20"/>
          <w:szCs w:val="20"/>
        </w:rPr>
        <w:t>D.</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Yosef,</w:t>
      </w:r>
      <w:r w:rsidR="00903A07" w:rsidRPr="00DC52EE">
        <w:rPr>
          <w:sz w:val="20"/>
          <w:szCs w:val="20"/>
        </w:rPr>
        <w:t xml:space="preserve"> </w:t>
      </w:r>
      <w:r w:rsidRPr="00DC52EE">
        <w:rPr>
          <w:sz w:val="20"/>
          <w:szCs w:val="20"/>
        </w:rPr>
        <w:t>K.</w:t>
      </w:r>
      <w:r w:rsidR="00903A07" w:rsidRPr="00DC52EE">
        <w:rPr>
          <w:sz w:val="20"/>
          <w:szCs w:val="20"/>
        </w:rPr>
        <w:t xml:space="preserve"> </w:t>
      </w:r>
      <w:r w:rsidRPr="00DC52EE">
        <w:rPr>
          <w:sz w:val="20"/>
          <w:szCs w:val="20"/>
        </w:rPr>
        <w:t>(2006):</w:t>
      </w:r>
      <w:r w:rsidR="00903A07" w:rsidRPr="00DC52EE">
        <w:rPr>
          <w:sz w:val="20"/>
          <w:szCs w:val="20"/>
        </w:rPr>
        <w:t xml:space="preserve"> </w:t>
      </w:r>
      <w:r w:rsidRPr="00DC52EE">
        <w:rPr>
          <w:sz w:val="20"/>
          <w:szCs w:val="20"/>
        </w:rPr>
        <w:t>Epidemiolog</w:t>
      </w:r>
      <w:r w:rsidR="00056327" w:rsidRPr="00DC52EE">
        <w:rPr>
          <w:sz w:val="20"/>
          <w:szCs w:val="20"/>
        </w:rPr>
        <w:t>y</w:t>
      </w:r>
      <w:r w:rsidR="00903A07" w:rsidRPr="00DC52EE">
        <w:rPr>
          <w:sz w:val="20"/>
          <w:szCs w:val="20"/>
        </w:rPr>
        <w:t xml:space="preserve"> </w:t>
      </w:r>
      <w:r w:rsidR="00056327" w:rsidRPr="00DC52EE">
        <w:rPr>
          <w:sz w:val="20"/>
          <w:szCs w:val="20"/>
        </w:rPr>
        <w:t>of</w:t>
      </w:r>
      <w:r w:rsidR="00903A07" w:rsidRPr="00DC52EE">
        <w:rPr>
          <w:sz w:val="20"/>
          <w:szCs w:val="20"/>
        </w:rPr>
        <w:t xml:space="preserve"> </w:t>
      </w:r>
      <w:r w:rsidR="00056327" w:rsidRPr="00DC52EE">
        <w:rPr>
          <w:sz w:val="20"/>
          <w:szCs w:val="20"/>
        </w:rPr>
        <w:t>gastrointestinal</w:t>
      </w:r>
      <w:r w:rsidR="00903A07" w:rsidRPr="00DC52EE">
        <w:rPr>
          <w:sz w:val="20"/>
          <w:szCs w:val="20"/>
        </w:rPr>
        <w:t xml:space="preserve"> </w:t>
      </w:r>
      <w:r w:rsidR="00056327"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Western</w:t>
      </w:r>
      <w:r w:rsidR="00903A07" w:rsidRPr="00DC52EE">
        <w:rPr>
          <w:sz w:val="20"/>
          <w:szCs w:val="20"/>
        </w:rPr>
        <w:t xml:space="preserve"> </w:t>
      </w:r>
      <w:r w:rsidRPr="00DC52EE">
        <w:rPr>
          <w:sz w:val="20"/>
          <w:szCs w:val="20"/>
        </w:rPr>
        <w:t>Oromia,</w:t>
      </w:r>
      <w:r w:rsidR="00903A07" w:rsidRPr="00DC52EE">
        <w:rPr>
          <w:sz w:val="20"/>
          <w:szCs w:val="20"/>
        </w:rPr>
        <w:t xml:space="preserve"> </w:t>
      </w:r>
      <w:r w:rsidRPr="00DC52EE">
        <w:rPr>
          <w:sz w:val="20"/>
          <w:szCs w:val="20"/>
        </w:rPr>
        <w:t>Ethiopia.</w:t>
      </w:r>
      <w:r w:rsidR="00903A07" w:rsidRPr="00DC52EE">
        <w:rPr>
          <w:sz w:val="20"/>
          <w:szCs w:val="20"/>
        </w:rPr>
        <w:t xml:space="preserve"> </w:t>
      </w:r>
      <w:r w:rsidR="007E2514" w:rsidRPr="00DC52EE">
        <w:rPr>
          <w:i/>
          <w:sz w:val="20"/>
          <w:szCs w:val="20"/>
        </w:rPr>
        <w:t>Inter.</w:t>
      </w:r>
      <w:r w:rsidR="00903A07" w:rsidRPr="00DC52EE">
        <w:rPr>
          <w:i/>
          <w:sz w:val="20"/>
          <w:szCs w:val="20"/>
        </w:rPr>
        <w:t xml:space="preserve"> </w:t>
      </w:r>
      <w:r w:rsidR="007E2514" w:rsidRPr="00DC52EE">
        <w:rPr>
          <w:i/>
          <w:sz w:val="20"/>
          <w:szCs w:val="20"/>
        </w:rPr>
        <w:t>Jour.</w:t>
      </w:r>
      <w:r w:rsidR="00903A07" w:rsidRPr="00DC52EE">
        <w:rPr>
          <w:i/>
          <w:sz w:val="20"/>
          <w:szCs w:val="20"/>
        </w:rPr>
        <w:t xml:space="preserve"> </w:t>
      </w:r>
      <w:r w:rsidRPr="00DC52EE">
        <w:rPr>
          <w:i/>
          <w:sz w:val="20"/>
          <w:szCs w:val="20"/>
        </w:rPr>
        <w:t>Appl.</w:t>
      </w:r>
      <w:r w:rsidR="00903A07" w:rsidRPr="00DC52EE">
        <w:rPr>
          <w:i/>
          <w:sz w:val="20"/>
          <w:szCs w:val="20"/>
        </w:rPr>
        <w:t xml:space="preserve"> </w:t>
      </w:r>
      <w:r w:rsidRPr="00DC52EE">
        <w:rPr>
          <w:i/>
          <w:sz w:val="20"/>
          <w:szCs w:val="20"/>
        </w:rPr>
        <w:t>Res.</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Med</w:t>
      </w:r>
      <w:r w:rsidR="007E2514" w:rsidRPr="00DC52EE">
        <w:rPr>
          <w:sz w:val="20"/>
          <w:szCs w:val="20"/>
        </w:rPr>
        <w:t>.</w:t>
      </w:r>
      <w:r w:rsidR="006471F3" w:rsidRPr="00DC52EE">
        <w:rPr>
          <w:sz w:val="20"/>
          <w:szCs w:val="20"/>
        </w:rPr>
        <w:t>,</w:t>
      </w:r>
      <w:r w:rsidR="00903A07" w:rsidRPr="00DC52EE">
        <w:rPr>
          <w:sz w:val="20"/>
          <w:szCs w:val="20"/>
        </w:rPr>
        <w:t xml:space="preserve"> </w:t>
      </w:r>
      <w:r w:rsidR="006471F3" w:rsidRPr="00DC52EE">
        <w:rPr>
          <w:sz w:val="20"/>
          <w:szCs w:val="20"/>
        </w:rPr>
        <w:t>1</w:t>
      </w:r>
      <w:r w:rsidRPr="00DC52EE">
        <w:rPr>
          <w:sz w:val="20"/>
          <w:szCs w:val="20"/>
        </w:rPr>
        <w:t>:</w:t>
      </w:r>
      <w:r w:rsidR="00903A07" w:rsidRPr="00DC52EE">
        <w:rPr>
          <w:sz w:val="20"/>
          <w:szCs w:val="20"/>
        </w:rPr>
        <w:t xml:space="preserve"> </w:t>
      </w:r>
      <w:r w:rsidRPr="00DC52EE">
        <w:rPr>
          <w:sz w:val="20"/>
          <w:szCs w:val="20"/>
        </w:rPr>
        <w:t>451-57.</w:t>
      </w:r>
    </w:p>
    <w:p w:rsidR="00903A07" w:rsidRPr="00DC52EE" w:rsidRDefault="00EB5248"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Fritsch,</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Kaufmann,</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Ptister,</w:t>
      </w:r>
      <w:r w:rsidR="00903A07" w:rsidRPr="00DC52EE">
        <w:rPr>
          <w:sz w:val="20"/>
          <w:szCs w:val="20"/>
        </w:rPr>
        <w:t xml:space="preserve"> </w:t>
      </w:r>
      <w:r w:rsidRPr="00DC52EE">
        <w:rPr>
          <w:sz w:val="20"/>
          <w:szCs w:val="20"/>
        </w:rPr>
        <w:t>K.</w:t>
      </w:r>
      <w:r w:rsidR="00903A07" w:rsidRPr="00DC52EE">
        <w:rPr>
          <w:sz w:val="20"/>
          <w:szCs w:val="20"/>
        </w:rPr>
        <w:t xml:space="preserve"> </w:t>
      </w:r>
      <w:r w:rsidRPr="00DC52EE">
        <w:rPr>
          <w:sz w:val="20"/>
          <w:szCs w:val="20"/>
        </w:rPr>
        <w:t>(1993):</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spectrum</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seasonal</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nematodes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Gambia.</w:t>
      </w:r>
      <w:r w:rsidR="00903A07" w:rsidRPr="00DC52EE">
        <w:rPr>
          <w:sz w:val="20"/>
          <w:szCs w:val="20"/>
        </w:rPr>
        <w:t xml:space="preserve"> </w:t>
      </w:r>
      <w:r w:rsidR="00493EC0" w:rsidRPr="00DC52EE">
        <w:rPr>
          <w:i/>
          <w:sz w:val="20"/>
          <w:szCs w:val="20"/>
        </w:rPr>
        <w:t>Veter</w:t>
      </w:r>
      <w:r w:rsidR="00BB7760" w:rsidRPr="00DC52EE">
        <w:rPr>
          <w:i/>
          <w:sz w:val="20"/>
          <w:szCs w:val="20"/>
        </w:rPr>
        <w:t>. P</w:t>
      </w:r>
      <w:r w:rsidRPr="00DC52EE">
        <w:rPr>
          <w:i/>
          <w:sz w:val="20"/>
          <w:szCs w:val="20"/>
        </w:rPr>
        <w:t>aras</w:t>
      </w:r>
      <w:r w:rsidR="00493EC0" w:rsidRPr="00DC52EE">
        <w:rPr>
          <w:i/>
          <w:sz w:val="20"/>
          <w:szCs w:val="20"/>
        </w:rPr>
        <w:t>.</w:t>
      </w:r>
      <w:r w:rsidR="006471F3" w:rsidRPr="00DC52EE">
        <w:rPr>
          <w:sz w:val="20"/>
          <w:szCs w:val="20"/>
        </w:rPr>
        <w:t>,</w:t>
      </w:r>
      <w:r w:rsidRPr="00DC52EE">
        <w:rPr>
          <w:sz w:val="20"/>
          <w:szCs w:val="20"/>
        </w:rPr>
        <w:t>49</w:t>
      </w:r>
      <w:r w:rsidR="00493EC0" w:rsidRPr="00DC52EE">
        <w:rPr>
          <w:sz w:val="20"/>
          <w:szCs w:val="20"/>
        </w:rPr>
        <w:t>(</w:t>
      </w:r>
      <w:r w:rsidRPr="00DC52EE">
        <w:rPr>
          <w:sz w:val="20"/>
          <w:szCs w:val="20"/>
        </w:rPr>
        <w:t>4):</w:t>
      </w:r>
      <w:r w:rsidR="00903A07" w:rsidRPr="00DC52EE">
        <w:rPr>
          <w:sz w:val="20"/>
          <w:szCs w:val="20"/>
        </w:rPr>
        <w:t xml:space="preserve"> </w:t>
      </w:r>
      <w:r w:rsidRPr="00DC52EE">
        <w:rPr>
          <w:sz w:val="20"/>
          <w:szCs w:val="20"/>
        </w:rPr>
        <w:t>271-283.</w:t>
      </w:r>
    </w:p>
    <w:p w:rsidR="00903A07" w:rsidRPr="00DC52EE" w:rsidRDefault="00FC4404"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Foriet,</w:t>
      </w:r>
      <w:r w:rsidR="00903A07" w:rsidRPr="00DC52EE">
        <w:rPr>
          <w:sz w:val="20"/>
          <w:szCs w:val="20"/>
        </w:rPr>
        <w:t xml:space="preserve"> </w:t>
      </w:r>
      <w:r w:rsidR="00025894" w:rsidRPr="00DC52EE">
        <w:rPr>
          <w:sz w:val="20"/>
          <w:szCs w:val="20"/>
        </w:rPr>
        <w:t>W.</w:t>
      </w:r>
      <w:r w:rsidR="00903A07" w:rsidRPr="00DC52EE">
        <w:rPr>
          <w:sz w:val="20"/>
          <w:szCs w:val="20"/>
        </w:rPr>
        <w:t xml:space="preserve"> </w:t>
      </w:r>
      <w:r w:rsidR="00025894" w:rsidRPr="00DC52EE">
        <w:rPr>
          <w:sz w:val="20"/>
          <w:szCs w:val="20"/>
        </w:rPr>
        <w:t>(1999):</w:t>
      </w:r>
      <w:r w:rsidR="00903A07" w:rsidRPr="00DC52EE">
        <w:rPr>
          <w:sz w:val="20"/>
          <w:szCs w:val="20"/>
        </w:rPr>
        <w:t xml:space="preserve"> </w:t>
      </w:r>
      <w:r w:rsidR="00025894" w:rsidRPr="00DC52EE">
        <w:rPr>
          <w:sz w:val="20"/>
          <w:szCs w:val="20"/>
        </w:rPr>
        <w:t>Reference</w:t>
      </w:r>
      <w:r w:rsidR="00903A07" w:rsidRPr="00DC52EE">
        <w:rPr>
          <w:sz w:val="20"/>
          <w:szCs w:val="20"/>
        </w:rPr>
        <w:t xml:space="preserve"> </w:t>
      </w:r>
      <w:r w:rsidR="00025894" w:rsidRPr="00DC52EE">
        <w:rPr>
          <w:sz w:val="20"/>
          <w:szCs w:val="20"/>
        </w:rPr>
        <w:t>Manual</w:t>
      </w:r>
      <w:r w:rsidR="00903A07" w:rsidRPr="00DC52EE">
        <w:rPr>
          <w:sz w:val="20"/>
          <w:szCs w:val="20"/>
        </w:rPr>
        <w:t xml:space="preserve"> </w:t>
      </w:r>
      <w:r w:rsidR="00025894"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Parasitology.</w:t>
      </w:r>
      <w:r w:rsidR="00903A07" w:rsidRPr="00DC52EE">
        <w:rPr>
          <w:sz w:val="20"/>
          <w:szCs w:val="20"/>
        </w:rPr>
        <w:t xml:space="preserve"> </w:t>
      </w:r>
      <w:r w:rsidRPr="00DC52EE">
        <w:rPr>
          <w:sz w:val="20"/>
          <w:szCs w:val="20"/>
        </w:rPr>
        <w:t>5</w:t>
      </w:r>
      <w:r w:rsidRPr="00DC52EE">
        <w:rPr>
          <w:sz w:val="20"/>
          <w:szCs w:val="20"/>
          <w:vertAlign w:val="superscript"/>
        </w:rPr>
        <w:t>th</w:t>
      </w:r>
      <w:r w:rsidR="00903A07" w:rsidRPr="00DC52EE">
        <w:rPr>
          <w:sz w:val="20"/>
          <w:szCs w:val="20"/>
        </w:rPr>
        <w:t xml:space="preserve"> </w:t>
      </w:r>
      <w:r w:rsidR="00AA7656" w:rsidRPr="00DC52EE">
        <w:rPr>
          <w:sz w:val="20"/>
          <w:szCs w:val="20"/>
        </w:rPr>
        <w:t>ed</w:t>
      </w:r>
      <w:r w:rsidRPr="00DC52EE">
        <w:rPr>
          <w:sz w:val="20"/>
          <w:szCs w:val="20"/>
        </w:rPr>
        <w:t>.</w:t>
      </w:r>
      <w:r w:rsidR="00903A07" w:rsidRPr="00DC52EE">
        <w:rPr>
          <w:sz w:val="20"/>
          <w:szCs w:val="20"/>
        </w:rPr>
        <w:t xml:space="preserve"> </w:t>
      </w:r>
      <w:r w:rsidR="00386632" w:rsidRPr="00DC52EE">
        <w:rPr>
          <w:sz w:val="20"/>
          <w:szCs w:val="20"/>
        </w:rPr>
        <w:t>Wiley</w:t>
      </w:r>
      <w:r w:rsidR="00903A07" w:rsidRPr="00DC52EE">
        <w:rPr>
          <w:sz w:val="20"/>
          <w:szCs w:val="20"/>
        </w:rPr>
        <w:t xml:space="preserve"> </w:t>
      </w:r>
      <w:r w:rsidR="00386632" w:rsidRPr="00DC52EE">
        <w:rPr>
          <w:sz w:val="20"/>
          <w:szCs w:val="20"/>
        </w:rPr>
        <w:t>Blackwell,</w:t>
      </w:r>
      <w:r w:rsidR="00903A07" w:rsidRPr="00DC52EE">
        <w:rPr>
          <w:sz w:val="20"/>
          <w:szCs w:val="20"/>
        </w:rPr>
        <w:t xml:space="preserve"> </w:t>
      </w:r>
      <w:r w:rsidR="00386632" w:rsidRPr="00DC52EE">
        <w:rPr>
          <w:sz w:val="20"/>
          <w:szCs w:val="20"/>
        </w:rPr>
        <w:t>New</w:t>
      </w:r>
      <w:r w:rsidR="00903A07" w:rsidRPr="00DC52EE">
        <w:rPr>
          <w:sz w:val="20"/>
          <w:szCs w:val="20"/>
        </w:rPr>
        <w:t xml:space="preserve"> </w:t>
      </w:r>
      <w:r w:rsidR="00386632" w:rsidRPr="00DC52EE">
        <w:rPr>
          <w:sz w:val="20"/>
          <w:szCs w:val="20"/>
        </w:rPr>
        <w:t>York,</w:t>
      </w:r>
      <w:r w:rsidR="00903A07" w:rsidRPr="00DC52EE">
        <w:rPr>
          <w:sz w:val="20"/>
          <w:szCs w:val="20"/>
        </w:rPr>
        <w:t xml:space="preserve"> </w:t>
      </w:r>
      <w:r w:rsidR="00AA7656" w:rsidRPr="00DC52EE">
        <w:rPr>
          <w:sz w:val="20"/>
          <w:szCs w:val="20"/>
        </w:rPr>
        <w:t>USA.</w:t>
      </w:r>
      <w:r w:rsidR="00903A07" w:rsidRPr="00DC52EE">
        <w:rPr>
          <w:sz w:val="20"/>
          <w:szCs w:val="20"/>
        </w:rPr>
        <w:t xml:space="preserve"> </w:t>
      </w:r>
      <w:r w:rsidR="00AA7656" w:rsidRPr="00DC52EE">
        <w:rPr>
          <w:sz w:val="20"/>
          <w:szCs w:val="20"/>
        </w:rPr>
        <w:t>P</w:t>
      </w:r>
      <w:r w:rsidRPr="00DC52EE">
        <w:rPr>
          <w:sz w:val="20"/>
          <w:szCs w:val="20"/>
        </w:rPr>
        <w:t>p.</w:t>
      </w:r>
      <w:r w:rsidR="00903A07" w:rsidRPr="00DC52EE">
        <w:rPr>
          <w:sz w:val="20"/>
          <w:szCs w:val="20"/>
        </w:rPr>
        <w:t xml:space="preserve"> </w:t>
      </w:r>
      <w:r w:rsidRPr="00DC52EE">
        <w:rPr>
          <w:sz w:val="20"/>
          <w:szCs w:val="20"/>
        </w:rPr>
        <w:t>22-26.</w:t>
      </w:r>
    </w:p>
    <w:p w:rsidR="00903A07" w:rsidRPr="00DC52EE" w:rsidRDefault="00903A07" w:rsidP="00BB7760">
      <w:pPr>
        <w:pStyle w:val="ListParagraph"/>
        <w:numPr>
          <w:ilvl w:val="0"/>
          <w:numId w:val="21"/>
        </w:numPr>
        <w:tabs>
          <w:tab w:val="left" w:pos="2925"/>
        </w:tabs>
        <w:snapToGrid w:val="0"/>
        <w:spacing w:after="0" w:line="240" w:lineRule="auto"/>
        <w:ind w:left="425" w:hanging="425"/>
        <w:jc w:val="both"/>
        <w:rPr>
          <w:iCs/>
          <w:sz w:val="20"/>
          <w:szCs w:val="20"/>
        </w:rPr>
      </w:pPr>
      <w:r w:rsidRPr="00DC52EE">
        <w:rPr>
          <w:sz w:val="20"/>
          <w:szCs w:val="20"/>
        </w:rPr>
        <w:t>F</w:t>
      </w:r>
      <w:r w:rsidR="00D265F8" w:rsidRPr="00DC52EE">
        <w:rPr>
          <w:sz w:val="20"/>
          <w:szCs w:val="20"/>
        </w:rPr>
        <w:t>ox,</w:t>
      </w:r>
      <w:r w:rsidRPr="00DC52EE">
        <w:rPr>
          <w:sz w:val="20"/>
          <w:szCs w:val="20"/>
        </w:rPr>
        <w:t xml:space="preserve"> </w:t>
      </w:r>
      <w:r w:rsidR="00D265F8" w:rsidRPr="00DC52EE">
        <w:rPr>
          <w:sz w:val="20"/>
          <w:szCs w:val="20"/>
        </w:rPr>
        <w:t>M.T.</w:t>
      </w:r>
      <w:r w:rsidRPr="00DC52EE">
        <w:rPr>
          <w:sz w:val="20"/>
          <w:szCs w:val="20"/>
        </w:rPr>
        <w:t xml:space="preserve"> </w:t>
      </w:r>
      <w:r w:rsidR="00D265F8" w:rsidRPr="00DC52EE">
        <w:rPr>
          <w:sz w:val="20"/>
          <w:szCs w:val="20"/>
        </w:rPr>
        <w:t>(2000):</w:t>
      </w:r>
      <w:r w:rsidRPr="00DC52EE">
        <w:rPr>
          <w:sz w:val="20"/>
          <w:szCs w:val="20"/>
        </w:rPr>
        <w:t xml:space="preserve"> </w:t>
      </w:r>
      <w:r w:rsidR="00D265F8" w:rsidRPr="00DC52EE">
        <w:rPr>
          <w:sz w:val="20"/>
          <w:szCs w:val="20"/>
        </w:rPr>
        <w:t>Pathophysiology</w:t>
      </w:r>
      <w:r w:rsidRPr="00DC52EE">
        <w:rPr>
          <w:sz w:val="20"/>
          <w:szCs w:val="20"/>
        </w:rPr>
        <w:t xml:space="preserve"> </w:t>
      </w:r>
      <w:r w:rsidR="00D265F8" w:rsidRPr="00DC52EE">
        <w:rPr>
          <w:sz w:val="20"/>
          <w:szCs w:val="20"/>
        </w:rPr>
        <w:t>of</w:t>
      </w:r>
      <w:r w:rsidRPr="00DC52EE">
        <w:rPr>
          <w:sz w:val="20"/>
          <w:szCs w:val="20"/>
        </w:rPr>
        <w:t xml:space="preserve"> </w:t>
      </w:r>
      <w:r w:rsidR="00D265F8" w:rsidRPr="00DC52EE">
        <w:rPr>
          <w:sz w:val="20"/>
          <w:szCs w:val="20"/>
        </w:rPr>
        <w:t>parasitism.</w:t>
      </w:r>
      <w:r w:rsidRPr="00DC52EE">
        <w:rPr>
          <w:sz w:val="20"/>
          <w:szCs w:val="20"/>
        </w:rPr>
        <w:t xml:space="preserve"> </w:t>
      </w:r>
      <w:r w:rsidR="00D265F8" w:rsidRPr="00DC52EE">
        <w:rPr>
          <w:iCs/>
          <w:sz w:val="20"/>
          <w:szCs w:val="20"/>
        </w:rPr>
        <w:t>Proceedings</w:t>
      </w:r>
      <w:r w:rsidRPr="00DC52EE">
        <w:rPr>
          <w:iCs/>
          <w:sz w:val="20"/>
          <w:szCs w:val="20"/>
        </w:rPr>
        <w:t xml:space="preserve"> </w:t>
      </w:r>
      <w:r w:rsidR="00D265F8" w:rsidRPr="00DC52EE">
        <w:rPr>
          <w:iCs/>
          <w:sz w:val="20"/>
          <w:szCs w:val="20"/>
        </w:rPr>
        <w:t>of</w:t>
      </w:r>
      <w:r w:rsidRPr="00DC52EE">
        <w:rPr>
          <w:iCs/>
          <w:sz w:val="20"/>
          <w:szCs w:val="20"/>
        </w:rPr>
        <w:t xml:space="preserve"> </w:t>
      </w:r>
      <w:r w:rsidR="003136E4" w:rsidRPr="00DC52EE">
        <w:rPr>
          <w:iCs/>
          <w:sz w:val="20"/>
          <w:szCs w:val="20"/>
        </w:rPr>
        <w:t>the</w:t>
      </w:r>
      <w:r w:rsidRPr="00DC52EE">
        <w:rPr>
          <w:iCs/>
          <w:sz w:val="20"/>
          <w:szCs w:val="20"/>
        </w:rPr>
        <w:t xml:space="preserve"> </w:t>
      </w:r>
      <w:r w:rsidR="003136E4" w:rsidRPr="00DC52EE">
        <w:rPr>
          <w:iCs/>
          <w:sz w:val="20"/>
          <w:szCs w:val="20"/>
        </w:rPr>
        <w:t>30th</w:t>
      </w:r>
      <w:r w:rsidRPr="00DC52EE">
        <w:rPr>
          <w:iCs/>
          <w:sz w:val="20"/>
          <w:szCs w:val="20"/>
        </w:rPr>
        <w:t xml:space="preserve"> </w:t>
      </w:r>
      <w:r w:rsidR="003136E4" w:rsidRPr="00DC52EE">
        <w:rPr>
          <w:iCs/>
          <w:sz w:val="20"/>
          <w:szCs w:val="20"/>
        </w:rPr>
        <w:t>Seminar,</w:t>
      </w:r>
      <w:r w:rsidRPr="00DC52EE">
        <w:rPr>
          <w:iCs/>
          <w:sz w:val="20"/>
          <w:szCs w:val="20"/>
        </w:rPr>
        <w:t xml:space="preserve"> </w:t>
      </w:r>
      <w:r w:rsidR="003136E4" w:rsidRPr="00DC52EE">
        <w:rPr>
          <w:iCs/>
          <w:sz w:val="20"/>
          <w:szCs w:val="20"/>
        </w:rPr>
        <w:t>Sheep</w:t>
      </w:r>
      <w:r w:rsidRPr="00DC52EE">
        <w:rPr>
          <w:iCs/>
          <w:sz w:val="20"/>
          <w:szCs w:val="20"/>
        </w:rPr>
        <w:t xml:space="preserve"> </w:t>
      </w:r>
      <w:r w:rsidR="003136E4" w:rsidRPr="00DC52EE">
        <w:rPr>
          <w:iCs/>
          <w:sz w:val="20"/>
          <w:szCs w:val="20"/>
        </w:rPr>
        <w:t>and</w:t>
      </w:r>
      <w:r w:rsidRPr="00DC52EE">
        <w:rPr>
          <w:iCs/>
          <w:sz w:val="20"/>
          <w:szCs w:val="20"/>
        </w:rPr>
        <w:t xml:space="preserve"> </w:t>
      </w:r>
      <w:r w:rsidR="00D265F8" w:rsidRPr="00DC52EE">
        <w:rPr>
          <w:iCs/>
          <w:sz w:val="20"/>
          <w:szCs w:val="20"/>
        </w:rPr>
        <w:t>Beef</w:t>
      </w:r>
      <w:r w:rsidRPr="00DC52EE">
        <w:rPr>
          <w:iCs/>
          <w:sz w:val="20"/>
          <w:szCs w:val="20"/>
        </w:rPr>
        <w:t xml:space="preserve"> </w:t>
      </w:r>
      <w:r w:rsidR="00D265F8" w:rsidRPr="00DC52EE">
        <w:rPr>
          <w:iCs/>
          <w:sz w:val="20"/>
          <w:szCs w:val="20"/>
        </w:rPr>
        <w:t>Cattle</w:t>
      </w:r>
      <w:r w:rsidRPr="00DC52EE">
        <w:rPr>
          <w:iCs/>
          <w:sz w:val="20"/>
          <w:szCs w:val="20"/>
        </w:rPr>
        <w:t xml:space="preserve"> </w:t>
      </w:r>
      <w:r w:rsidR="00D265F8" w:rsidRPr="00DC52EE">
        <w:rPr>
          <w:iCs/>
          <w:sz w:val="20"/>
          <w:szCs w:val="20"/>
        </w:rPr>
        <w:t>Society</w:t>
      </w:r>
      <w:r w:rsidRPr="00DC52EE">
        <w:rPr>
          <w:iCs/>
          <w:sz w:val="20"/>
          <w:szCs w:val="20"/>
        </w:rPr>
        <w:t xml:space="preserve"> </w:t>
      </w:r>
      <w:r w:rsidR="00D265F8" w:rsidRPr="00DC52EE">
        <w:rPr>
          <w:iCs/>
          <w:sz w:val="20"/>
          <w:szCs w:val="20"/>
        </w:rPr>
        <w:t>of</w:t>
      </w:r>
      <w:r w:rsidRPr="00DC52EE">
        <w:rPr>
          <w:iCs/>
          <w:sz w:val="20"/>
          <w:szCs w:val="20"/>
        </w:rPr>
        <w:t xml:space="preserve"> </w:t>
      </w:r>
      <w:r w:rsidR="00D265F8" w:rsidRPr="00DC52EE">
        <w:rPr>
          <w:iCs/>
          <w:sz w:val="20"/>
          <w:szCs w:val="20"/>
        </w:rPr>
        <w:t>the</w:t>
      </w:r>
      <w:r w:rsidRPr="00DC52EE">
        <w:rPr>
          <w:iCs/>
          <w:sz w:val="20"/>
          <w:szCs w:val="20"/>
        </w:rPr>
        <w:t xml:space="preserve"> </w:t>
      </w:r>
      <w:r w:rsidR="00D265F8" w:rsidRPr="00DC52EE">
        <w:rPr>
          <w:iCs/>
          <w:sz w:val="20"/>
          <w:szCs w:val="20"/>
        </w:rPr>
        <w:t>NZ</w:t>
      </w:r>
      <w:r w:rsidRPr="00DC52EE">
        <w:rPr>
          <w:iCs/>
          <w:sz w:val="20"/>
          <w:szCs w:val="20"/>
        </w:rPr>
        <w:t xml:space="preserve"> </w:t>
      </w:r>
      <w:r w:rsidR="00D265F8" w:rsidRPr="00DC52EE">
        <w:rPr>
          <w:iCs/>
          <w:sz w:val="20"/>
          <w:szCs w:val="20"/>
        </w:rPr>
        <w:t>Veterinary</w:t>
      </w:r>
      <w:r w:rsidRPr="00DC52EE">
        <w:rPr>
          <w:iCs/>
          <w:sz w:val="20"/>
          <w:szCs w:val="20"/>
        </w:rPr>
        <w:t xml:space="preserve"> </w:t>
      </w:r>
      <w:r w:rsidR="00D265F8" w:rsidRPr="00DC52EE">
        <w:rPr>
          <w:iCs/>
          <w:sz w:val="20"/>
          <w:szCs w:val="20"/>
        </w:rPr>
        <w:t>Association</w:t>
      </w:r>
      <w:r w:rsidR="00D05639" w:rsidRPr="00DC52EE">
        <w:rPr>
          <w:iCs/>
          <w:sz w:val="20"/>
          <w:szCs w:val="20"/>
        </w:rPr>
        <w:t>.</w:t>
      </w:r>
      <w:r w:rsidR="00D265F8" w:rsidRPr="00DC52EE">
        <w:rPr>
          <w:iCs/>
          <w:sz w:val="20"/>
          <w:szCs w:val="20"/>
        </w:rPr>
        <w:t>Pp:</w:t>
      </w:r>
      <w:r w:rsidR="00D265F8" w:rsidRPr="00DC52EE">
        <w:rPr>
          <w:sz w:val="20"/>
          <w:szCs w:val="20"/>
        </w:rPr>
        <w:t>99-110.</w:t>
      </w:r>
    </w:p>
    <w:p w:rsidR="00903A07" w:rsidRPr="00DC52EE" w:rsidRDefault="00EB5248"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Gamble,</w:t>
      </w:r>
      <w:r w:rsidR="00903A07" w:rsidRPr="00DC52EE">
        <w:rPr>
          <w:sz w:val="20"/>
          <w:szCs w:val="20"/>
        </w:rPr>
        <w:t xml:space="preserve"> </w:t>
      </w:r>
      <w:r w:rsidRPr="00DC52EE">
        <w:rPr>
          <w:sz w:val="20"/>
          <w:szCs w:val="20"/>
        </w:rPr>
        <w:t>H.R.</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Zajak,</w:t>
      </w:r>
      <w:r w:rsidR="00903A07" w:rsidRPr="00DC52EE">
        <w:rPr>
          <w:sz w:val="20"/>
          <w:szCs w:val="20"/>
        </w:rPr>
        <w:t xml:space="preserve"> </w:t>
      </w:r>
      <w:r w:rsidRPr="00DC52EE">
        <w:rPr>
          <w:sz w:val="20"/>
          <w:szCs w:val="20"/>
        </w:rPr>
        <w:t>A.M.</w:t>
      </w:r>
      <w:r w:rsidR="00903A07" w:rsidRPr="00DC52EE">
        <w:rPr>
          <w:sz w:val="20"/>
          <w:szCs w:val="20"/>
        </w:rPr>
        <w:t xml:space="preserve"> </w:t>
      </w:r>
      <w:r w:rsidRPr="00DC52EE">
        <w:rPr>
          <w:sz w:val="20"/>
          <w:szCs w:val="20"/>
        </w:rPr>
        <w:t>(1992):</w:t>
      </w:r>
      <w:r w:rsidR="00903A07" w:rsidRPr="00DC52EE">
        <w:rPr>
          <w:sz w:val="20"/>
          <w:szCs w:val="20"/>
        </w:rPr>
        <w:t xml:space="preserve"> </w:t>
      </w:r>
      <w:r w:rsidRPr="00DC52EE">
        <w:rPr>
          <w:sz w:val="20"/>
          <w:szCs w:val="20"/>
        </w:rPr>
        <w:t>Resistance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St.</w:t>
      </w:r>
      <w:r w:rsidR="00903A07" w:rsidRPr="00DC52EE">
        <w:rPr>
          <w:sz w:val="20"/>
          <w:szCs w:val="20"/>
        </w:rPr>
        <w:t xml:space="preserve"> </w:t>
      </w:r>
      <w:r w:rsidRPr="00DC52EE">
        <w:rPr>
          <w:sz w:val="20"/>
          <w:szCs w:val="20"/>
        </w:rPr>
        <w:t>Croix</w:t>
      </w:r>
      <w:r w:rsidR="00903A07" w:rsidRPr="00DC52EE">
        <w:rPr>
          <w:sz w:val="20"/>
          <w:szCs w:val="20"/>
        </w:rPr>
        <w:t xml:space="preserve"> </w:t>
      </w:r>
      <w:r w:rsidRPr="00DC52EE">
        <w:rPr>
          <w:sz w:val="20"/>
          <w:szCs w:val="20"/>
        </w:rPr>
        <w:t>lambs</w:t>
      </w:r>
      <w:r w:rsidR="00903A07" w:rsidRPr="00DC52EE">
        <w:rPr>
          <w:sz w:val="20"/>
          <w:szCs w:val="20"/>
        </w:rPr>
        <w:t xml:space="preserve"> </w:t>
      </w:r>
      <w:r w:rsidRPr="00DC52EE">
        <w:rPr>
          <w:sz w:val="20"/>
          <w:szCs w:val="20"/>
        </w:rPr>
        <w:t>to</w:t>
      </w:r>
      <w:r w:rsidR="00903A07" w:rsidRPr="00DC52EE">
        <w:rPr>
          <w:sz w:val="20"/>
          <w:szCs w:val="20"/>
        </w:rPr>
        <w:t xml:space="preserve"> </w:t>
      </w:r>
      <w:r w:rsidRPr="00DC52EE">
        <w:rPr>
          <w:i/>
          <w:iCs/>
          <w:sz w:val="20"/>
          <w:szCs w:val="20"/>
        </w:rPr>
        <w:t>Haemonchus</w:t>
      </w:r>
      <w:r w:rsidR="00903A07" w:rsidRPr="00DC52EE">
        <w:rPr>
          <w:i/>
          <w:iCs/>
          <w:sz w:val="20"/>
          <w:szCs w:val="20"/>
        </w:rPr>
        <w:t xml:space="preserve"> </w:t>
      </w:r>
      <w:r w:rsidRPr="00DC52EE">
        <w:rPr>
          <w:i/>
          <w:iCs/>
          <w:sz w:val="20"/>
          <w:szCs w:val="20"/>
        </w:rPr>
        <w:t>contortus</w:t>
      </w:r>
      <w:r w:rsidR="00903A07" w:rsidRPr="00DC52EE">
        <w:rPr>
          <w:i/>
          <w:iCs/>
          <w:sz w:val="20"/>
          <w:szCs w:val="20"/>
        </w:rPr>
        <w:t xml:space="preserve"> </w:t>
      </w:r>
      <w:r w:rsidRPr="00DC52EE">
        <w:rPr>
          <w:sz w:val="20"/>
          <w:szCs w:val="20"/>
        </w:rPr>
        <w:t>in</w:t>
      </w:r>
      <w:r w:rsidR="00903A07" w:rsidRPr="00DC52EE">
        <w:rPr>
          <w:sz w:val="20"/>
          <w:szCs w:val="20"/>
        </w:rPr>
        <w:t xml:space="preserve"> </w:t>
      </w:r>
      <w:r w:rsidRPr="00DC52EE">
        <w:rPr>
          <w:sz w:val="20"/>
          <w:szCs w:val="20"/>
        </w:rPr>
        <w:t>experimentally</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naturally</w:t>
      </w:r>
      <w:r w:rsidR="00903A07" w:rsidRPr="00DC52EE">
        <w:rPr>
          <w:sz w:val="20"/>
          <w:szCs w:val="20"/>
        </w:rPr>
        <w:t xml:space="preserve"> </w:t>
      </w:r>
      <w:r w:rsidRPr="00DC52EE">
        <w:rPr>
          <w:sz w:val="20"/>
          <w:szCs w:val="20"/>
        </w:rPr>
        <w:t>acquired</w:t>
      </w:r>
      <w:r w:rsidR="00903A07" w:rsidRPr="00DC52EE">
        <w:rPr>
          <w:sz w:val="20"/>
          <w:szCs w:val="20"/>
        </w:rPr>
        <w:t xml:space="preserve"> </w:t>
      </w:r>
      <w:r w:rsidRPr="00DC52EE">
        <w:rPr>
          <w:sz w:val="20"/>
          <w:szCs w:val="20"/>
        </w:rPr>
        <w:t>infe</w:t>
      </w:r>
      <w:r w:rsidR="006B2195" w:rsidRPr="00DC52EE">
        <w:rPr>
          <w:sz w:val="20"/>
          <w:szCs w:val="20"/>
        </w:rPr>
        <w:t>ctions.</w:t>
      </w:r>
      <w:r w:rsidR="00903A07" w:rsidRPr="00DC52EE">
        <w:rPr>
          <w:sz w:val="20"/>
          <w:szCs w:val="20"/>
        </w:rPr>
        <w:t xml:space="preserve"> </w:t>
      </w:r>
      <w:r w:rsidR="00B73C0A" w:rsidRPr="00DC52EE">
        <w:rPr>
          <w:i/>
          <w:sz w:val="20"/>
          <w:szCs w:val="20"/>
        </w:rPr>
        <w:t>Veter.</w:t>
      </w:r>
      <w:r w:rsidR="00903A07" w:rsidRPr="00DC52EE">
        <w:rPr>
          <w:i/>
          <w:sz w:val="20"/>
          <w:szCs w:val="20"/>
        </w:rPr>
        <w:t xml:space="preserve"> </w:t>
      </w:r>
      <w:r w:rsidR="006B2195" w:rsidRPr="00DC52EE">
        <w:rPr>
          <w:i/>
          <w:sz w:val="20"/>
          <w:szCs w:val="20"/>
        </w:rPr>
        <w:t>Para</w:t>
      </w:r>
      <w:r w:rsidR="00B73C0A" w:rsidRPr="00DC52EE">
        <w:rPr>
          <w:i/>
          <w:sz w:val="20"/>
          <w:szCs w:val="20"/>
        </w:rPr>
        <w:t>s.,</w:t>
      </w:r>
      <w:r w:rsidR="00903A07" w:rsidRPr="00DC52EE">
        <w:rPr>
          <w:i/>
          <w:sz w:val="20"/>
          <w:szCs w:val="20"/>
        </w:rPr>
        <w:t xml:space="preserve"> </w:t>
      </w:r>
      <w:r w:rsidRPr="00DC52EE">
        <w:rPr>
          <w:sz w:val="20"/>
          <w:szCs w:val="20"/>
        </w:rPr>
        <w:t>41:</w:t>
      </w:r>
      <w:r w:rsidR="00903A07" w:rsidRPr="00DC52EE">
        <w:rPr>
          <w:sz w:val="20"/>
          <w:szCs w:val="20"/>
        </w:rPr>
        <w:t xml:space="preserve"> </w:t>
      </w:r>
      <w:r w:rsidRPr="00DC52EE">
        <w:rPr>
          <w:sz w:val="20"/>
          <w:szCs w:val="20"/>
        </w:rPr>
        <w:t>211-225.</w:t>
      </w:r>
    </w:p>
    <w:p w:rsidR="00903A07" w:rsidRPr="00DC52EE" w:rsidRDefault="00791E43" w:rsidP="00BB7760">
      <w:pPr>
        <w:pStyle w:val="ListParagraph"/>
        <w:numPr>
          <w:ilvl w:val="0"/>
          <w:numId w:val="21"/>
        </w:numPr>
        <w:snapToGrid w:val="0"/>
        <w:spacing w:after="0" w:line="240" w:lineRule="auto"/>
        <w:ind w:left="425" w:hanging="425"/>
        <w:jc w:val="both"/>
        <w:rPr>
          <w:sz w:val="20"/>
          <w:szCs w:val="20"/>
        </w:rPr>
      </w:pPr>
      <w:r w:rsidRPr="00DC52EE">
        <w:rPr>
          <w:sz w:val="20"/>
          <w:szCs w:val="20"/>
        </w:rPr>
        <w:t>Genene,</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(1994):</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study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ovi</w:t>
      </w:r>
      <w:r w:rsidR="00103807" w:rsidRPr="00DC52EE">
        <w:rPr>
          <w:sz w:val="20"/>
          <w:szCs w:val="20"/>
        </w:rPr>
        <w:t>ne</w:t>
      </w:r>
      <w:r w:rsidR="00903A07" w:rsidRPr="00DC52EE">
        <w:rPr>
          <w:sz w:val="20"/>
          <w:szCs w:val="20"/>
        </w:rPr>
        <w:t xml:space="preserve"> </w:t>
      </w:r>
      <w:r w:rsidR="00103807" w:rsidRPr="00DC52EE">
        <w:rPr>
          <w:sz w:val="20"/>
          <w:szCs w:val="20"/>
        </w:rPr>
        <w:t>GI</w:t>
      </w:r>
      <w:r w:rsidR="00903A07" w:rsidRPr="00DC52EE">
        <w:rPr>
          <w:sz w:val="20"/>
          <w:szCs w:val="20"/>
        </w:rPr>
        <w:t xml:space="preserve"> </w:t>
      </w:r>
      <w:r w:rsidR="00103807" w:rsidRPr="00DC52EE">
        <w:rPr>
          <w:sz w:val="20"/>
          <w:szCs w:val="20"/>
        </w:rPr>
        <w:t>helminthes</w:t>
      </w:r>
      <w:r w:rsidR="00903A07" w:rsidRPr="00DC52EE">
        <w:rPr>
          <w:sz w:val="20"/>
          <w:szCs w:val="20"/>
        </w:rPr>
        <w:t xml:space="preserve"> </w:t>
      </w:r>
      <w:r w:rsidR="00103807" w:rsidRPr="00DC52EE">
        <w:rPr>
          <w:sz w:val="20"/>
          <w:szCs w:val="20"/>
        </w:rPr>
        <w:t>in</w:t>
      </w:r>
      <w:r w:rsidR="00903A07" w:rsidRPr="00DC52EE">
        <w:rPr>
          <w:sz w:val="20"/>
          <w:szCs w:val="20"/>
        </w:rPr>
        <w:t xml:space="preserve"> </w:t>
      </w:r>
      <w:r w:rsidR="00103807" w:rsidRPr="00DC52EE">
        <w:rPr>
          <w:sz w:val="20"/>
          <w:szCs w:val="20"/>
        </w:rPr>
        <w:t>and</w:t>
      </w:r>
      <w:r w:rsidR="00903A07" w:rsidRPr="00DC52EE">
        <w:rPr>
          <w:sz w:val="20"/>
          <w:szCs w:val="20"/>
        </w:rPr>
        <w:t xml:space="preserve"> </w:t>
      </w:r>
      <w:r w:rsidR="00103807" w:rsidRPr="00DC52EE">
        <w:rPr>
          <w:sz w:val="20"/>
          <w:szCs w:val="20"/>
        </w:rPr>
        <w:t>around</w:t>
      </w:r>
      <w:r w:rsidR="00903A07" w:rsidRPr="00DC52EE">
        <w:rPr>
          <w:sz w:val="20"/>
          <w:szCs w:val="20"/>
        </w:rPr>
        <w:t xml:space="preserve"> </w:t>
      </w:r>
      <w:r w:rsidR="00103807" w:rsidRPr="00DC52EE">
        <w:rPr>
          <w:sz w:val="20"/>
          <w:szCs w:val="20"/>
        </w:rPr>
        <w:t>K</w:t>
      </w:r>
      <w:r w:rsidRPr="00DC52EE">
        <w:rPr>
          <w:sz w:val="20"/>
          <w:szCs w:val="20"/>
        </w:rPr>
        <w:t>ombolcha.</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Pr="00DC52EE">
        <w:rPr>
          <w:sz w:val="20"/>
          <w:szCs w:val="20"/>
        </w:rPr>
        <w:t>faculty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Debre</w:t>
      </w:r>
      <w:r w:rsidR="00903A07" w:rsidRPr="00DC52EE">
        <w:rPr>
          <w:sz w:val="20"/>
          <w:szCs w:val="20"/>
        </w:rPr>
        <w:t xml:space="preserve"> </w:t>
      </w:r>
      <w:r w:rsidRPr="00DC52EE">
        <w:rPr>
          <w:sz w:val="20"/>
          <w:szCs w:val="20"/>
        </w:rPr>
        <w:t>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24-25.</w:t>
      </w:r>
    </w:p>
    <w:p w:rsidR="00903A07" w:rsidRPr="00DC52EE" w:rsidRDefault="00791E43" w:rsidP="00BB7760">
      <w:pPr>
        <w:pStyle w:val="ListParagraph"/>
        <w:numPr>
          <w:ilvl w:val="0"/>
          <w:numId w:val="21"/>
        </w:numPr>
        <w:snapToGrid w:val="0"/>
        <w:spacing w:after="0" w:line="240" w:lineRule="auto"/>
        <w:ind w:left="425" w:hanging="425"/>
        <w:jc w:val="both"/>
        <w:rPr>
          <w:sz w:val="20"/>
          <w:szCs w:val="20"/>
        </w:rPr>
      </w:pPr>
      <w:r w:rsidRPr="00DC52EE">
        <w:rPr>
          <w:sz w:val="20"/>
          <w:szCs w:val="20"/>
        </w:rPr>
        <w:t>Getachew,</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(1998):</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caprine</w:t>
      </w:r>
      <w:r w:rsidR="00903A07" w:rsidRPr="00DC52EE">
        <w:rPr>
          <w:sz w:val="20"/>
          <w:szCs w:val="20"/>
        </w:rPr>
        <w:t xml:space="preserve"> </w:t>
      </w:r>
      <w:r w:rsidRPr="00DC52EE">
        <w:rPr>
          <w:sz w:val="20"/>
          <w:szCs w:val="20"/>
        </w:rPr>
        <w:t>GI</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Mekele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its</w:t>
      </w:r>
      <w:r w:rsidR="00903A07" w:rsidRPr="00DC52EE">
        <w:rPr>
          <w:sz w:val="20"/>
          <w:szCs w:val="20"/>
        </w:rPr>
        <w:t xml:space="preserve"> </w:t>
      </w:r>
      <w:r w:rsidRPr="00DC52EE">
        <w:rPr>
          <w:sz w:val="20"/>
          <w:szCs w:val="20"/>
        </w:rPr>
        <w:t>surroundings.</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003136E4" w:rsidRPr="00DC52EE">
        <w:rPr>
          <w:sz w:val="20"/>
          <w:szCs w:val="20"/>
        </w:rPr>
        <w:t>faculty</w:t>
      </w:r>
      <w:r w:rsidR="00903A07" w:rsidRPr="00DC52EE">
        <w:rPr>
          <w:sz w:val="20"/>
          <w:szCs w:val="20"/>
        </w:rPr>
        <w:t xml:space="preserve"> </w:t>
      </w:r>
      <w:r w:rsidR="003136E4" w:rsidRPr="00DC52EE">
        <w:rPr>
          <w:sz w:val="20"/>
          <w:szCs w:val="20"/>
        </w:rPr>
        <w:t>of</w:t>
      </w:r>
      <w:r w:rsidR="00903A07" w:rsidRPr="00DC52EE">
        <w:rPr>
          <w:sz w:val="20"/>
          <w:szCs w:val="20"/>
        </w:rPr>
        <w:t xml:space="preserve"> </w:t>
      </w:r>
      <w:r w:rsidR="003136E4" w:rsidRPr="00DC52EE">
        <w:rPr>
          <w:sz w:val="20"/>
          <w:szCs w:val="20"/>
        </w:rPr>
        <w:t>veterinary</w:t>
      </w:r>
      <w:r w:rsidR="00903A07" w:rsidRPr="00DC52EE">
        <w:rPr>
          <w:sz w:val="20"/>
          <w:szCs w:val="20"/>
        </w:rPr>
        <w:t xml:space="preserve"> </w:t>
      </w:r>
      <w:r w:rsidR="003136E4"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Debre</w:t>
      </w:r>
      <w:r w:rsidR="00903A07" w:rsidRPr="00DC52EE">
        <w:rPr>
          <w:sz w:val="20"/>
          <w:szCs w:val="20"/>
        </w:rPr>
        <w:t xml:space="preserve"> </w:t>
      </w:r>
      <w:r w:rsidRPr="00DC52EE">
        <w:rPr>
          <w:sz w:val="20"/>
          <w:szCs w:val="20"/>
        </w:rPr>
        <w:t>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260.</w:t>
      </w:r>
    </w:p>
    <w:p w:rsidR="00903A07" w:rsidRPr="00DC52EE" w:rsidRDefault="00F206DB" w:rsidP="00BB7760">
      <w:pPr>
        <w:pStyle w:val="ListParagraph"/>
        <w:numPr>
          <w:ilvl w:val="0"/>
          <w:numId w:val="21"/>
        </w:numPr>
        <w:snapToGrid w:val="0"/>
        <w:spacing w:after="0" w:line="240" w:lineRule="auto"/>
        <w:ind w:left="425" w:hanging="425"/>
        <w:jc w:val="both"/>
        <w:rPr>
          <w:sz w:val="20"/>
          <w:szCs w:val="20"/>
        </w:rPr>
      </w:pPr>
      <w:r w:rsidRPr="00DC52EE">
        <w:rPr>
          <w:sz w:val="20"/>
          <w:szCs w:val="20"/>
        </w:rPr>
        <w:t>Ghanem,</w:t>
      </w:r>
      <w:r w:rsidR="00903A07" w:rsidRPr="00DC52EE">
        <w:rPr>
          <w:sz w:val="20"/>
          <w:szCs w:val="20"/>
        </w:rPr>
        <w:t xml:space="preserve"> </w:t>
      </w:r>
      <w:r w:rsidRPr="00DC52EE">
        <w:rPr>
          <w:sz w:val="20"/>
          <w:szCs w:val="20"/>
        </w:rPr>
        <w:t>Y.M.,</w:t>
      </w:r>
      <w:r w:rsidR="00903A07" w:rsidRPr="00DC52EE">
        <w:rPr>
          <w:sz w:val="20"/>
          <w:szCs w:val="20"/>
        </w:rPr>
        <w:t xml:space="preserve"> </w:t>
      </w:r>
      <w:r w:rsidRPr="00DC52EE">
        <w:rPr>
          <w:sz w:val="20"/>
          <w:szCs w:val="20"/>
        </w:rPr>
        <w:t>Naser,</w:t>
      </w:r>
      <w:r w:rsidR="00903A07" w:rsidRPr="00DC52EE">
        <w:rPr>
          <w:sz w:val="20"/>
          <w:szCs w:val="20"/>
        </w:rPr>
        <w:t xml:space="preserve"> </w:t>
      </w:r>
      <w:r w:rsidRPr="00DC52EE">
        <w:rPr>
          <w:sz w:val="20"/>
          <w:szCs w:val="20"/>
        </w:rPr>
        <w:t>M.H.,</w:t>
      </w:r>
      <w:r w:rsidR="00903A07" w:rsidRPr="00DC52EE">
        <w:rPr>
          <w:sz w:val="20"/>
          <w:szCs w:val="20"/>
        </w:rPr>
        <w:t xml:space="preserve"> </w:t>
      </w:r>
      <w:r w:rsidRPr="00DC52EE">
        <w:rPr>
          <w:sz w:val="20"/>
          <w:szCs w:val="20"/>
        </w:rPr>
        <w:t>Abdelkader,</w:t>
      </w:r>
      <w:r w:rsidR="00903A07" w:rsidRPr="00DC52EE">
        <w:rPr>
          <w:sz w:val="20"/>
          <w:szCs w:val="20"/>
        </w:rPr>
        <w:t xml:space="preserve"> </w:t>
      </w:r>
      <w:r w:rsidRPr="00DC52EE">
        <w:rPr>
          <w:sz w:val="20"/>
          <w:szCs w:val="20"/>
        </w:rPr>
        <w:t>A.H.</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Heybe,</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(2009):</w:t>
      </w:r>
      <w:r w:rsidR="00903A07" w:rsidRPr="00DC52EE">
        <w:rPr>
          <w:sz w:val="20"/>
          <w:szCs w:val="20"/>
        </w:rPr>
        <w:t xml:space="preserve"> </w:t>
      </w:r>
      <w:r w:rsidRPr="00DC52EE">
        <w:rPr>
          <w:sz w:val="20"/>
          <w:szCs w:val="20"/>
        </w:rPr>
        <w:t>An</w:t>
      </w:r>
      <w:r w:rsidR="00903A07" w:rsidRPr="00DC52EE">
        <w:rPr>
          <w:sz w:val="20"/>
          <w:szCs w:val="20"/>
        </w:rPr>
        <w:t xml:space="preserve"> </w:t>
      </w:r>
      <w:r w:rsidRPr="00DC52EE">
        <w:rPr>
          <w:sz w:val="20"/>
          <w:szCs w:val="20"/>
        </w:rPr>
        <w:t>epidemio-</w:t>
      </w:r>
      <w:r w:rsidR="00903A07" w:rsidRPr="00DC52EE">
        <w:rPr>
          <w:sz w:val="20"/>
          <w:szCs w:val="20"/>
        </w:rPr>
        <w:t xml:space="preserve"> </w:t>
      </w:r>
      <w:r w:rsidRPr="00DC52EE">
        <w:rPr>
          <w:sz w:val="20"/>
          <w:szCs w:val="20"/>
        </w:rPr>
        <w:t>coprological</w:t>
      </w:r>
      <w:r w:rsidR="00903A07" w:rsidRPr="00DC52EE">
        <w:rPr>
          <w:sz w:val="20"/>
          <w:szCs w:val="20"/>
        </w:rPr>
        <w:t xml:space="preserve"> </w:t>
      </w:r>
      <w:r w:rsidRPr="00DC52EE">
        <w:rPr>
          <w:sz w:val="20"/>
          <w:szCs w:val="20"/>
        </w:rPr>
        <w:t>study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protozoan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tropical</w:t>
      </w:r>
      <w:r w:rsidR="00903A07" w:rsidRPr="00DC52EE">
        <w:rPr>
          <w:sz w:val="20"/>
          <w:szCs w:val="20"/>
        </w:rPr>
        <w:t xml:space="preserve"> </w:t>
      </w:r>
      <w:r w:rsidRPr="00DC52EE">
        <w:rPr>
          <w:sz w:val="20"/>
          <w:szCs w:val="20"/>
        </w:rPr>
        <w:t>semi-arid</w:t>
      </w:r>
      <w:r w:rsidR="00903A07" w:rsidRPr="00DC52EE">
        <w:rPr>
          <w:sz w:val="20"/>
          <w:szCs w:val="20"/>
        </w:rPr>
        <w:t xml:space="preserve"> </w:t>
      </w:r>
      <w:r w:rsidRPr="00DC52EE">
        <w:rPr>
          <w:sz w:val="20"/>
          <w:szCs w:val="20"/>
        </w:rPr>
        <w:t>district</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Somalilan</w:t>
      </w:r>
      <w:r w:rsidR="00903A07" w:rsidRPr="00DC52EE">
        <w:rPr>
          <w:sz w:val="20"/>
          <w:szCs w:val="20"/>
        </w:rPr>
        <w:t xml:space="preserve"> </w:t>
      </w:r>
      <w:r w:rsidRPr="00DC52EE">
        <w:rPr>
          <w:sz w:val="20"/>
          <w:szCs w:val="20"/>
        </w:rPr>
        <w:t>D</w:t>
      </w:r>
      <w:r w:rsidR="00903A07" w:rsidRPr="00DC52EE">
        <w:rPr>
          <w:sz w:val="20"/>
          <w:szCs w:val="20"/>
        </w:rPr>
        <w:t xml:space="preserve"> </w:t>
      </w:r>
      <w:r w:rsidRPr="00DC52EE">
        <w:rPr>
          <w:sz w:val="20"/>
          <w:szCs w:val="20"/>
        </w:rPr>
        <w:t>(Northern</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Somalia).</w:t>
      </w:r>
      <w:r w:rsidR="00903A07" w:rsidRPr="00DC52EE">
        <w:rPr>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Med.</w:t>
      </w:r>
      <w:r w:rsidR="00903A07" w:rsidRPr="00DC52EE">
        <w:rPr>
          <w:i/>
          <w:sz w:val="20"/>
          <w:szCs w:val="20"/>
        </w:rPr>
        <w:t xml:space="preserve"> </w:t>
      </w:r>
      <w:r w:rsidRPr="00DC52EE">
        <w:rPr>
          <w:i/>
          <w:sz w:val="20"/>
          <w:szCs w:val="20"/>
        </w:rPr>
        <w:t>J.</w:t>
      </w:r>
      <w:r w:rsidR="00903A07" w:rsidRPr="00DC52EE">
        <w:rPr>
          <w:i/>
          <w:sz w:val="20"/>
          <w:szCs w:val="20"/>
        </w:rPr>
        <w:t xml:space="preserve"> </w:t>
      </w:r>
      <w:r w:rsidRPr="00DC52EE">
        <w:rPr>
          <w:i/>
          <w:sz w:val="20"/>
          <w:szCs w:val="20"/>
        </w:rPr>
        <w:t>3rd</w:t>
      </w:r>
      <w:r w:rsidR="00903A07" w:rsidRPr="00DC52EE">
        <w:rPr>
          <w:i/>
          <w:sz w:val="20"/>
          <w:szCs w:val="20"/>
        </w:rPr>
        <w:t xml:space="preserve"> </w:t>
      </w:r>
      <w:r w:rsidRPr="00DC52EE">
        <w:rPr>
          <w:i/>
          <w:sz w:val="20"/>
          <w:szCs w:val="20"/>
        </w:rPr>
        <w:t>Sci.</w:t>
      </w:r>
      <w:r w:rsidR="00903A07" w:rsidRPr="00DC52EE">
        <w:rPr>
          <w:i/>
          <w:sz w:val="20"/>
          <w:szCs w:val="20"/>
        </w:rPr>
        <w:t xml:space="preserve"> </w:t>
      </w:r>
      <w:r w:rsidRPr="00DC52EE">
        <w:rPr>
          <w:i/>
          <w:sz w:val="20"/>
          <w:szCs w:val="20"/>
        </w:rPr>
        <w:t>Congress</w:t>
      </w:r>
      <w:r w:rsidR="005D2EB5" w:rsidRPr="00DC52EE">
        <w:rPr>
          <w:sz w:val="20"/>
          <w:szCs w:val="20"/>
        </w:rPr>
        <w:t>,</w:t>
      </w:r>
      <w:r w:rsidR="00903A07" w:rsidRPr="00DC52EE">
        <w:rPr>
          <w:sz w:val="20"/>
          <w:szCs w:val="20"/>
        </w:rPr>
        <w:t xml:space="preserve"> </w:t>
      </w:r>
      <w:r w:rsidR="005D2EB5" w:rsidRPr="00DC52EE">
        <w:rPr>
          <w:sz w:val="20"/>
          <w:szCs w:val="20"/>
        </w:rPr>
        <w:t>1:</w:t>
      </w:r>
      <w:r w:rsidR="00903A07" w:rsidRPr="00DC52EE">
        <w:rPr>
          <w:sz w:val="20"/>
          <w:szCs w:val="20"/>
        </w:rPr>
        <w:t xml:space="preserve"> </w:t>
      </w:r>
      <w:r w:rsidRPr="00DC52EE">
        <w:rPr>
          <w:sz w:val="20"/>
          <w:szCs w:val="20"/>
        </w:rPr>
        <w:t>768-787.</w:t>
      </w:r>
    </w:p>
    <w:p w:rsidR="00903A07" w:rsidRPr="00DC52EE" w:rsidRDefault="009509E4" w:rsidP="00BB7760">
      <w:pPr>
        <w:pStyle w:val="ListParagraph"/>
        <w:numPr>
          <w:ilvl w:val="0"/>
          <w:numId w:val="21"/>
        </w:numPr>
        <w:snapToGrid w:val="0"/>
        <w:spacing w:after="0" w:line="240" w:lineRule="auto"/>
        <w:ind w:left="425" w:hanging="425"/>
        <w:jc w:val="both"/>
        <w:rPr>
          <w:sz w:val="20"/>
          <w:szCs w:val="20"/>
        </w:rPr>
      </w:pPr>
      <w:r w:rsidRPr="00DC52EE">
        <w:rPr>
          <w:sz w:val="20"/>
          <w:szCs w:val="20"/>
        </w:rPr>
        <w:t>Guto</w:t>
      </w:r>
      <w:r w:rsidR="00903A07" w:rsidRPr="00DC52EE">
        <w:rPr>
          <w:sz w:val="20"/>
          <w:szCs w:val="20"/>
        </w:rPr>
        <w:t xml:space="preserve"> </w:t>
      </w:r>
      <w:r w:rsidRPr="00DC52EE">
        <w:rPr>
          <w:sz w:val="20"/>
          <w:szCs w:val="20"/>
        </w:rPr>
        <w:t>Gida</w:t>
      </w:r>
      <w:r w:rsidR="00903A07" w:rsidRPr="00DC52EE">
        <w:rPr>
          <w:sz w:val="20"/>
          <w:szCs w:val="20"/>
        </w:rPr>
        <w:t xml:space="preserve"> </w:t>
      </w:r>
      <w:r w:rsidRPr="00DC52EE">
        <w:rPr>
          <w:sz w:val="20"/>
          <w:szCs w:val="20"/>
        </w:rPr>
        <w:t>Woreda</w:t>
      </w:r>
      <w:r w:rsidR="00903A07" w:rsidRPr="00DC52EE">
        <w:rPr>
          <w:sz w:val="20"/>
          <w:szCs w:val="20"/>
        </w:rPr>
        <w:t xml:space="preserve"> </w:t>
      </w:r>
      <w:r w:rsidRPr="00DC52EE">
        <w:rPr>
          <w:sz w:val="20"/>
          <w:szCs w:val="20"/>
        </w:rPr>
        <w:t>Office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Agricultural</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Rural</w:t>
      </w:r>
      <w:r w:rsidR="00903A07" w:rsidRPr="00DC52EE">
        <w:rPr>
          <w:sz w:val="20"/>
          <w:szCs w:val="20"/>
        </w:rPr>
        <w:t xml:space="preserve"> </w:t>
      </w:r>
      <w:r w:rsidRPr="00DC52EE">
        <w:rPr>
          <w:sz w:val="20"/>
          <w:szCs w:val="20"/>
        </w:rPr>
        <w:t>Development</w:t>
      </w:r>
      <w:r w:rsidR="00903A07" w:rsidRPr="00DC52EE">
        <w:rPr>
          <w:sz w:val="20"/>
          <w:szCs w:val="20"/>
        </w:rPr>
        <w:t xml:space="preserve"> </w:t>
      </w:r>
      <w:r w:rsidRPr="00DC52EE">
        <w:rPr>
          <w:sz w:val="20"/>
          <w:szCs w:val="20"/>
        </w:rPr>
        <w:t>(GGWOARD)</w:t>
      </w:r>
      <w:r w:rsidR="00903A07" w:rsidRPr="00DC52EE">
        <w:rPr>
          <w:sz w:val="20"/>
          <w:szCs w:val="20"/>
        </w:rPr>
        <w:t>. (</w:t>
      </w:r>
      <w:r w:rsidRPr="00DC52EE">
        <w:rPr>
          <w:sz w:val="20"/>
          <w:szCs w:val="20"/>
        </w:rPr>
        <w:t>2014):</w:t>
      </w:r>
      <w:r w:rsidR="00903A07" w:rsidRPr="00DC52EE">
        <w:rPr>
          <w:sz w:val="20"/>
          <w:szCs w:val="20"/>
        </w:rPr>
        <w:t xml:space="preserve"> </w:t>
      </w:r>
      <w:r w:rsidRPr="00DC52EE">
        <w:rPr>
          <w:sz w:val="20"/>
          <w:szCs w:val="20"/>
        </w:rPr>
        <w:t>Animal</w:t>
      </w:r>
      <w:r w:rsidR="00903A07" w:rsidRPr="00DC52EE">
        <w:rPr>
          <w:sz w:val="20"/>
          <w:szCs w:val="20"/>
        </w:rPr>
        <w:t xml:space="preserve"> </w:t>
      </w:r>
      <w:r w:rsidRPr="00DC52EE">
        <w:rPr>
          <w:sz w:val="20"/>
          <w:szCs w:val="20"/>
        </w:rPr>
        <w:t>population</w:t>
      </w:r>
      <w:r w:rsidR="00903A07" w:rsidRPr="00DC52EE">
        <w:rPr>
          <w:sz w:val="20"/>
          <w:szCs w:val="20"/>
        </w:rPr>
        <w:t xml:space="preserve"> </w:t>
      </w:r>
      <w:r w:rsidRPr="00DC52EE">
        <w:rPr>
          <w:sz w:val="20"/>
          <w:szCs w:val="20"/>
        </w:rPr>
        <w:t>information</w:t>
      </w:r>
      <w:r w:rsidR="00903A07" w:rsidRPr="00DC52EE">
        <w:rPr>
          <w:sz w:val="20"/>
          <w:szCs w:val="20"/>
        </w:rPr>
        <w:t xml:space="preserve"> </w:t>
      </w:r>
      <w:r w:rsidRPr="00DC52EE">
        <w:rPr>
          <w:sz w:val="20"/>
          <w:szCs w:val="20"/>
        </w:rPr>
        <w:t>desks,</w:t>
      </w:r>
      <w:r w:rsidR="00903A07" w:rsidRPr="00DC52EE">
        <w:rPr>
          <w:sz w:val="20"/>
          <w:szCs w:val="20"/>
        </w:rPr>
        <w:t xml:space="preserve"> </w:t>
      </w:r>
      <w:r w:rsidRPr="00DC52EE">
        <w:rPr>
          <w:sz w:val="20"/>
          <w:szCs w:val="20"/>
        </w:rPr>
        <w:t>Nekemte,</w:t>
      </w:r>
      <w:r w:rsidR="00903A07" w:rsidRPr="00DC52EE">
        <w:rPr>
          <w:sz w:val="20"/>
          <w:szCs w:val="20"/>
        </w:rPr>
        <w:t xml:space="preserve"> </w:t>
      </w:r>
      <w:r w:rsidRPr="00DC52EE">
        <w:rPr>
          <w:sz w:val="20"/>
          <w:szCs w:val="20"/>
        </w:rPr>
        <w:t>Ethiopia.</w:t>
      </w:r>
    </w:p>
    <w:p w:rsidR="00903A07" w:rsidRPr="00DC52EE" w:rsidRDefault="008150F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Hailelul,</w:t>
      </w:r>
      <w:r w:rsidR="00903A07" w:rsidRPr="00DC52EE">
        <w:rPr>
          <w:sz w:val="20"/>
          <w:szCs w:val="20"/>
        </w:rPr>
        <w:t xml:space="preserve"> </w:t>
      </w:r>
      <w:r w:rsidRPr="00DC52EE">
        <w:rPr>
          <w:sz w:val="20"/>
          <w:szCs w:val="20"/>
        </w:rPr>
        <w:t>N.</w:t>
      </w:r>
      <w:r w:rsidR="00903A07" w:rsidRPr="00DC52EE">
        <w:rPr>
          <w:sz w:val="20"/>
          <w:szCs w:val="20"/>
        </w:rPr>
        <w:t xml:space="preserve"> </w:t>
      </w:r>
      <w:r w:rsidRPr="00DC52EE">
        <w:rPr>
          <w:sz w:val="20"/>
          <w:szCs w:val="20"/>
        </w:rPr>
        <w:t>(2002):</w:t>
      </w:r>
      <w:r w:rsidR="00903A07" w:rsidRPr="00DC52EE">
        <w:rPr>
          <w:sz w:val="20"/>
          <w:szCs w:val="20"/>
        </w:rPr>
        <w:t xml:space="preserve"> </w:t>
      </w:r>
      <w:r w:rsidRPr="00DC52EE">
        <w:rPr>
          <w:sz w:val="20"/>
          <w:szCs w:val="20"/>
        </w:rPr>
        <w:t>Study</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GIT</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Wolayta</w:t>
      </w:r>
      <w:r w:rsidR="00903A07" w:rsidRPr="00DC52EE">
        <w:rPr>
          <w:sz w:val="20"/>
          <w:szCs w:val="20"/>
        </w:rPr>
        <w:t xml:space="preserve"> </w:t>
      </w:r>
      <w:r w:rsidR="00BE21CE" w:rsidRPr="00DC52EE">
        <w:rPr>
          <w:sz w:val="20"/>
          <w:szCs w:val="20"/>
        </w:rPr>
        <w:t>Soddo,</w:t>
      </w:r>
      <w:r w:rsidR="00903A07" w:rsidRPr="00DC52EE">
        <w:rPr>
          <w:sz w:val="20"/>
          <w:szCs w:val="20"/>
        </w:rPr>
        <w:t xml:space="preserve"> </w:t>
      </w:r>
      <w:r w:rsidR="00BE21CE" w:rsidRPr="00DC52EE">
        <w:rPr>
          <w:sz w:val="20"/>
          <w:szCs w:val="20"/>
        </w:rPr>
        <w:t>southern</w:t>
      </w:r>
      <w:r w:rsidR="00903A07" w:rsidRPr="00DC52EE">
        <w:rPr>
          <w:sz w:val="20"/>
          <w:szCs w:val="20"/>
        </w:rPr>
        <w:t xml:space="preserve"> </w:t>
      </w:r>
      <w:r w:rsidR="00BE21CE" w:rsidRPr="00DC52EE">
        <w:rPr>
          <w:sz w:val="20"/>
          <w:szCs w:val="20"/>
        </w:rPr>
        <w:t>Ethiopia.</w:t>
      </w:r>
      <w:r w:rsidR="00903A07" w:rsidRPr="00DC52EE">
        <w:rPr>
          <w:sz w:val="20"/>
          <w:szCs w:val="20"/>
        </w:rPr>
        <w:t xml:space="preserve"> </w:t>
      </w:r>
      <w:r w:rsidR="00BE21CE" w:rsidRPr="00DC52EE">
        <w:rPr>
          <w:sz w:val="20"/>
          <w:szCs w:val="20"/>
        </w:rPr>
        <w:t>DVM</w:t>
      </w:r>
      <w:r w:rsidR="00903A07" w:rsidRPr="00DC52EE">
        <w:rPr>
          <w:sz w:val="20"/>
          <w:szCs w:val="20"/>
        </w:rPr>
        <w:t xml:space="preserve"> </w:t>
      </w:r>
      <w:r w:rsidR="00BE21CE" w:rsidRPr="00DC52EE">
        <w:rPr>
          <w:sz w:val="20"/>
          <w:szCs w:val="20"/>
        </w:rPr>
        <w:t>t</w:t>
      </w:r>
      <w:r w:rsidRPr="00DC52EE">
        <w:rPr>
          <w:sz w:val="20"/>
          <w:szCs w:val="20"/>
        </w:rPr>
        <w:t>hesis,</w:t>
      </w:r>
      <w:r w:rsidR="00903A07" w:rsidRPr="00DC52EE">
        <w:rPr>
          <w:sz w:val="20"/>
          <w:szCs w:val="20"/>
        </w:rPr>
        <w:t xml:space="preserve"> </w:t>
      </w:r>
      <w:r w:rsidRPr="00DC52EE">
        <w:rPr>
          <w:sz w:val="20"/>
          <w:szCs w:val="20"/>
        </w:rPr>
        <w:lastRenderedPageBreak/>
        <w:t>Faculty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00B754E6" w:rsidRPr="00DC52EE">
        <w:rPr>
          <w:sz w:val="20"/>
          <w:szCs w:val="20"/>
        </w:rPr>
        <w:t>University</w:t>
      </w:r>
      <w:r w:rsidRPr="00DC52EE">
        <w:rPr>
          <w:sz w:val="20"/>
          <w:szCs w:val="20"/>
        </w:rPr>
        <w:t>,</w:t>
      </w:r>
      <w:r w:rsidR="00903A07" w:rsidRPr="00DC52EE">
        <w:rPr>
          <w:sz w:val="20"/>
          <w:szCs w:val="20"/>
        </w:rPr>
        <w:t xml:space="preserve"> </w:t>
      </w:r>
      <w:r w:rsidRPr="00DC52EE">
        <w:rPr>
          <w:sz w:val="20"/>
          <w:szCs w:val="20"/>
        </w:rPr>
        <w:t>Debre-Zeit.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353.</w:t>
      </w:r>
    </w:p>
    <w:p w:rsidR="00903A07" w:rsidRPr="00DC52EE" w:rsidRDefault="00FC692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Hansen,</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Perry,</w:t>
      </w:r>
      <w:r w:rsidR="00903A07" w:rsidRPr="00DC52EE">
        <w:rPr>
          <w:sz w:val="20"/>
          <w:szCs w:val="20"/>
        </w:rPr>
        <w:t xml:space="preserve"> </w:t>
      </w:r>
      <w:r w:rsidRPr="00DC52EE">
        <w:rPr>
          <w:sz w:val="20"/>
          <w:szCs w:val="20"/>
        </w:rPr>
        <w:t>B.</w:t>
      </w:r>
      <w:r w:rsidR="00903A07" w:rsidRPr="00DC52EE">
        <w:rPr>
          <w:sz w:val="20"/>
          <w:szCs w:val="20"/>
        </w:rPr>
        <w:t xml:space="preserve"> </w:t>
      </w:r>
      <w:r w:rsidRPr="00DC52EE">
        <w:rPr>
          <w:sz w:val="20"/>
          <w:szCs w:val="20"/>
        </w:rPr>
        <w:t>(1994):</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Diagnosis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Helminth</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hand</w:t>
      </w:r>
      <w:r w:rsidR="00903A07" w:rsidRPr="00DC52EE">
        <w:rPr>
          <w:sz w:val="20"/>
          <w:szCs w:val="20"/>
        </w:rPr>
        <w:t xml:space="preserve"> </w:t>
      </w:r>
      <w:r w:rsidRPr="00DC52EE">
        <w:rPr>
          <w:sz w:val="20"/>
          <w:szCs w:val="20"/>
        </w:rPr>
        <w:t>book.</w:t>
      </w:r>
      <w:r w:rsidR="00903A07" w:rsidRPr="00DC52EE">
        <w:rPr>
          <w:sz w:val="20"/>
          <w:szCs w:val="20"/>
        </w:rPr>
        <w:t xml:space="preserve"> </w:t>
      </w:r>
      <w:r w:rsidRPr="00DC52EE">
        <w:rPr>
          <w:sz w:val="20"/>
          <w:szCs w:val="20"/>
        </w:rPr>
        <w:t>2</w:t>
      </w:r>
      <w:r w:rsidRPr="00DC52EE">
        <w:rPr>
          <w:sz w:val="20"/>
          <w:szCs w:val="20"/>
          <w:vertAlign w:val="superscript"/>
        </w:rPr>
        <w:t>nd</w:t>
      </w:r>
      <w:r w:rsidR="00903A07" w:rsidRPr="00DC52EE">
        <w:rPr>
          <w:sz w:val="20"/>
          <w:szCs w:val="20"/>
        </w:rPr>
        <w:t xml:space="preserve"> </w:t>
      </w:r>
      <w:r w:rsidRPr="00DC52EE">
        <w:rPr>
          <w:sz w:val="20"/>
          <w:szCs w:val="20"/>
        </w:rPr>
        <w:t>ed.</w:t>
      </w:r>
      <w:r w:rsidR="00903A07" w:rsidRPr="00DC52EE">
        <w:rPr>
          <w:sz w:val="20"/>
          <w:szCs w:val="20"/>
        </w:rPr>
        <w:t xml:space="preserve"> </w:t>
      </w:r>
      <w:r w:rsidRPr="00DC52EE">
        <w:rPr>
          <w:sz w:val="20"/>
          <w:szCs w:val="20"/>
        </w:rPr>
        <w:t>ILRAD</w:t>
      </w:r>
      <w:r w:rsidR="00903A07" w:rsidRPr="00DC52EE">
        <w:rPr>
          <w:sz w:val="20"/>
          <w:szCs w:val="20"/>
        </w:rPr>
        <w:t xml:space="preserve"> </w:t>
      </w:r>
      <w:r w:rsidRPr="00DC52EE">
        <w:rPr>
          <w:sz w:val="20"/>
          <w:szCs w:val="20"/>
        </w:rPr>
        <w:t>(International</w:t>
      </w:r>
      <w:r w:rsidR="00903A07" w:rsidRPr="00DC52EE">
        <w:rPr>
          <w:sz w:val="20"/>
          <w:szCs w:val="20"/>
        </w:rPr>
        <w:t xml:space="preserve"> </w:t>
      </w:r>
      <w:r w:rsidRPr="00DC52EE">
        <w:rPr>
          <w:sz w:val="20"/>
          <w:szCs w:val="20"/>
        </w:rPr>
        <w:t>Laboratory</w:t>
      </w:r>
      <w:r w:rsidR="00903A07" w:rsidRPr="00DC52EE">
        <w:rPr>
          <w:sz w:val="20"/>
          <w:szCs w:val="20"/>
        </w:rPr>
        <w:t xml:space="preserve"> </w:t>
      </w:r>
      <w:r w:rsidR="00AC1142" w:rsidRPr="00DC52EE">
        <w:rPr>
          <w:sz w:val="20"/>
          <w:szCs w:val="20"/>
        </w:rPr>
        <w:t>for</w:t>
      </w:r>
      <w:r w:rsidR="00903A07" w:rsidRPr="00DC52EE">
        <w:rPr>
          <w:sz w:val="20"/>
          <w:szCs w:val="20"/>
        </w:rPr>
        <w:t xml:space="preserve"> </w:t>
      </w:r>
      <w:r w:rsidR="00AC1142" w:rsidRPr="00DC52EE">
        <w:rPr>
          <w:sz w:val="20"/>
          <w:szCs w:val="20"/>
        </w:rPr>
        <w:t>Parasitology</w:t>
      </w:r>
      <w:r w:rsidRPr="00DC52EE">
        <w:rPr>
          <w:sz w:val="20"/>
          <w:szCs w:val="20"/>
        </w:rPr>
        <w:t>.</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Glasgow,</w:t>
      </w:r>
      <w:r w:rsidR="00903A07" w:rsidRPr="00DC52EE">
        <w:rPr>
          <w:sz w:val="20"/>
          <w:szCs w:val="20"/>
        </w:rPr>
        <w:t xml:space="preserve"> </w:t>
      </w:r>
      <w:r w:rsidR="00FF5C97" w:rsidRPr="00DC52EE">
        <w:rPr>
          <w:sz w:val="20"/>
          <w:szCs w:val="20"/>
        </w:rPr>
        <w:t>Black</w:t>
      </w:r>
      <w:r w:rsidR="00903A07" w:rsidRPr="00DC52EE">
        <w:rPr>
          <w:sz w:val="20"/>
          <w:szCs w:val="20"/>
        </w:rPr>
        <w:t xml:space="preserve"> </w:t>
      </w:r>
      <w:r w:rsidR="00FF5C97" w:rsidRPr="00DC52EE">
        <w:rPr>
          <w:sz w:val="20"/>
          <w:szCs w:val="20"/>
        </w:rPr>
        <w:t>well</w:t>
      </w:r>
      <w:r w:rsidR="00903A07" w:rsidRPr="00DC52EE">
        <w:rPr>
          <w:sz w:val="20"/>
          <w:szCs w:val="20"/>
        </w:rPr>
        <w:t xml:space="preserve"> </w:t>
      </w:r>
      <w:r w:rsidR="00FF5C97" w:rsidRPr="00DC52EE">
        <w:rPr>
          <w:sz w:val="20"/>
          <w:szCs w:val="20"/>
        </w:rPr>
        <w:t>Science,</w:t>
      </w:r>
      <w:r w:rsidR="00903A07" w:rsidRPr="00DC52EE">
        <w:rPr>
          <w:sz w:val="20"/>
          <w:szCs w:val="20"/>
        </w:rPr>
        <w:t xml:space="preserve"> </w:t>
      </w:r>
      <w:r w:rsidR="00FF5C97" w:rsidRPr="00DC52EE">
        <w:rPr>
          <w:sz w:val="20"/>
          <w:szCs w:val="20"/>
        </w:rPr>
        <w:t>Scotland,</w:t>
      </w:r>
      <w:r w:rsidR="00903A07" w:rsidRPr="00DC52EE">
        <w:rPr>
          <w:sz w:val="20"/>
          <w:szCs w:val="20"/>
        </w:rPr>
        <w:t xml:space="preserve"> </w:t>
      </w:r>
      <w:r w:rsidR="00FF5C97" w:rsidRPr="00DC52EE">
        <w:rPr>
          <w:sz w:val="20"/>
          <w:szCs w:val="20"/>
        </w:rPr>
        <w:t>P</w:t>
      </w:r>
      <w:r w:rsidRPr="00DC52EE">
        <w:rPr>
          <w:sz w:val="20"/>
          <w:szCs w:val="20"/>
        </w:rPr>
        <w:t>p:</w:t>
      </w:r>
      <w:r w:rsidR="00903A07" w:rsidRPr="00DC52EE">
        <w:rPr>
          <w:sz w:val="20"/>
          <w:szCs w:val="20"/>
        </w:rPr>
        <w:t xml:space="preserve"> </w:t>
      </w:r>
      <w:r w:rsidRPr="00DC52EE">
        <w:rPr>
          <w:sz w:val="20"/>
          <w:szCs w:val="20"/>
        </w:rPr>
        <w:t>3-137.</w:t>
      </w:r>
      <w:r w:rsidR="00903A07" w:rsidRPr="00DC52EE">
        <w:rPr>
          <w:sz w:val="20"/>
          <w:szCs w:val="20"/>
        </w:rPr>
        <w:t xml:space="preserve"> </w:t>
      </w:r>
      <w:r w:rsidRPr="00DC52EE">
        <w:rPr>
          <w:sz w:val="20"/>
          <w:szCs w:val="20"/>
        </w:rPr>
        <w:t>Research</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Animal</w:t>
      </w:r>
      <w:r w:rsidR="00903A07" w:rsidRPr="00DC52EE">
        <w:rPr>
          <w:sz w:val="20"/>
          <w:szCs w:val="20"/>
        </w:rPr>
        <w:t xml:space="preserve"> </w:t>
      </w:r>
      <w:r w:rsidRPr="00DC52EE">
        <w:rPr>
          <w:sz w:val="20"/>
          <w:szCs w:val="20"/>
        </w:rPr>
        <w:t>Diseases),</w:t>
      </w:r>
      <w:r w:rsidR="00903A07" w:rsidRPr="00DC52EE">
        <w:rPr>
          <w:sz w:val="20"/>
          <w:szCs w:val="20"/>
        </w:rPr>
        <w:t xml:space="preserve"> </w:t>
      </w:r>
      <w:r w:rsidRPr="00DC52EE">
        <w:rPr>
          <w:sz w:val="20"/>
          <w:szCs w:val="20"/>
        </w:rPr>
        <w:t>Nairobi,</w:t>
      </w:r>
      <w:r w:rsidR="00903A07" w:rsidRPr="00DC52EE">
        <w:rPr>
          <w:sz w:val="20"/>
          <w:szCs w:val="20"/>
        </w:rPr>
        <w:t xml:space="preserve"> </w:t>
      </w:r>
      <w:r w:rsidRPr="00DC52EE">
        <w:rPr>
          <w:sz w:val="20"/>
          <w:szCs w:val="20"/>
        </w:rPr>
        <w:t>Kenya.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171.</w:t>
      </w:r>
    </w:p>
    <w:p w:rsidR="00903A07" w:rsidRPr="00DC52EE" w:rsidRDefault="00571281" w:rsidP="00BB7760">
      <w:pPr>
        <w:pStyle w:val="ListParagraph"/>
        <w:numPr>
          <w:ilvl w:val="0"/>
          <w:numId w:val="21"/>
        </w:numPr>
        <w:autoSpaceDE w:val="0"/>
        <w:autoSpaceDN w:val="0"/>
        <w:adjustRightInd w:val="0"/>
        <w:snapToGrid w:val="0"/>
        <w:spacing w:after="0" w:line="240" w:lineRule="auto"/>
        <w:ind w:left="425" w:hanging="425"/>
        <w:jc w:val="both"/>
        <w:rPr>
          <w:i/>
          <w:iCs/>
          <w:sz w:val="20"/>
          <w:szCs w:val="20"/>
        </w:rPr>
      </w:pPr>
      <w:r w:rsidRPr="00DC52EE">
        <w:rPr>
          <w:sz w:val="20"/>
          <w:szCs w:val="20"/>
        </w:rPr>
        <w:t>Heath,</w:t>
      </w:r>
      <w:r w:rsidR="00903A07" w:rsidRPr="00DC52EE">
        <w:rPr>
          <w:sz w:val="20"/>
          <w:szCs w:val="20"/>
        </w:rPr>
        <w:t xml:space="preserve"> </w:t>
      </w:r>
      <w:r w:rsidRPr="00DC52EE">
        <w:rPr>
          <w:sz w:val="20"/>
          <w:szCs w:val="20"/>
        </w:rPr>
        <w:t>A.C.G.,</w:t>
      </w:r>
      <w:r w:rsidR="00903A07" w:rsidRPr="00DC52EE">
        <w:rPr>
          <w:sz w:val="20"/>
          <w:szCs w:val="20"/>
        </w:rPr>
        <w:t xml:space="preserve"> </w:t>
      </w:r>
      <w:r w:rsidRPr="00DC52EE">
        <w:rPr>
          <w:sz w:val="20"/>
          <w:szCs w:val="20"/>
        </w:rPr>
        <w:t>Tarbottom,</w:t>
      </w:r>
      <w:r w:rsidR="00903A07" w:rsidRPr="00DC52EE">
        <w:rPr>
          <w:sz w:val="20"/>
          <w:szCs w:val="20"/>
        </w:rPr>
        <w:t xml:space="preserve"> </w:t>
      </w:r>
      <w:r w:rsidRPr="00DC52EE">
        <w:rPr>
          <w:sz w:val="20"/>
          <w:szCs w:val="20"/>
        </w:rPr>
        <w:t>I.S.,</w:t>
      </w:r>
      <w:r w:rsidR="00903A07" w:rsidRPr="00DC52EE">
        <w:rPr>
          <w:sz w:val="20"/>
          <w:szCs w:val="20"/>
        </w:rPr>
        <w:t xml:space="preserve"> </w:t>
      </w:r>
      <w:r w:rsidRPr="00DC52EE">
        <w:rPr>
          <w:sz w:val="20"/>
          <w:szCs w:val="20"/>
        </w:rPr>
        <w:t>Paine,</w:t>
      </w:r>
      <w:r w:rsidR="00903A07" w:rsidRPr="00DC52EE">
        <w:rPr>
          <w:sz w:val="20"/>
          <w:szCs w:val="20"/>
        </w:rPr>
        <w:t xml:space="preserve"> </w:t>
      </w:r>
      <w:r w:rsidRPr="00DC52EE">
        <w:rPr>
          <w:sz w:val="20"/>
          <w:szCs w:val="20"/>
        </w:rPr>
        <w:t>M.S.</w:t>
      </w:r>
      <w:r w:rsidR="00903A07" w:rsidRPr="00DC52EE">
        <w:rPr>
          <w:sz w:val="20"/>
          <w:szCs w:val="20"/>
        </w:rPr>
        <w:t xml:space="preserve"> </w:t>
      </w:r>
      <w:r w:rsidRPr="00DC52EE">
        <w:rPr>
          <w:sz w:val="20"/>
          <w:szCs w:val="20"/>
        </w:rPr>
        <w:t>(2000):</w:t>
      </w:r>
      <w:r w:rsidR="00903A07" w:rsidRPr="00DC52EE">
        <w:rPr>
          <w:sz w:val="20"/>
          <w:szCs w:val="20"/>
        </w:rPr>
        <w:t xml:space="preserve"> </w:t>
      </w:r>
      <w:r w:rsidRPr="00DC52EE">
        <w:rPr>
          <w:sz w:val="20"/>
          <w:szCs w:val="20"/>
        </w:rPr>
        <w:t>Planning</w:t>
      </w:r>
      <w:r w:rsidR="00903A07" w:rsidRPr="00DC52EE">
        <w:rPr>
          <w:sz w:val="20"/>
          <w:szCs w:val="20"/>
        </w:rPr>
        <w:t xml:space="preserve"> </w:t>
      </w:r>
      <w:r w:rsidRPr="00DC52EE">
        <w:rPr>
          <w:sz w:val="20"/>
          <w:szCs w:val="20"/>
        </w:rPr>
        <w:t>for</w:t>
      </w:r>
      <w:r w:rsidR="00903A07" w:rsidRPr="00DC52EE">
        <w:rPr>
          <w:sz w:val="20"/>
          <w:szCs w:val="20"/>
        </w:rPr>
        <w:t xml:space="preserve"> </w:t>
      </w:r>
      <w:r w:rsidRPr="00DC52EE">
        <w:rPr>
          <w:sz w:val="20"/>
          <w:szCs w:val="20"/>
        </w:rPr>
        <w:t>better</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control</w:t>
      </w:r>
      <w:r w:rsidRPr="00DC52EE">
        <w:rPr>
          <w:i/>
          <w:sz w:val="20"/>
          <w:szCs w:val="20"/>
        </w:rPr>
        <w:t>.</w:t>
      </w:r>
      <w:r w:rsidR="00903A07" w:rsidRPr="00DC52EE">
        <w:rPr>
          <w:i/>
          <w:sz w:val="20"/>
          <w:szCs w:val="20"/>
        </w:rPr>
        <w:t xml:space="preserve"> </w:t>
      </w:r>
      <w:r w:rsidR="00AC1142" w:rsidRPr="00DC52EE">
        <w:rPr>
          <w:iCs/>
          <w:sz w:val="20"/>
          <w:szCs w:val="20"/>
        </w:rPr>
        <w:t>Final</w:t>
      </w:r>
      <w:r w:rsidR="00903A07" w:rsidRPr="00DC52EE">
        <w:rPr>
          <w:iCs/>
          <w:sz w:val="20"/>
          <w:szCs w:val="20"/>
        </w:rPr>
        <w:t xml:space="preserve"> </w:t>
      </w:r>
      <w:r w:rsidR="00AC1142" w:rsidRPr="00DC52EE">
        <w:rPr>
          <w:iCs/>
          <w:sz w:val="20"/>
          <w:szCs w:val="20"/>
        </w:rPr>
        <w:t>Report</w:t>
      </w:r>
      <w:r w:rsidR="00903A07" w:rsidRPr="00DC52EE">
        <w:rPr>
          <w:iCs/>
          <w:sz w:val="20"/>
          <w:szCs w:val="20"/>
        </w:rPr>
        <w:t xml:space="preserve"> </w:t>
      </w:r>
      <w:r w:rsidRPr="00DC52EE">
        <w:rPr>
          <w:iCs/>
          <w:sz w:val="20"/>
          <w:szCs w:val="20"/>
        </w:rPr>
        <w:t>on</w:t>
      </w:r>
      <w:r w:rsidR="00903A07" w:rsidRPr="00DC52EE">
        <w:rPr>
          <w:iCs/>
          <w:sz w:val="20"/>
          <w:szCs w:val="20"/>
        </w:rPr>
        <w:t xml:space="preserve"> </w:t>
      </w:r>
      <w:r w:rsidRPr="00DC52EE">
        <w:rPr>
          <w:iCs/>
          <w:sz w:val="20"/>
          <w:szCs w:val="20"/>
        </w:rPr>
        <w:t>Meat</w:t>
      </w:r>
      <w:r w:rsidR="00903A07" w:rsidRPr="00DC52EE">
        <w:rPr>
          <w:iCs/>
          <w:sz w:val="20"/>
          <w:szCs w:val="20"/>
        </w:rPr>
        <w:t xml:space="preserve"> </w:t>
      </w:r>
      <w:r w:rsidRPr="00DC52EE">
        <w:rPr>
          <w:iCs/>
          <w:sz w:val="20"/>
          <w:szCs w:val="20"/>
        </w:rPr>
        <w:t>NZ</w:t>
      </w:r>
      <w:r w:rsidR="00903A07" w:rsidRPr="00DC52EE">
        <w:rPr>
          <w:iCs/>
          <w:sz w:val="20"/>
          <w:szCs w:val="20"/>
        </w:rPr>
        <w:t xml:space="preserve"> </w:t>
      </w:r>
      <w:r w:rsidRPr="00DC52EE">
        <w:rPr>
          <w:iCs/>
          <w:sz w:val="20"/>
          <w:szCs w:val="20"/>
        </w:rPr>
        <w:t>Project</w:t>
      </w:r>
      <w:r w:rsidR="00903A07" w:rsidRPr="00DC52EE">
        <w:rPr>
          <w:iCs/>
          <w:sz w:val="20"/>
          <w:szCs w:val="20"/>
        </w:rPr>
        <w:t xml:space="preserve"> </w:t>
      </w:r>
      <w:r w:rsidRPr="00DC52EE">
        <w:rPr>
          <w:iCs/>
          <w:sz w:val="20"/>
          <w:szCs w:val="20"/>
        </w:rPr>
        <w:t>97AH/PR48.</w:t>
      </w:r>
      <w:r w:rsidR="00903A07" w:rsidRPr="00DC52EE">
        <w:rPr>
          <w:iCs/>
          <w:sz w:val="20"/>
          <w:szCs w:val="20"/>
        </w:rPr>
        <w:t xml:space="preserve"> </w:t>
      </w:r>
      <w:r w:rsidRPr="00DC52EE">
        <w:rPr>
          <w:iCs/>
          <w:sz w:val="20"/>
          <w:szCs w:val="20"/>
        </w:rPr>
        <w:t>Reducing</w:t>
      </w:r>
      <w:r w:rsidR="00903A07" w:rsidRPr="00DC52EE">
        <w:rPr>
          <w:iCs/>
          <w:sz w:val="20"/>
          <w:szCs w:val="20"/>
        </w:rPr>
        <w:t xml:space="preserve"> </w:t>
      </w:r>
      <w:r w:rsidRPr="00DC52EE">
        <w:rPr>
          <w:iCs/>
          <w:sz w:val="20"/>
          <w:szCs w:val="20"/>
        </w:rPr>
        <w:t>drench</w:t>
      </w:r>
      <w:r w:rsidR="00903A07" w:rsidRPr="00DC52EE">
        <w:rPr>
          <w:iCs/>
          <w:sz w:val="20"/>
          <w:szCs w:val="20"/>
        </w:rPr>
        <w:t xml:space="preserve"> </w:t>
      </w:r>
      <w:r w:rsidRPr="00DC52EE">
        <w:rPr>
          <w:iCs/>
          <w:sz w:val="20"/>
          <w:szCs w:val="20"/>
        </w:rPr>
        <w:t>dependence</w:t>
      </w:r>
      <w:r w:rsidR="00903A07" w:rsidRPr="00DC52EE">
        <w:rPr>
          <w:iCs/>
          <w:sz w:val="20"/>
          <w:szCs w:val="20"/>
        </w:rPr>
        <w:t xml:space="preserve"> </w:t>
      </w:r>
      <w:r w:rsidRPr="00DC52EE">
        <w:rPr>
          <w:iCs/>
          <w:sz w:val="20"/>
          <w:szCs w:val="20"/>
        </w:rPr>
        <w:t>on</w:t>
      </w:r>
      <w:r w:rsidR="00903A07" w:rsidRPr="00DC52EE">
        <w:rPr>
          <w:iCs/>
          <w:sz w:val="20"/>
          <w:szCs w:val="20"/>
        </w:rPr>
        <w:t xml:space="preserve"> </w:t>
      </w:r>
      <w:r w:rsidRPr="00DC52EE">
        <w:rPr>
          <w:iCs/>
          <w:sz w:val="20"/>
          <w:szCs w:val="20"/>
        </w:rPr>
        <w:t>sheep</w:t>
      </w:r>
      <w:r w:rsidR="00903A07" w:rsidRPr="00DC52EE">
        <w:rPr>
          <w:iCs/>
          <w:sz w:val="20"/>
          <w:szCs w:val="20"/>
        </w:rPr>
        <w:t xml:space="preserve"> </w:t>
      </w:r>
      <w:r w:rsidRPr="00DC52EE">
        <w:rPr>
          <w:iCs/>
          <w:sz w:val="20"/>
          <w:szCs w:val="20"/>
        </w:rPr>
        <w:t>farms</w:t>
      </w:r>
      <w:r w:rsidRPr="00DC52EE">
        <w:rPr>
          <w:i/>
          <w:iCs/>
          <w:sz w:val="20"/>
          <w:szCs w:val="20"/>
        </w:rPr>
        <w:t>.</w:t>
      </w:r>
    </w:p>
    <w:p w:rsidR="00903A07" w:rsidRPr="00DC52EE" w:rsidRDefault="0057128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Hein,</w:t>
      </w:r>
      <w:r w:rsidR="00903A07" w:rsidRPr="00DC52EE">
        <w:rPr>
          <w:sz w:val="20"/>
          <w:szCs w:val="20"/>
        </w:rPr>
        <w:t xml:space="preserve"> </w:t>
      </w:r>
      <w:r w:rsidRPr="00DC52EE">
        <w:rPr>
          <w:sz w:val="20"/>
          <w:szCs w:val="20"/>
        </w:rPr>
        <w:t>W.R.,</w:t>
      </w:r>
      <w:r w:rsidR="00903A07" w:rsidRPr="00DC52EE">
        <w:rPr>
          <w:sz w:val="20"/>
          <w:szCs w:val="20"/>
        </w:rPr>
        <w:t xml:space="preserve"> </w:t>
      </w:r>
      <w:r w:rsidRPr="00DC52EE">
        <w:rPr>
          <w:sz w:val="20"/>
          <w:szCs w:val="20"/>
        </w:rPr>
        <w:t>Shoe</w:t>
      </w:r>
      <w:r w:rsidR="00903A07" w:rsidRPr="00DC52EE">
        <w:rPr>
          <w:sz w:val="20"/>
          <w:szCs w:val="20"/>
        </w:rPr>
        <w:t xml:space="preserve"> </w:t>
      </w:r>
      <w:r w:rsidRPr="00DC52EE">
        <w:rPr>
          <w:sz w:val="20"/>
          <w:szCs w:val="20"/>
        </w:rPr>
        <w:t>maker,</w:t>
      </w:r>
      <w:r w:rsidR="00903A07" w:rsidRPr="00DC52EE">
        <w:rPr>
          <w:sz w:val="20"/>
          <w:szCs w:val="20"/>
        </w:rPr>
        <w:t xml:space="preserve"> </w:t>
      </w:r>
      <w:r w:rsidRPr="00DC52EE">
        <w:rPr>
          <w:sz w:val="20"/>
          <w:szCs w:val="20"/>
        </w:rPr>
        <w:t>C.B.</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Heath,</w:t>
      </w:r>
      <w:r w:rsidR="00903A07" w:rsidRPr="00DC52EE">
        <w:rPr>
          <w:sz w:val="20"/>
          <w:szCs w:val="20"/>
        </w:rPr>
        <w:t xml:space="preserve"> </w:t>
      </w:r>
      <w:r w:rsidRPr="00DC52EE">
        <w:rPr>
          <w:sz w:val="20"/>
          <w:szCs w:val="20"/>
        </w:rPr>
        <w:t>A.C.G.</w:t>
      </w:r>
      <w:r w:rsidR="00903A07" w:rsidRPr="00DC52EE">
        <w:rPr>
          <w:sz w:val="20"/>
          <w:szCs w:val="20"/>
        </w:rPr>
        <w:t xml:space="preserve"> </w:t>
      </w:r>
      <w:r w:rsidRPr="00DC52EE">
        <w:rPr>
          <w:sz w:val="20"/>
          <w:szCs w:val="20"/>
        </w:rPr>
        <w:t>(2001):</w:t>
      </w:r>
      <w:r w:rsidR="00903A07" w:rsidRPr="00DC52EE">
        <w:rPr>
          <w:sz w:val="20"/>
          <w:szCs w:val="20"/>
        </w:rPr>
        <w:t xml:space="preserve"> </w:t>
      </w:r>
      <w:r w:rsidRPr="00DC52EE">
        <w:rPr>
          <w:sz w:val="20"/>
          <w:szCs w:val="20"/>
        </w:rPr>
        <w:t>Future</w:t>
      </w:r>
      <w:r w:rsidR="00903A07" w:rsidRPr="00DC52EE">
        <w:rPr>
          <w:sz w:val="20"/>
          <w:szCs w:val="20"/>
        </w:rPr>
        <w:t xml:space="preserve"> </w:t>
      </w:r>
      <w:r w:rsidRPr="00DC52EE">
        <w:rPr>
          <w:sz w:val="20"/>
          <w:szCs w:val="20"/>
        </w:rPr>
        <w:t>technologies</w:t>
      </w:r>
      <w:r w:rsidR="00903A07" w:rsidRPr="00DC52EE">
        <w:rPr>
          <w:sz w:val="20"/>
          <w:szCs w:val="20"/>
        </w:rPr>
        <w:t xml:space="preserve"> </w:t>
      </w:r>
      <w:r w:rsidRPr="00DC52EE">
        <w:rPr>
          <w:sz w:val="20"/>
          <w:szCs w:val="20"/>
        </w:rPr>
        <w:t>for</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005D2EB5" w:rsidRPr="00DC52EE">
        <w:rPr>
          <w:i/>
          <w:iCs/>
          <w:sz w:val="20"/>
          <w:szCs w:val="20"/>
        </w:rPr>
        <w:t>NZ</w:t>
      </w:r>
      <w:r w:rsidR="00903A07" w:rsidRPr="00DC52EE">
        <w:rPr>
          <w:i/>
          <w:iCs/>
          <w:sz w:val="20"/>
          <w:szCs w:val="20"/>
        </w:rPr>
        <w:t xml:space="preserve"> </w:t>
      </w:r>
      <w:r w:rsidR="005D2EB5" w:rsidRPr="00DC52EE">
        <w:rPr>
          <w:i/>
          <w:iCs/>
          <w:sz w:val="20"/>
          <w:szCs w:val="20"/>
        </w:rPr>
        <w:t>Veteri.</w:t>
      </w:r>
      <w:r w:rsidR="00903A07" w:rsidRPr="00DC52EE">
        <w:rPr>
          <w:i/>
          <w:iCs/>
          <w:sz w:val="20"/>
          <w:szCs w:val="20"/>
        </w:rPr>
        <w:t xml:space="preserve"> </w:t>
      </w:r>
      <w:r w:rsidR="005D2EB5" w:rsidRPr="00DC52EE">
        <w:rPr>
          <w:i/>
          <w:iCs/>
          <w:sz w:val="20"/>
          <w:szCs w:val="20"/>
        </w:rPr>
        <w:t>Jour</w:t>
      </w:r>
      <w:r w:rsidR="00E1289E" w:rsidRPr="00DC52EE">
        <w:rPr>
          <w:i/>
          <w:iCs/>
          <w:sz w:val="20"/>
          <w:szCs w:val="20"/>
        </w:rPr>
        <w:t>.</w:t>
      </w:r>
      <w:r w:rsidR="005D2EB5" w:rsidRPr="00DC52EE">
        <w:rPr>
          <w:i/>
          <w:iCs/>
          <w:sz w:val="20"/>
          <w:szCs w:val="20"/>
        </w:rPr>
        <w:t>,</w:t>
      </w:r>
      <w:r w:rsidR="00903A07" w:rsidRPr="00DC52EE">
        <w:rPr>
          <w:i/>
          <w:iCs/>
          <w:sz w:val="20"/>
          <w:szCs w:val="20"/>
        </w:rPr>
        <w:t xml:space="preserve"> </w:t>
      </w:r>
      <w:r w:rsidRPr="00DC52EE">
        <w:rPr>
          <w:iCs/>
          <w:sz w:val="20"/>
          <w:szCs w:val="20"/>
        </w:rPr>
        <w:t>49:</w:t>
      </w:r>
      <w:r w:rsidR="00903A07" w:rsidRPr="00DC52EE">
        <w:rPr>
          <w:iCs/>
          <w:sz w:val="20"/>
          <w:szCs w:val="20"/>
        </w:rPr>
        <w:t xml:space="preserve"> </w:t>
      </w:r>
      <w:r w:rsidRPr="00DC52EE">
        <w:rPr>
          <w:sz w:val="20"/>
          <w:szCs w:val="20"/>
        </w:rPr>
        <w:t>247-251.</w:t>
      </w:r>
    </w:p>
    <w:p w:rsidR="00903A07" w:rsidRPr="00DC52EE" w:rsidRDefault="00EB3B4D" w:rsidP="00BB7760">
      <w:pPr>
        <w:pStyle w:val="ListParagraph"/>
        <w:numPr>
          <w:ilvl w:val="0"/>
          <w:numId w:val="21"/>
        </w:numPr>
        <w:snapToGrid w:val="0"/>
        <w:spacing w:after="0" w:line="240" w:lineRule="auto"/>
        <w:ind w:left="425" w:hanging="425"/>
        <w:jc w:val="both"/>
        <w:rPr>
          <w:rFonts w:eastAsia="Times New Roman"/>
          <w:sz w:val="20"/>
          <w:szCs w:val="20"/>
        </w:rPr>
      </w:pPr>
      <w:r w:rsidRPr="00DC52EE">
        <w:rPr>
          <w:rFonts w:eastAsia="Times New Roman"/>
          <w:sz w:val="20"/>
          <w:szCs w:val="20"/>
        </w:rPr>
        <w:t>International</w:t>
      </w:r>
      <w:r w:rsidR="00903A07" w:rsidRPr="00DC52EE">
        <w:rPr>
          <w:rFonts w:eastAsia="Times New Roman"/>
          <w:sz w:val="20"/>
          <w:szCs w:val="20"/>
        </w:rPr>
        <w:t xml:space="preserve"> </w:t>
      </w:r>
      <w:r w:rsidR="00D045AD" w:rsidRPr="00DC52EE">
        <w:rPr>
          <w:rFonts w:eastAsia="Times New Roman"/>
          <w:sz w:val="20"/>
          <w:szCs w:val="20"/>
        </w:rPr>
        <w:t>Institute</w:t>
      </w:r>
      <w:r w:rsidR="00903A07" w:rsidRPr="00DC52EE">
        <w:rPr>
          <w:rFonts w:eastAsia="Times New Roman"/>
          <w:sz w:val="20"/>
          <w:szCs w:val="20"/>
        </w:rPr>
        <w:t xml:space="preserve"> </w:t>
      </w:r>
      <w:r w:rsidR="005F26DF" w:rsidRPr="00DC52EE">
        <w:rPr>
          <w:rFonts w:eastAsia="Times New Roman"/>
          <w:sz w:val="20"/>
          <w:szCs w:val="20"/>
        </w:rPr>
        <w:t>of</w:t>
      </w:r>
      <w:r w:rsidR="00903A07" w:rsidRPr="00DC52EE">
        <w:rPr>
          <w:rFonts w:eastAsia="Times New Roman"/>
          <w:sz w:val="20"/>
          <w:szCs w:val="20"/>
        </w:rPr>
        <w:t xml:space="preserve"> </w:t>
      </w:r>
      <w:r w:rsidR="005F26DF" w:rsidRPr="00DC52EE">
        <w:rPr>
          <w:rFonts w:eastAsia="Times New Roman"/>
          <w:sz w:val="20"/>
          <w:szCs w:val="20"/>
        </w:rPr>
        <w:t>Rural</w:t>
      </w:r>
      <w:r w:rsidR="00903A07" w:rsidRPr="00DC52EE">
        <w:rPr>
          <w:rFonts w:eastAsia="Times New Roman"/>
          <w:sz w:val="20"/>
          <w:szCs w:val="20"/>
        </w:rPr>
        <w:t xml:space="preserve"> </w:t>
      </w:r>
      <w:r w:rsidR="005F26DF" w:rsidRPr="00DC52EE">
        <w:rPr>
          <w:rFonts w:eastAsia="Times New Roman"/>
          <w:sz w:val="20"/>
          <w:szCs w:val="20"/>
        </w:rPr>
        <w:t>Recons</w:t>
      </w:r>
      <w:r w:rsidR="003136E4" w:rsidRPr="00DC52EE">
        <w:rPr>
          <w:rFonts w:eastAsia="Times New Roman"/>
          <w:sz w:val="20"/>
          <w:szCs w:val="20"/>
        </w:rPr>
        <w:t>truction</w:t>
      </w:r>
      <w:r w:rsidR="00903A07" w:rsidRPr="00DC52EE">
        <w:rPr>
          <w:rFonts w:eastAsia="Times New Roman"/>
          <w:sz w:val="20"/>
          <w:szCs w:val="20"/>
        </w:rPr>
        <w:t xml:space="preserve"> </w:t>
      </w:r>
      <w:r w:rsidR="005F26DF" w:rsidRPr="00DC52EE">
        <w:rPr>
          <w:rFonts w:eastAsia="Times New Roman"/>
          <w:sz w:val="20"/>
          <w:szCs w:val="20"/>
        </w:rPr>
        <w:t>(</w:t>
      </w:r>
      <w:r w:rsidR="00BF75CF" w:rsidRPr="00DC52EE">
        <w:rPr>
          <w:rFonts w:eastAsia="Times New Roman"/>
          <w:sz w:val="20"/>
          <w:szCs w:val="20"/>
        </w:rPr>
        <w:t>IIRR</w:t>
      </w:r>
      <w:r w:rsidR="005F26DF" w:rsidRPr="00DC52EE">
        <w:rPr>
          <w:rFonts w:eastAsia="Times New Roman"/>
          <w:sz w:val="20"/>
          <w:szCs w:val="20"/>
        </w:rPr>
        <w:t>).</w:t>
      </w:r>
      <w:r w:rsidR="00903A07" w:rsidRPr="00DC52EE">
        <w:rPr>
          <w:rFonts w:eastAsia="Times New Roman"/>
          <w:sz w:val="20"/>
          <w:szCs w:val="20"/>
        </w:rPr>
        <w:t xml:space="preserve"> </w:t>
      </w:r>
      <w:r w:rsidR="00BF75CF" w:rsidRPr="00DC52EE">
        <w:rPr>
          <w:rFonts w:eastAsia="Times New Roman"/>
          <w:sz w:val="20"/>
          <w:szCs w:val="20"/>
        </w:rPr>
        <w:t>(1996):</w:t>
      </w:r>
      <w:r w:rsidR="00903A07" w:rsidRPr="00DC52EE">
        <w:rPr>
          <w:rFonts w:eastAsia="Times New Roman"/>
          <w:sz w:val="20"/>
          <w:szCs w:val="20"/>
        </w:rPr>
        <w:t xml:space="preserve"> </w:t>
      </w:r>
      <w:r w:rsidR="00BF75CF" w:rsidRPr="00DC52EE">
        <w:rPr>
          <w:rFonts w:eastAsia="Times New Roman"/>
          <w:sz w:val="20"/>
          <w:szCs w:val="20"/>
        </w:rPr>
        <w:t>Ethno</w:t>
      </w:r>
      <w:r w:rsidR="00903A07" w:rsidRPr="00DC52EE">
        <w:rPr>
          <w:rFonts w:eastAsia="Times New Roman"/>
          <w:sz w:val="20"/>
          <w:szCs w:val="20"/>
        </w:rPr>
        <w:t xml:space="preserve"> </w:t>
      </w:r>
      <w:r w:rsidR="00BF75CF" w:rsidRPr="00DC52EE">
        <w:rPr>
          <w:rFonts w:eastAsia="Times New Roman"/>
          <w:sz w:val="20"/>
          <w:szCs w:val="20"/>
        </w:rPr>
        <w:t>veterinary</w:t>
      </w:r>
      <w:r w:rsidR="00903A07" w:rsidRPr="00DC52EE">
        <w:rPr>
          <w:rFonts w:eastAsia="Times New Roman"/>
          <w:sz w:val="20"/>
          <w:szCs w:val="20"/>
        </w:rPr>
        <w:t xml:space="preserve"> </w:t>
      </w:r>
      <w:r w:rsidR="00BF75CF" w:rsidRPr="00DC52EE">
        <w:rPr>
          <w:rFonts w:eastAsia="Times New Roman"/>
          <w:sz w:val="20"/>
          <w:szCs w:val="20"/>
        </w:rPr>
        <w:t>medicine</w:t>
      </w:r>
      <w:r w:rsidR="00903A07" w:rsidRPr="00DC52EE">
        <w:rPr>
          <w:rFonts w:eastAsia="Times New Roman"/>
          <w:sz w:val="20"/>
          <w:szCs w:val="20"/>
        </w:rPr>
        <w:t xml:space="preserve"> </w:t>
      </w:r>
      <w:r w:rsidR="00BF75CF" w:rsidRPr="00DC52EE">
        <w:rPr>
          <w:rFonts w:eastAsia="Times New Roman"/>
          <w:sz w:val="20"/>
          <w:szCs w:val="20"/>
        </w:rPr>
        <w:t>in</w:t>
      </w:r>
      <w:r w:rsidR="00903A07" w:rsidRPr="00DC52EE">
        <w:rPr>
          <w:rFonts w:eastAsia="Times New Roman"/>
          <w:sz w:val="20"/>
          <w:szCs w:val="20"/>
        </w:rPr>
        <w:t xml:space="preserve"> </w:t>
      </w:r>
      <w:r w:rsidR="00BF75CF" w:rsidRPr="00DC52EE">
        <w:rPr>
          <w:rFonts w:eastAsia="Times New Roman"/>
          <w:sz w:val="20"/>
          <w:szCs w:val="20"/>
        </w:rPr>
        <w:t>Kenya.</w:t>
      </w:r>
      <w:r w:rsidR="00903A07" w:rsidRPr="00DC52EE">
        <w:rPr>
          <w:rFonts w:eastAsia="Times New Roman"/>
          <w:sz w:val="20"/>
          <w:szCs w:val="20"/>
        </w:rPr>
        <w:t xml:space="preserve"> </w:t>
      </w:r>
      <w:r w:rsidR="00BF75CF" w:rsidRPr="00DC52EE">
        <w:rPr>
          <w:rFonts w:eastAsia="Times New Roman"/>
          <w:sz w:val="20"/>
          <w:szCs w:val="20"/>
        </w:rPr>
        <w:t>Field</w:t>
      </w:r>
      <w:r w:rsidR="00903A07" w:rsidRPr="00DC52EE">
        <w:rPr>
          <w:rFonts w:eastAsia="Times New Roman"/>
          <w:sz w:val="20"/>
          <w:szCs w:val="20"/>
        </w:rPr>
        <w:t xml:space="preserve"> </w:t>
      </w:r>
      <w:r w:rsidR="00BF75CF" w:rsidRPr="00DC52EE">
        <w:rPr>
          <w:rFonts w:eastAsia="Times New Roman"/>
          <w:sz w:val="20"/>
          <w:szCs w:val="20"/>
        </w:rPr>
        <w:t>manual</w:t>
      </w:r>
      <w:r w:rsidR="00903A07" w:rsidRPr="00DC52EE">
        <w:rPr>
          <w:rFonts w:eastAsia="Times New Roman"/>
          <w:sz w:val="20"/>
          <w:szCs w:val="20"/>
        </w:rPr>
        <w:t xml:space="preserve"> </w:t>
      </w:r>
      <w:r w:rsidR="00BF75CF" w:rsidRPr="00DC52EE">
        <w:rPr>
          <w:rFonts w:eastAsia="Times New Roman"/>
          <w:sz w:val="20"/>
          <w:szCs w:val="20"/>
        </w:rPr>
        <w:t>o</w:t>
      </w:r>
      <w:r w:rsidR="00042AB2" w:rsidRPr="00DC52EE">
        <w:rPr>
          <w:rFonts w:eastAsia="Times New Roman"/>
          <w:sz w:val="20"/>
          <w:szCs w:val="20"/>
        </w:rPr>
        <w:t>f</w:t>
      </w:r>
      <w:r w:rsidR="00903A07" w:rsidRPr="00DC52EE">
        <w:rPr>
          <w:rFonts w:eastAsia="Times New Roman"/>
          <w:sz w:val="20"/>
          <w:szCs w:val="20"/>
        </w:rPr>
        <w:t xml:space="preserve"> </w:t>
      </w:r>
      <w:r w:rsidR="00042AB2" w:rsidRPr="00DC52EE">
        <w:rPr>
          <w:rFonts w:eastAsia="Times New Roman"/>
          <w:sz w:val="20"/>
          <w:szCs w:val="20"/>
        </w:rPr>
        <w:t>traditional</w:t>
      </w:r>
      <w:r w:rsidR="00903A07" w:rsidRPr="00DC52EE">
        <w:rPr>
          <w:rFonts w:eastAsia="Times New Roman"/>
          <w:sz w:val="20"/>
          <w:szCs w:val="20"/>
        </w:rPr>
        <w:t xml:space="preserve"> </w:t>
      </w:r>
      <w:r w:rsidR="00042AB2" w:rsidRPr="00DC52EE">
        <w:rPr>
          <w:rFonts w:eastAsia="Times New Roman"/>
          <w:sz w:val="20"/>
          <w:szCs w:val="20"/>
        </w:rPr>
        <w:t>animal</w:t>
      </w:r>
      <w:r w:rsidR="00903A07" w:rsidRPr="00DC52EE">
        <w:rPr>
          <w:rFonts w:eastAsia="Times New Roman"/>
          <w:sz w:val="20"/>
          <w:szCs w:val="20"/>
        </w:rPr>
        <w:t xml:space="preserve"> </w:t>
      </w:r>
      <w:r w:rsidR="00042AB2" w:rsidRPr="00DC52EE">
        <w:rPr>
          <w:rFonts w:eastAsia="Times New Roman"/>
          <w:sz w:val="20"/>
          <w:szCs w:val="20"/>
        </w:rPr>
        <w:t>healthcare</w:t>
      </w:r>
      <w:r w:rsidR="00903A07" w:rsidRPr="00DC52EE">
        <w:rPr>
          <w:rFonts w:eastAsia="Times New Roman"/>
          <w:sz w:val="20"/>
          <w:szCs w:val="20"/>
        </w:rPr>
        <w:t xml:space="preserve"> </w:t>
      </w:r>
      <w:r w:rsidR="00BF75CF" w:rsidRPr="00DC52EE">
        <w:rPr>
          <w:rFonts w:eastAsia="Times New Roman"/>
          <w:sz w:val="20"/>
          <w:szCs w:val="20"/>
        </w:rPr>
        <w:t>practices.</w:t>
      </w:r>
      <w:r w:rsidR="00903A07" w:rsidRPr="00DC52EE">
        <w:rPr>
          <w:rFonts w:eastAsia="Times New Roman"/>
          <w:sz w:val="20"/>
          <w:szCs w:val="20"/>
        </w:rPr>
        <w:t xml:space="preserve"> </w:t>
      </w:r>
      <w:r w:rsidR="00BF75CF" w:rsidRPr="00DC52EE">
        <w:rPr>
          <w:rFonts w:eastAsia="Times New Roman"/>
          <w:sz w:val="20"/>
          <w:szCs w:val="20"/>
        </w:rPr>
        <w:t>Pp:</w:t>
      </w:r>
      <w:r w:rsidR="00903A07" w:rsidRPr="00DC52EE">
        <w:rPr>
          <w:rFonts w:eastAsia="Times New Roman"/>
          <w:sz w:val="20"/>
          <w:szCs w:val="20"/>
        </w:rPr>
        <w:t xml:space="preserve"> </w:t>
      </w:r>
      <w:r w:rsidR="00BF75CF" w:rsidRPr="00DC52EE">
        <w:rPr>
          <w:rFonts w:eastAsia="Times New Roman"/>
          <w:sz w:val="20"/>
          <w:szCs w:val="20"/>
        </w:rPr>
        <w:t>115-116.</w:t>
      </w:r>
      <w:r w:rsidR="00903A07" w:rsidRPr="00DC52EE">
        <w:rPr>
          <w:rFonts w:eastAsia="Times New Roman"/>
          <w:sz w:val="20"/>
          <w:szCs w:val="20"/>
        </w:rPr>
        <w:t xml:space="preserve"> </w:t>
      </w:r>
    </w:p>
    <w:p w:rsidR="00903A07" w:rsidRPr="00DC52EE" w:rsidRDefault="00410269"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Jackson,</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Coop,</w:t>
      </w:r>
      <w:r w:rsidR="00903A07" w:rsidRPr="00DC52EE">
        <w:rPr>
          <w:sz w:val="20"/>
          <w:szCs w:val="20"/>
        </w:rPr>
        <w:t xml:space="preserve"> </w:t>
      </w:r>
      <w:r w:rsidRPr="00DC52EE">
        <w:rPr>
          <w:sz w:val="20"/>
          <w:szCs w:val="20"/>
        </w:rPr>
        <w:t>R.L.</w:t>
      </w:r>
      <w:r w:rsidR="00903A07" w:rsidRPr="00DC52EE">
        <w:rPr>
          <w:sz w:val="20"/>
          <w:szCs w:val="20"/>
        </w:rPr>
        <w:t xml:space="preserve"> </w:t>
      </w:r>
      <w:r w:rsidRPr="00DC52EE">
        <w:rPr>
          <w:sz w:val="20"/>
          <w:szCs w:val="20"/>
        </w:rPr>
        <w:t>(2007):</w:t>
      </w:r>
      <w:r w:rsidR="00903A07" w:rsidRPr="00DC52EE">
        <w:rPr>
          <w:sz w:val="20"/>
          <w:szCs w:val="20"/>
        </w:rPr>
        <w:t xml:space="preserve"> </w:t>
      </w:r>
      <w:r w:rsidRPr="00DC52EE">
        <w:rPr>
          <w:iCs/>
          <w:sz w:val="20"/>
          <w:szCs w:val="20"/>
        </w:rPr>
        <w:t>Gastrointestinal</w:t>
      </w:r>
      <w:r w:rsidR="00903A07" w:rsidRPr="00DC52EE">
        <w:rPr>
          <w:iCs/>
          <w:sz w:val="20"/>
          <w:szCs w:val="20"/>
        </w:rPr>
        <w:t xml:space="preserve"> </w:t>
      </w:r>
      <w:r w:rsidRPr="00DC52EE">
        <w:rPr>
          <w:iCs/>
          <w:sz w:val="20"/>
          <w:szCs w:val="20"/>
        </w:rPr>
        <w:t>helminthosis</w:t>
      </w:r>
      <w:r w:rsidRPr="00DC52EE">
        <w:rPr>
          <w:sz w:val="20"/>
          <w:szCs w:val="20"/>
        </w:rPr>
        <w:t>.</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iCs/>
          <w:sz w:val="20"/>
          <w:szCs w:val="20"/>
        </w:rPr>
        <w:t>Diseases</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sheep</w:t>
      </w:r>
      <w:r w:rsidRPr="00DC52EE">
        <w:rPr>
          <w:i/>
          <w:iCs/>
          <w:sz w:val="20"/>
          <w:szCs w:val="20"/>
        </w:rPr>
        <w:t>.</w:t>
      </w:r>
      <w:r w:rsidR="00903A07" w:rsidRPr="00DC52EE">
        <w:rPr>
          <w:i/>
          <w:iCs/>
          <w:sz w:val="20"/>
          <w:szCs w:val="20"/>
        </w:rPr>
        <w:t xml:space="preserve"> </w:t>
      </w:r>
      <w:r w:rsidRPr="00DC52EE">
        <w:rPr>
          <w:sz w:val="20"/>
          <w:szCs w:val="20"/>
        </w:rPr>
        <w:t>ID</w:t>
      </w:r>
      <w:r w:rsidR="00903A07" w:rsidRPr="00DC52EE">
        <w:rPr>
          <w:sz w:val="20"/>
          <w:szCs w:val="20"/>
        </w:rPr>
        <w:t xml:space="preserve"> </w:t>
      </w:r>
      <w:r w:rsidRPr="00DC52EE">
        <w:rPr>
          <w:sz w:val="20"/>
          <w:szCs w:val="20"/>
        </w:rPr>
        <w:t>Aitken</w:t>
      </w:r>
      <w:r w:rsidR="00903A07" w:rsidRPr="00DC52EE">
        <w:rPr>
          <w:sz w:val="20"/>
          <w:szCs w:val="20"/>
        </w:rPr>
        <w:t xml:space="preserve"> </w:t>
      </w:r>
      <w:r w:rsidRPr="00DC52EE">
        <w:rPr>
          <w:sz w:val="20"/>
          <w:szCs w:val="20"/>
        </w:rPr>
        <w:t>(ed),</w:t>
      </w:r>
      <w:r w:rsidR="00903A07" w:rsidRPr="00DC52EE">
        <w:rPr>
          <w:sz w:val="20"/>
          <w:szCs w:val="20"/>
        </w:rPr>
        <w:t xml:space="preserve"> </w:t>
      </w:r>
      <w:r w:rsidRPr="00DC52EE">
        <w:rPr>
          <w:sz w:val="20"/>
          <w:szCs w:val="20"/>
        </w:rPr>
        <w:t>4</w:t>
      </w:r>
      <w:r w:rsidRPr="00DC52EE">
        <w:rPr>
          <w:sz w:val="20"/>
          <w:szCs w:val="20"/>
          <w:vertAlign w:val="superscript"/>
        </w:rPr>
        <w:t>th</w:t>
      </w:r>
      <w:r w:rsidR="00903A07" w:rsidRPr="00DC52EE">
        <w:rPr>
          <w:sz w:val="20"/>
          <w:szCs w:val="20"/>
        </w:rPr>
        <w:t xml:space="preserve"> </w:t>
      </w:r>
      <w:r w:rsidRPr="00DC52EE">
        <w:rPr>
          <w:sz w:val="20"/>
          <w:szCs w:val="20"/>
        </w:rPr>
        <w:t>ed.</w:t>
      </w:r>
      <w:r w:rsidR="00903A07" w:rsidRPr="00DC52EE">
        <w:rPr>
          <w:sz w:val="20"/>
          <w:szCs w:val="20"/>
        </w:rPr>
        <w:t xml:space="preserve"> </w:t>
      </w:r>
      <w:r w:rsidRPr="00DC52EE">
        <w:rPr>
          <w:sz w:val="20"/>
          <w:szCs w:val="20"/>
        </w:rPr>
        <w:t>Blackwell</w:t>
      </w:r>
      <w:r w:rsidR="00903A07" w:rsidRPr="00DC52EE">
        <w:rPr>
          <w:sz w:val="20"/>
          <w:szCs w:val="20"/>
        </w:rPr>
        <w:t xml:space="preserve"> </w:t>
      </w:r>
      <w:r w:rsidRPr="00DC52EE">
        <w:rPr>
          <w:sz w:val="20"/>
          <w:szCs w:val="20"/>
        </w:rPr>
        <w:t>Sciences</w:t>
      </w:r>
      <w:r w:rsidR="00903A07" w:rsidRPr="00DC52EE">
        <w:rPr>
          <w:sz w:val="20"/>
          <w:szCs w:val="20"/>
        </w:rPr>
        <w:t xml:space="preserve"> </w:t>
      </w:r>
      <w:r w:rsidRPr="00DC52EE">
        <w:rPr>
          <w:sz w:val="20"/>
          <w:szCs w:val="20"/>
        </w:rPr>
        <w:t>Ltd,</w:t>
      </w:r>
      <w:r w:rsidR="00903A07" w:rsidRPr="00DC52EE">
        <w:rPr>
          <w:sz w:val="20"/>
          <w:szCs w:val="20"/>
        </w:rPr>
        <w:t xml:space="preserve"> </w:t>
      </w:r>
      <w:r w:rsidRPr="00DC52EE">
        <w:rPr>
          <w:sz w:val="20"/>
          <w:szCs w:val="20"/>
        </w:rPr>
        <w:t>Oxford.</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185-195.</w:t>
      </w:r>
    </w:p>
    <w:p w:rsidR="00903A07" w:rsidRPr="00DC52EE" w:rsidRDefault="00875EC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Kanyari,</w:t>
      </w:r>
      <w:r w:rsidR="00903A07" w:rsidRPr="00DC52EE">
        <w:rPr>
          <w:sz w:val="20"/>
          <w:szCs w:val="20"/>
        </w:rPr>
        <w:t xml:space="preserve"> </w:t>
      </w:r>
      <w:r w:rsidRPr="00DC52EE">
        <w:rPr>
          <w:sz w:val="20"/>
          <w:szCs w:val="20"/>
        </w:rPr>
        <w:t>P.W.N.</w:t>
      </w:r>
      <w:r w:rsidR="00903A07" w:rsidRPr="00DC52EE">
        <w:rPr>
          <w:sz w:val="20"/>
          <w:szCs w:val="20"/>
        </w:rPr>
        <w:t xml:space="preserve"> </w:t>
      </w:r>
      <w:r w:rsidRPr="00DC52EE">
        <w:rPr>
          <w:sz w:val="20"/>
          <w:szCs w:val="20"/>
        </w:rPr>
        <w:t>(1991):</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relationship</w:t>
      </w:r>
      <w:r w:rsidR="00903A07" w:rsidRPr="00DC52EE">
        <w:rPr>
          <w:sz w:val="20"/>
          <w:szCs w:val="20"/>
        </w:rPr>
        <w:t xml:space="preserve"> </w:t>
      </w:r>
      <w:r w:rsidRPr="00DC52EE">
        <w:rPr>
          <w:sz w:val="20"/>
          <w:szCs w:val="20"/>
        </w:rPr>
        <w:t>between</w:t>
      </w:r>
      <w:r w:rsidR="00903A07" w:rsidRPr="00DC52EE">
        <w:rPr>
          <w:sz w:val="20"/>
          <w:szCs w:val="20"/>
        </w:rPr>
        <w:t xml:space="preserve"> </w:t>
      </w:r>
      <w:r w:rsidRPr="00DC52EE">
        <w:rPr>
          <w:sz w:val="20"/>
          <w:szCs w:val="20"/>
        </w:rPr>
        <w:t>coccidial</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helminth</w:t>
      </w:r>
      <w:r w:rsidR="00903A07" w:rsidRPr="00DC52EE">
        <w:rPr>
          <w:sz w:val="20"/>
          <w:szCs w:val="20"/>
        </w:rPr>
        <w:t xml:space="preserve"> </w:t>
      </w:r>
      <w:r w:rsidRPr="00DC52EE">
        <w:rPr>
          <w:sz w:val="20"/>
          <w:szCs w:val="20"/>
        </w:rPr>
        <w:t>infectio</w:t>
      </w:r>
      <w:r w:rsidR="00FC4404" w:rsidRPr="00DC52EE">
        <w:rPr>
          <w:sz w:val="20"/>
          <w:szCs w:val="20"/>
        </w:rPr>
        <w:t>ns</w:t>
      </w:r>
      <w:r w:rsidR="00903A07" w:rsidRPr="00DC52EE">
        <w:rPr>
          <w:sz w:val="20"/>
          <w:szCs w:val="20"/>
        </w:rPr>
        <w:t xml:space="preserve"> </w:t>
      </w:r>
      <w:r w:rsidR="00FC4404" w:rsidRPr="00DC52EE">
        <w:rPr>
          <w:sz w:val="20"/>
          <w:szCs w:val="20"/>
        </w:rPr>
        <w:t>in</w:t>
      </w:r>
      <w:r w:rsidR="00903A07" w:rsidRPr="00DC52EE">
        <w:rPr>
          <w:sz w:val="20"/>
          <w:szCs w:val="20"/>
        </w:rPr>
        <w:t xml:space="preserve"> </w:t>
      </w:r>
      <w:r w:rsidR="00FC4404" w:rsidRPr="00DC52EE">
        <w:rPr>
          <w:sz w:val="20"/>
          <w:szCs w:val="20"/>
        </w:rPr>
        <w:t>sheep</w:t>
      </w:r>
      <w:r w:rsidR="00903A07" w:rsidRPr="00DC52EE">
        <w:rPr>
          <w:sz w:val="20"/>
          <w:szCs w:val="20"/>
        </w:rPr>
        <w:t xml:space="preserve"> </w:t>
      </w:r>
      <w:r w:rsidR="00FC4404" w:rsidRPr="00DC52EE">
        <w:rPr>
          <w:sz w:val="20"/>
          <w:szCs w:val="20"/>
        </w:rPr>
        <w:t>and</w:t>
      </w:r>
      <w:r w:rsidR="00903A07" w:rsidRPr="00DC52EE">
        <w:rPr>
          <w:sz w:val="20"/>
          <w:szCs w:val="20"/>
        </w:rPr>
        <w:t xml:space="preserve"> </w:t>
      </w:r>
      <w:r w:rsidR="00FC4404" w:rsidRPr="00DC52EE">
        <w:rPr>
          <w:sz w:val="20"/>
          <w:szCs w:val="20"/>
        </w:rPr>
        <w:t>goats</w:t>
      </w:r>
      <w:r w:rsidR="00903A07" w:rsidRPr="00DC52EE">
        <w:rPr>
          <w:sz w:val="20"/>
          <w:szCs w:val="20"/>
        </w:rPr>
        <w:t xml:space="preserve"> </w:t>
      </w:r>
      <w:r w:rsidR="00FC4404" w:rsidRPr="00DC52EE">
        <w:rPr>
          <w:sz w:val="20"/>
          <w:szCs w:val="20"/>
        </w:rPr>
        <w:t>in</w:t>
      </w:r>
      <w:r w:rsidR="00903A07" w:rsidRPr="00DC52EE">
        <w:rPr>
          <w:sz w:val="20"/>
          <w:szCs w:val="20"/>
        </w:rPr>
        <w:t xml:space="preserve"> </w:t>
      </w:r>
      <w:r w:rsidR="00FC4404" w:rsidRPr="00DC52EE">
        <w:rPr>
          <w:sz w:val="20"/>
          <w:szCs w:val="20"/>
        </w:rPr>
        <w:t>Kenya.</w:t>
      </w:r>
      <w:r w:rsidR="00903A07" w:rsidRPr="00DC52EE">
        <w:rPr>
          <w:sz w:val="20"/>
          <w:szCs w:val="20"/>
        </w:rPr>
        <w:t xml:space="preserve"> </w:t>
      </w:r>
      <w:r w:rsidR="005F26DF" w:rsidRPr="00DC52EE">
        <w:rPr>
          <w:i/>
          <w:sz w:val="20"/>
          <w:szCs w:val="20"/>
        </w:rPr>
        <w:t>Vet.</w:t>
      </w:r>
      <w:r w:rsidR="00903A07" w:rsidRPr="00DC52EE">
        <w:rPr>
          <w:i/>
          <w:sz w:val="20"/>
          <w:szCs w:val="20"/>
        </w:rPr>
        <w:t xml:space="preserve"> </w:t>
      </w:r>
      <w:r w:rsidRPr="00DC52EE">
        <w:rPr>
          <w:i/>
          <w:sz w:val="20"/>
          <w:szCs w:val="20"/>
        </w:rPr>
        <w:t>Paras</w:t>
      </w:r>
      <w:r w:rsidR="005F26DF" w:rsidRPr="00DC52EE">
        <w:rPr>
          <w:i/>
          <w:sz w:val="20"/>
          <w:szCs w:val="20"/>
        </w:rPr>
        <w:t>.</w:t>
      </w:r>
      <w:r w:rsidR="005D2EB5" w:rsidRPr="00DC52EE">
        <w:rPr>
          <w:sz w:val="20"/>
          <w:szCs w:val="20"/>
        </w:rPr>
        <w:t>,</w:t>
      </w:r>
      <w:r w:rsidR="00903A07" w:rsidRPr="00DC52EE">
        <w:rPr>
          <w:sz w:val="20"/>
          <w:szCs w:val="20"/>
        </w:rPr>
        <w:t xml:space="preserve"> </w:t>
      </w:r>
      <w:r w:rsidRPr="00DC52EE">
        <w:rPr>
          <w:sz w:val="20"/>
          <w:szCs w:val="20"/>
        </w:rPr>
        <w:t>51</w:t>
      </w:r>
      <w:r w:rsidR="00FC4404" w:rsidRPr="00DC52EE">
        <w:rPr>
          <w:sz w:val="20"/>
          <w:szCs w:val="20"/>
        </w:rPr>
        <w:t>:</w:t>
      </w:r>
      <w:r w:rsidR="00903A07" w:rsidRPr="00DC52EE">
        <w:rPr>
          <w:sz w:val="20"/>
          <w:szCs w:val="20"/>
        </w:rPr>
        <w:t xml:space="preserve"> </w:t>
      </w:r>
      <w:r w:rsidRPr="00DC52EE">
        <w:rPr>
          <w:sz w:val="20"/>
          <w:szCs w:val="20"/>
        </w:rPr>
        <w:t>137-</w:t>
      </w:r>
      <w:r w:rsidR="00903A07" w:rsidRPr="00DC52EE">
        <w:rPr>
          <w:sz w:val="20"/>
          <w:szCs w:val="20"/>
        </w:rPr>
        <w:t xml:space="preserve"> </w:t>
      </w:r>
      <w:r w:rsidRPr="00DC52EE">
        <w:rPr>
          <w:sz w:val="20"/>
          <w:szCs w:val="20"/>
        </w:rPr>
        <w:t>41.</w:t>
      </w:r>
    </w:p>
    <w:p w:rsidR="00903A07" w:rsidRPr="00DC52EE" w:rsidRDefault="00875EC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Kanyari,</w:t>
      </w:r>
      <w:r w:rsidR="00903A07" w:rsidRPr="00DC52EE">
        <w:rPr>
          <w:sz w:val="20"/>
          <w:szCs w:val="20"/>
        </w:rPr>
        <w:t xml:space="preserve"> </w:t>
      </w:r>
      <w:r w:rsidRPr="00DC52EE">
        <w:rPr>
          <w:sz w:val="20"/>
          <w:szCs w:val="20"/>
        </w:rPr>
        <w:t>P.W.N.,</w:t>
      </w:r>
      <w:r w:rsidR="00903A07" w:rsidRPr="00DC52EE">
        <w:rPr>
          <w:sz w:val="20"/>
          <w:szCs w:val="20"/>
        </w:rPr>
        <w:t xml:space="preserve"> </w:t>
      </w:r>
      <w:r w:rsidRPr="00DC52EE">
        <w:rPr>
          <w:sz w:val="20"/>
          <w:szCs w:val="20"/>
        </w:rPr>
        <w:t>Kagira,</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Mhoma,</w:t>
      </w:r>
      <w:r w:rsidR="00903A07" w:rsidRPr="00DC52EE">
        <w:rPr>
          <w:sz w:val="20"/>
          <w:szCs w:val="20"/>
        </w:rPr>
        <w:t xml:space="preserve"> </w:t>
      </w:r>
      <w:r w:rsidRPr="00DC52EE">
        <w:rPr>
          <w:sz w:val="20"/>
          <w:szCs w:val="20"/>
        </w:rPr>
        <w:t>R.J.</w:t>
      </w:r>
      <w:r w:rsidR="00903A07" w:rsidRPr="00DC52EE">
        <w:rPr>
          <w:sz w:val="20"/>
          <w:szCs w:val="20"/>
        </w:rPr>
        <w:t xml:space="preserve"> </w:t>
      </w:r>
      <w:r w:rsidRPr="00DC52EE">
        <w:rPr>
          <w:sz w:val="20"/>
          <w:szCs w:val="20"/>
        </w:rPr>
        <w:t>(2009):</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intensity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endoparasites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kept</w:t>
      </w:r>
      <w:r w:rsidR="00903A07" w:rsidRPr="00DC52EE">
        <w:rPr>
          <w:sz w:val="20"/>
          <w:szCs w:val="20"/>
        </w:rPr>
        <w:t xml:space="preserve"> </w:t>
      </w:r>
      <w:r w:rsidRPr="00DC52EE">
        <w:rPr>
          <w:sz w:val="20"/>
          <w:szCs w:val="20"/>
        </w:rPr>
        <w:t>by</w:t>
      </w:r>
      <w:r w:rsidR="00903A07" w:rsidRPr="00DC52EE">
        <w:rPr>
          <w:sz w:val="20"/>
          <w:szCs w:val="20"/>
        </w:rPr>
        <w:t xml:space="preserve"> </w:t>
      </w:r>
      <w:r w:rsidRPr="00DC52EE">
        <w:rPr>
          <w:sz w:val="20"/>
          <w:szCs w:val="20"/>
        </w:rPr>
        <w:t>farmers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Kisumu</w:t>
      </w:r>
      <w:r w:rsidR="00903A07" w:rsidRPr="00DC52EE">
        <w:rPr>
          <w:sz w:val="20"/>
          <w:szCs w:val="20"/>
        </w:rPr>
        <w:t xml:space="preserve"> </w:t>
      </w:r>
      <w:r w:rsidRPr="00DC52EE">
        <w:rPr>
          <w:sz w:val="20"/>
          <w:szCs w:val="20"/>
        </w:rPr>
        <w:t>Municip</w:t>
      </w:r>
      <w:r w:rsidR="00B73C0A" w:rsidRPr="00DC52EE">
        <w:rPr>
          <w:sz w:val="20"/>
          <w:szCs w:val="20"/>
        </w:rPr>
        <w:t>ality.</w:t>
      </w:r>
      <w:r w:rsidR="00903A07" w:rsidRPr="00DC52EE">
        <w:rPr>
          <w:sz w:val="20"/>
          <w:szCs w:val="20"/>
        </w:rPr>
        <w:t xml:space="preserve"> </w:t>
      </w:r>
      <w:r w:rsidR="00B73C0A" w:rsidRPr="00DC52EE">
        <w:rPr>
          <w:sz w:val="20"/>
          <w:szCs w:val="20"/>
        </w:rPr>
        <w:t>Department</w:t>
      </w:r>
      <w:r w:rsidR="00903A07" w:rsidRPr="00DC52EE">
        <w:rPr>
          <w:sz w:val="20"/>
          <w:szCs w:val="20"/>
        </w:rPr>
        <w:t xml:space="preserve"> </w:t>
      </w:r>
      <w:r w:rsidR="005637F0" w:rsidRPr="00DC52EE">
        <w:rPr>
          <w:sz w:val="20"/>
          <w:szCs w:val="20"/>
        </w:rPr>
        <w:t>of</w:t>
      </w:r>
      <w:r w:rsidR="00903A07" w:rsidRPr="00DC52EE">
        <w:rPr>
          <w:sz w:val="20"/>
          <w:szCs w:val="20"/>
        </w:rPr>
        <w:t xml:space="preserve"> </w:t>
      </w:r>
      <w:r w:rsidR="00B73C0A" w:rsidRPr="00DC52EE">
        <w:rPr>
          <w:sz w:val="20"/>
          <w:szCs w:val="20"/>
        </w:rPr>
        <w:t>Veterinary</w:t>
      </w:r>
      <w:r w:rsidR="00903A07" w:rsidRPr="00DC52EE">
        <w:rPr>
          <w:sz w:val="20"/>
          <w:szCs w:val="20"/>
        </w:rPr>
        <w:t xml:space="preserve"> </w:t>
      </w:r>
      <w:r w:rsidR="005637F0" w:rsidRPr="00DC52EE">
        <w:rPr>
          <w:sz w:val="20"/>
          <w:szCs w:val="20"/>
        </w:rPr>
        <w:t>Pathology,</w:t>
      </w:r>
      <w:r w:rsidR="00903A07" w:rsidRPr="00DC52EE">
        <w:rPr>
          <w:sz w:val="20"/>
          <w:szCs w:val="20"/>
        </w:rPr>
        <w:t xml:space="preserve"> </w:t>
      </w:r>
      <w:r w:rsidR="0097079F" w:rsidRPr="00DC52EE">
        <w:rPr>
          <w:sz w:val="20"/>
          <w:szCs w:val="20"/>
        </w:rPr>
        <w:t>Microbiology</w:t>
      </w:r>
      <w:r w:rsidR="00903A07" w:rsidRPr="00DC52EE">
        <w:rPr>
          <w:sz w:val="20"/>
          <w:szCs w:val="20"/>
        </w:rPr>
        <w:t xml:space="preserve"> </w:t>
      </w:r>
      <w:r w:rsidR="0097079F" w:rsidRPr="00DC52EE">
        <w:rPr>
          <w:sz w:val="20"/>
          <w:szCs w:val="20"/>
        </w:rPr>
        <w:t>and</w:t>
      </w:r>
      <w:r w:rsidR="00903A07" w:rsidRPr="00DC52EE">
        <w:rPr>
          <w:sz w:val="20"/>
          <w:szCs w:val="20"/>
        </w:rPr>
        <w:t xml:space="preserve"> </w:t>
      </w:r>
      <w:r w:rsidR="0097079F" w:rsidRPr="00DC52EE">
        <w:rPr>
          <w:sz w:val="20"/>
          <w:szCs w:val="20"/>
        </w:rPr>
        <w:t>Parasitology,</w:t>
      </w:r>
      <w:r w:rsidR="00903A07" w:rsidRPr="00DC52EE">
        <w:rPr>
          <w:sz w:val="20"/>
          <w:szCs w:val="20"/>
        </w:rPr>
        <w:t xml:space="preserve"> </w:t>
      </w:r>
      <w:r w:rsidRPr="00DC52EE">
        <w:rPr>
          <w:sz w:val="20"/>
          <w:szCs w:val="20"/>
        </w:rPr>
        <w:t>Faculty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Nairobi,</w:t>
      </w:r>
      <w:r w:rsidR="00903A07" w:rsidRPr="00DC52EE">
        <w:rPr>
          <w:sz w:val="20"/>
          <w:szCs w:val="20"/>
        </w:rPr>
        <w:t xml:space="preserve"> </w:t>
      </w:r>
      <w:r w:rsidRPr="00DC52EE">
        <w:rPr>
          <w:sz w:val="20"/>
          <w:szCs w:val="20"/>
        </w:rPr>
        <w:t>Kenya</w:t>
      </w:r>
      <w:r w:rsidR="00150DC1" w:rsidRPr="00DC52EE">
        <w:rPr>
          <w:sz w:val="20"/>
          <w:szCs w:val="20"/>
        </w:rPr>
        <w:t>.</w:t>
      </w:r>
    </w:p>
    <w:p w:rsidR="00903A07" w:rsidRPr="00DC52EE" w:rsidRDefault="008F75A6"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Leathwick,</w:t>
      </w:r>
      <w:r w:rsidR="00903A07" w:rsidRPr="00DC52EE">
        <w:rPr>
          <w:sz w:val="20"/>
          <w:szCs w:val="20"/>
        </w:rPr>
        <w:t xml:space="preserve"> </w:t>
      </w:r>
      <w:r w:rsidRPr="00DC52EE">
        <w:rPr>
          <w:sz w:val="20"/>
          <w:szCs w:val="20"/>
        </w:rPr>
        <w:t>D.M.,</w:t>
      </w:r>
      <w:r w:rsidR="00903A07" w:rsidRPr="00DC52EE">
        <w:rPr>
          <w:sz w:val="20"/>
          <w:szCs w:val="20"/>
        </w:rPr>
        <w:t xml:space="preserve"> </w:t>
      </w:r>
      <w:r w:rsidRPr="00DC52EE">
        <w:rPr>
          <w:sz w:val="20"/>
          <w:szCs w:val="20"/>
        </w:rPr>
        <w:t>Barlow,</w:t>
      </w:r>
      <w:r w:rsidR="00903A07" w:rsidRPr="00DC52EE">
        <w:rPr>
          <w:sz w:val="20"/>
          <w:szCs w:val="20"/>
        </w:rPr>
        <w:t xml:space="preserve"> </w:t>
      </w:r>
      <w:r w:rsidRPr="00DC52EE">
        <w:rPr>
          <w:sz w:val="20"/>
          <w:szCs w:val="20"/>
        </w:rPr>
        <w:t>N.D.</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Vlassoff,</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(1992):</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model</w:t>
      </w:r>
      <w:r w:rsidR="00903A07" w:rsidRPr="00DC52EE">
        <w:rPr>
          <w:sz w:val="20"/>
          <w:szCs w:val="20"/>
        </w:rPr>
        <w:t xml:space="preserve"> </w:t>
      </w:r>
      <w:r w:rsidRPr="00DC52EE">
        <w:rPr>
          <w:sz w:val="20"/>
          <w:szCs w:val="20"/>
        </w:rPr>
        <w:t>for</w:t>
      </w:r>
      <w:r w:rsidR="00903A07" w:rsidRPr="00DC52EE">
        <w:rPr>
          <w:sz w:val="20"/>
          <w:szCs w:val="20"/>
        </w:rPr>
        <w:t xml:space="preserve"> </w:t>
      </w:r>
      <w:r w:rsidRPr="00DC52EE">
        <w:rPr>
          <w:sz w:val="20"/>
          <w:szCs w:val="20"/>
        </w:rPr>
        <w:t>nematodiasis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New</w:t>
      </w:r>
      <w:r w:rsidR="00DC52EE" w:rsidRPr="00DC52EE">
        <w:rPr>
          <w:rFonts w:hint="eastAsia"/>
          <w:sz w:val="20"/>
          <w:szCs w:val="20"/>
          <w:lang w:eastAsia="zh-CN"/>
        </w:rPr>
        <w:t xml:space="preserve"> </w:t>
      </w:r>
      <w:r w:rsidRPr="00DC52EE">
        <w:rPr>
          <w:sz w:val="20"/>
          <w:szCs w:val="20"/>
        </w:rPr>
        <w:t>Zealand</w:t>
      </w:r>
      <w:r w:rsidR="00903A07" w:rsidRPr="00DC52EE">
        <w:rPr>
          <w:sz w:val="20"/>
          <w:szCs w:val="20"/>
        </w:rPr>
        <w:t xml:space="preserve"> </w:t>
      </w:r>
      <w:r w:rsidRPr="00DC52EE">
        <w:rPr>
          <w:sz w:val="20"/>
          <w:szCs w:val="20"/>
        </w:rPr>
        <w:t>lambs.</w:t>
      </w:r>
      <w:r w:rsidR="00903A07" w:rsidRPr="00DC52EE">
        <w:rPr>
          <w:sz w:val="20"/>
          <w:szCs w:val="20"/>
        </w:rPr>
        <w:t xml:space="preserve"> </w:t>
      </w:r>
      <w:r w:rsidR="00EC01C4" w:rsidRPr="00DC52EE">
        <w:rPr>
          <w:i/>
          <w:iCs/>
          <w:sz w:val="20"/>
          <w:szCs w:val="20"/>
        </w:rPr>
        <w:t>Intern.</w:t>
      </w:r>
      <w:r w:rsidR="00903A07" w:rsidRPr="00DC52EE">
        <w:rPr>
          <w:i/>
          <w:iCs/>
          <w:sz w:val="20"/>
          <w:szCs w:val="20"/>
        </w:rPr>
        <w:t xml:space="preserve"> </w:t>
      </w:r>
      <w:r w:rsidR="00EC01C4" w:rsidRPr="00DC52EE">
        <w:rPr>
          <w:i/>
          <w:iCs/>
          <w:sz w:val="20"/>
          <w:szCs w:val="20"/>
        </w:rPr>
        <w:t>Jour.</w:t>
      </w:r>
      <w:r w:rsidR="00903A07" w:rsidRPr="00DC52EE">
        <w:rPr>
          <w:i/>
          <w:iCs/>
          <w:sz w:val="20"/>
          <w:szCs w:val="20"/>
        </w:rPr>
        <w:t xml:space="preserve"> </w:t>
      </w:r>
      <w:r w:rsidR="00EC01C4" w:rsidRPr="00DC52EE">
        <w:rPr>
          <w:i/>
          <w:iCs/>
          <w:sz w:val="20"/>
          <w:szCs w:val="20"/>
        </w:rPr>
        <w:t>of</w:t>
      </w:r>
      <w:r w:rsidR="00903A07" w:rsidRPr="00DC52EE">
        <w:rPr>
          <w:i/>
          <w:iCs/>
          <w:sz w:val="20"/>
          <w:szCs w:val="20"/>
        </w:rPr>
        <w:t xml:space="preserve"> </w:t>
      </w:r>
      <w:r w:rsidR="00EC01C4" w:rsidRPr="00DC52EE">
        <w:rPr>
          <w:i/>
          <w:iCs/>
          <w:sz w:val="20"/>
          <w:szCs w:val="20"/>
        </w:rPr>
        <w:t>Paras</w:t>
      </w:r>
      <w:r w:rsidR="00E1289E" w:rsidRPr="00DC52EE">
        <w:rPr>
          <w:i/>
          <w:iCs/>
          <w:sz w:val="20"/>
          <w:szCs w:val="20"/>
        </w:rPr>
        <w:t>.</w:t>
      </w:r>
      <w:r w:rsidR="005D2EB5" w:rsidRPr="00DC52EE">
        <w:rPr>
          <w:i/>
          <w:iCs/>
          <w:sz w:val="20"/>
          <w:szCs w:val="20"/>
        </w:rPr>
        <w:t>,</w:t>
      </w:r>
      <w:r w:rsidRPr="00DC52EE">
        <w:rPr>
          <w:i/>
          <w:iCs/>
          <w:sz w:val="20"/>
          <w:szCs w:val="20"/>
        </w:rPr>
        <w:t>22:</w:t>
      </w:r>
      <w:r w:rsidR="00903A07" w:rsidRPr="00DC52EE">
        <w:rPr>
          <w:i/>
          <w:iCs/>
          <w:sz w:val="20"/>
          <w:szCs w:val="20"/>
        </w:rPr>
        <w:t xml:space="preserve"> </w:t>
      </w:r>
      <w:r w:rsidRPr="00DC52EE">
        <w:rPr>
          <w:sz w:val="20"/>
          <w:szCs w:val="20"/>
        </w:rPr>
        <w:t>789-799.</w:t>
      </w:r>
    </w:p>
    <w:p w:rsidR="00903A07" w:rsidRPr="00DC52EE" w:rsidRDefault="0041122A"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Luscher,</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Häring,</w:t>
      </w:r>
      <w:r w:rsidR="00903A07" w:rsidRPr="00DC52EE">
        <w:rPr>
          <w:sz w:val="20"/>
          <w:szCs w:val="20"/>
        </w:rPr>
        <w:t xml:space="preserve"> </w:t>
      </w:r>
      <w:r w:rsidRPr="00DC52EE">
        <w:rPr>
          <w:sz w:val="20"/>
          <w:szCs w:val="20"/>
        </w:rPr>
        <w:t>D.A.,</w:t>
      </w:r>
      <w:r w:rsidR="00903A07" w:rsidRPr="00DC52EE">
        <w:rPr>
          <w:sz w:val="20"/>
          <w:szCs w:val="20"/>
        </w:rPr>
        <w:t xml:space="preserve"> </w:t>
      </w:r>
      <w:r w:rsidRPr="00DC52EE">
        <w:rPr>
          <w:sz w:val="20"/>
          <w:szCs w:val="20"/>
        </w:rPr>
        <w:t>Heckendorn,</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Scharenberg,</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Dohme,</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Maurer,</w:t>
      </w:r>
      <w:r w:rsidR="00903A07" w:rsidRPr="00DC52EE">
        <w:rPr>
          <w:sz w:val="20"/>
          <w:szCs w:val="20"/>
        </w:rPr>
        <w:t xml:space="preserve"> </w:t>
      </w:r>
      <w:r w:rsidRPr="00DC52EE">
        <w:rPr>
          <w:sz w:val="20"/>
          <w:szCs w:val="20"/>
        </w:rPr>
        <w:t>V.</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Hertzberg,</w:t>
      </w:r>
      <w:r w:rsidR="00903A07" w:rsidRPr="00DC52EE">
        <w:rPr>
          <w:sz w:val="20"/>
          <w:szCs w:val="20"/>
        </w:rPr>
        <w:t xml:space="preserve"> </w:t>
      </w:r>
      <w:r w:rsidRPr="00DC52EE">
        <w:rPr>
          <w:sz w:val="20"/>
          <w:szCs w:val="20"/>
        </w:rPr>
        <w:t>H.</w:t>
      </w:r>
      <w:r w:rsidR="00903A07" w:rsidRPr="00DC52EE">
        <w:rPr>
          <w:sz w:val="20"/>
          <w:szCs w:val="20"/>
        </w:rPr>
        <w:t xml:space="preserve"> </w:t>
      </w:r>
      <w:r w:rsidRPr="00DC52EE">
        <w:rPr>
          <w:sz w:val="20"/>
          <w:szCs w:val="20"/>
        </w:rPr>
        <w:t>(2005):</w:t>
      </w:r>
      <w:r w:rsidR="00903A07" w:rsidRPr="00DC52EE">
        <w:rPr>
          <w:sz w:val="20"/>
          <w:szCs w:val="20"/>
        </w:rPr>
        <w:t xml:space="preserve"> </w:t>
      </w:r>
      <w:r w:rsidRPr="00DC52EE">
        <w:rPr>
          <w:sz w:val="20"/>
          <w:szCs w:val="20"/>
        </w:rPr>
        <w:t>Use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tanniferous</w:t>
      </w:r>
      <w:r w:rsidR="00903A07" w:rsidRPr="00DC52EE">
        <w:rPr>
          <w:sz w:val="20"/>
          <w:szCs w:val="20"/>
        </w:rPr>
        <w:t xml:space="preserve"> </w:t>
      </w:r>
      <w:r w:rsidRPr="00DC52EE">
        <w:rPr>
          <w:sz w:val="20"/>
          <w:szCs w:val="20"/>
        </w:rPr>
        <w:t>plants</w:t>
      </w:r>
      <w:r w:rsidR="00903A07" w:rsidRPr="00DC52EE">
        <w:rPr>
          <w:sz w:val="20"/>
          <w:szCs w:val="20"/>
        </w:rPr>
        <w:t xml:space="preserve"> </w:t>
      </w:r>
      <w:r w:rsidRPr="00DC52EE">
        <w:rPr>
          <w:sz w:val="20"/>
          <w:szCs w:val="20"/>
        </w:rPr>
        <w:t>against</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nematodes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Researching</w:t>
      </w:r>
      <w:r w:rsidR="00903A07" w:rsidRPr="00DC52EE">
        <w:rPr>
          <w:sz w:val="20"/>
          <w:szCs w:val="20"/>
        </w:rPr>
        <w:t xml:space="preserve"> </w:t>
      </w:r>
      <w:r w:rsidRPr="00DC52EE">
        <w:rPr>
          <w:sz w:val="20"/>
          <w:szCs w:val="20"/>
        </w:rPr>
        <w:t>Sustainable</w:t>
      </w:r>
      <w:r w:rsidR="00903A07" w:rsidRPr="00DC52EE">
        <w:rPr>
          <w:sz w:val="20"/>
          <w:szCs w:val="20"/>
        </w:rPr>
        <w:t xml:space="preserve"> </w:t>
      </w:r>
      <w:r w:rsidRPr="00DC52EE">
        <w:rPr>
          <w:sz w:val="20"/>
          <w:szCs w:val="20"/>
        </w:rPr>
        <w:t>Systems</w:t>
      </w:r>
      <w:r w:rsidR="00903A07" w:rsidRPr="00DC52EE">
        <w:rPr>
          <w:sz w:val="20"/>
          <w:szCs w:val="20"/>
        </w:rPr>
        <w:t xml:space="preserve"> </w:t>
      </w:r>
      <w:r w:rsidRPr="00DC52EE">
        <w:rPr>
          <w:sz w:val="20"/>
          <w:szCs w:val="20"/>
        </w:rPr>
        <w:t>-</w:t>
      </w:r>
      <w:r w:rsidR="00903A07" w:rsidRPr="00DC52EE">
        <w:rPr>
          <w:sz w:val="20"/>
          <w:szCs w:val="20"/>
        </w:rPr>
        <w:t xml:space="preserve"> </w:t>
      </w:r>
      <w:r w:rsidRPr="00DC52EE">
        <w:rPr>
          <w:sz w:val="20"/>
          <w:szCs w:val="20"/>
        </w:rPr>
        <w:t>International</w:t>
      </w:r>
      <w:r w:rsidR="00903A07" w:rsidRPr="00DC52EE">
        <w:rPr>
          <w:sz w:val="20"/>
          <w:szCs w:val="20"/>
        </w:rPr>
        <w:t xml:space="preserve"> </w:t>
      </w:r>
      <w:r w:rsidRPr="00DC52EE">
        <w:rPr>
          <w:sz w:val="20"/>
          <w:szCs w:val="20"/>
        </w:rPr>
        <w:t>Scientific</w:t>
      </w:r>
      <w:r w:rsidR="00903A07" w:rsidRPr="00DC52EE">
        <w:rPr>
          <w:sz w:val="20"/>
          <w:szCs w:val="20"/>
        </w:rPr>
        <w:t xml:space="preserve"> </w:t>
      </w:r>
      <w:r w:rsidRPr="00DC52EE">
        <w:rPr>
          <w:sz w:val="20"/>
          <w:szCs w:val="20"/>
        </w:rPr>
        <w:t>Conference</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Organic</w:t>
      </w:r>
      <w:r w:rsidR="00903A07" w:rsidRPr="00DC52EE">
        <w:rPr>
          <w:sz w:val="20"/>
          <w:szCs w:val="20"/>
        </w:rPr>
        <w:t xml:space="preserve"> </w:t>
      </w:r>
      <w:r w:rsidRPr="00DC52EE">
        <w:rPr>
          <w:sz w:val="20"/>
          <w:szCs w:val="20"/>
        </w:rPr>
        <w:t>Ag</w:t>
      </w:r>
      <w:r w:rsidR="00697A87" w:rsidRPr="00DC52EE">
        <w:rPr>
          <w:sz w:val="20"/>
          <w:szCs w:val="20"/>
        </w:rPr>
        <w:t>riculture,</w:t>
      </w:r>
      <w:r w:rsidR="00903A07" w:rsidRPr="00DC52EE">
        <w:rPr>
          <w:sz w:val="20"/>
          <w:szCs w:val="20"/>
        </w:rPr>
        <w:t xml:space="preserve"> </w:t>
      </w:r>
      <w:r w:rsidR="00697A87" w:rsidRPr="00DC52EE">
        <w:rPr>
          <w:sz w:val="20"/>
          <w:szCs w:val="20"/>
        </w:rPr>
        <w:t>Adelaide,</w:t>
      </w:r>
      <w:r w:rsidR="00903A07" w:rsidRPr="00DC52EE">
        <w:rPr>
          <w:sz w:val="20"/>
          <w:szCs w:val="20"/>
        </w:rPr>
        <w:t xml:space="preserve"> </w:t>
      </w:r>
      <w:r w:rsidR="00697A87" w:rsidRPr="00DC52EE">
        <w:rPr>
          <w:sz w:val="20"/>
          <w:szCs w:val="20"/>
        </w:rPr>
        <w:t>Australia.</w:t>
      </w:r>
    </w:p>
    <w:p w:rsidR="00903A07" w:rsidRPr="00DC52EE" w:rsidRDefault="00094DB7"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Melkamu,</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(1991):</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four</w:t>
      </w:r>
      <w:r w:rsidR="00903A07" w:rsidRPr="00DC52EE">
        <w:rPr>
          <w:sz w:val="20"/>
          <w:szCs w:val="20"/>
        </w:rPr>
        <w:t xml:space="preserve"> </w:t>
      </w:r>
      <w:r w:rsidRPr="00DC52EE">
        <w:rPr>
          <w:sz w:val="20"/>
          <w:szCs w:val="20"/>
        </w:rPr>
        <w:t>Awrajas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Eastern</w:t>
      </w:r>
      <w:r w:rsidR="00903A07" w:rsidRPr="00DC52EE">
        <w:rPr>
          <w:sz w:val="20"/>
          <w:szCs w:val="20"/>
        </w:rPr>
        <w:t xml:space="preserve"> </w:t>
      </w:r>
      <w:r w:rsidRPr="00DC52EE">
        <w:rPr>
          <w:sz w:val="20"/>
          <w:szCs w:val="20"/>
        </w:rPr>
        <w:t>Shoa</w:t>
      </w:r>
      <w:r w:rsidR="00903A07" w:rsidRPr="00DC52EE">
        <w:rPr>
          <w:sz w:val="20"/>
          <w:szCs w:val="20"/>
        </w:rPr>
        <w:t xml:space="preserve"> </w:t>
      </w:r>
      <w:r w:rsidRPr="00DC52EE">
        <w:rPr>
          <w:sz w:val="20"/>
          <w:szCs w:val="20"/>
        </w:rPr>
        <w:t>Administrative</w:t>
      </w:r>
      <w:r w:rsidR="00903A07" w:rsidRPr="00DC52EE">
        <w:rPr>
          <w:sz w:val="20"/>
          <w:szCs w:val="20"/>
        </w:rPr>
        <w:t xml:space="preserve"> </w:t>
      </w:r>
      <w:r w:rsidRPr="00DC52EE">
        <w:rPr>
          <w:sz w:val="20"/>
          <w:szCs w:val="20"/>
        </w:rPr>
        <w:t>Regions.</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Pr="00DC52EE">
        <w:rPr>
          <w:sz w:val="20"/>
          <w:szCs w:val="20"/>
        </w:rPr>
        <w:t>F</w:t>
      </w:r>
      <w:r w:rsidR="00616014" w:rsidRPr="00DC52EE">
        <w:rPr>
          <w:sz w:val="20"/>
          <w:szCs w:val="20"/>
        </w:rPr>
        <w:t>aculty</w:t>
      </w:r>
      <w:r w:rsidR="00903A07" w:rsidRPr="00DC52EE">
        <w:rPr>
          <w:sz w:val="20"/>
          <w:szCs w:val="20"/>
        </w:rPr>
        <w:t xml:space="preserve"> </w:t>
      </w:r>
      <w:r w:rsidR="00616014" w:rsidRPr="00DC52EE">
        <w:rPr>
          <w:sz w:val="20"/>
          <w:szCs w:val="20"/>
        </w:rPr>
        <w:t>of</w:t>
      </w:r>
      <w:r w:rsidR="00903A07" w:rsidRPr="00DC52EE">
        <w:rPr>
          <w:sz w:val="20"/>
          <w:szCs w:val="20"/>
        </w:rPr>
        <w:t xml:space="preserve"> </w:t>
      </w:r>
      <w:r w:rsidR="00616014" w:rsidRPr="00DC52EE">
        <w:rPr>
          <w:sz w:val="20"/>
          <w:szCs w:val="20"/>
        </w:rPr>
        <w:t>Veterinary</w:t>
      </w:r>
      <w:r w:rsidR="00903A07" w:rsidRPr="00DC52EE">
        <w:rPr>
          <w:sz w:val="20"/>
          <w:szCs w:val="20"/>
        </w:rPr>
        <w:t xml:space="preserve"> </w:t>
      </w:r>
      <w:r w:rsidR="00616014"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Debre-Zeit.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116.</w:t>
      </w:r>
    </w:p>
    <w:p w:rsidR="00903A07" w:rsidRPr="00DC52EE" w:rsidRDefault="00F83073"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Mihreteab,</w:t>
      </w:r>
      <w:r w:rsidR="00903A07" w:rsidRPr="00DC52EE">
        <w:rPr>
          <w:sz w:val="20"/>
          <w:szCs w:val="20"/>
        </w:rPr>
        <w:t xml:space="preserve"> </w:t>
      </w:r>
      <w:r w:rsidRPr="00DC52EE">
        <w:rPr>
          <w:sz w:val="20"/>
          <w:szCs w:val="20"/>
        </w:rPr>
        <w:t>B.</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Aman,</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(2011):</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Lungworms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Tiyo</w:t>
      </w:r>
      <w:r w:rsidR="00903A07" w:rsidRPr="00DC52EE">
        <w:rPr>
          <w:sz w:val="20"/>
          <w:szCs w:val="20"/>
        </w:rPr>
        <w:t xml:space="preserve"> </w:t>
      </w:r>
      <w:r w:rsidRPr="00DC52EE">
        <w:rPr>
          <w:sz w:val="20"/>
          <w:szCs w:val="20"/>
        </w:rPr>
        <w:t>District,</w:t>
      </w:r>
      <w:r w:rsidR="00903A07" w:rsidRPr="00DC52EE">
        <w:rPr>
          <w:sz w:val="20"/>
          <w:szCs w:val="20"/>
        </w:rPr>
        <w:t xml:space="preserve"> </w:t>
      </w:r>
      <w:r w:rsidRPr="00DC52EE">
        <w:rPr>
          <w:sz w:val="20"/>
          <w:szCs w:val="20"/>
        </w:rPr>
        <w:t>South-East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effect</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altitude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major</w:t>
      </w:r>
      <w:r w:rsidR="00903A07" w:rsidRPr="00DC52EE">
        <w:rPr>
          <w:sz w:val="20"/>
          <w:szCs w:val="20"/>
        </w:rPr>
        <w:t xml:space="preserve"> </w:t>
      </w:r>
      <w:r w:rsidRPr="00DC52EE">
        <w:rPr>
          <w:sz w:val="20"/>
          <w:szCs w:val="20"/>
        </w:rPr>
        <w:lastRenderedPageBreak/>
        <w:t>host</w:t>
      </w:r>
      <w:r w:rsidR="00903A07" w:rsidRPr="00DC52EE">
        <w:rPr>
          <w:sz w:val="20"/>
          <w:szCs w:val="20"/>
        </w:rPr>
        <w:t xml:space="preserve"> </w:t>
      </w:r>
      <w:r w:rsidRPr="00DC52EE">
        <w:rPr>
          <w:sz w:val="20"/>
          <w:szCs w:val="20"/>
        </w:rPr>
        <w:t>related</w:t>
      </w:r>
      <w:r w:rsidR="00903A07" w:rsidRPr="00DC52EE">
        <w:rPr>
          <w:sz w:val="20"/>
          <w:szCs w:val="20"/>
        </w:rPr>
        <w:t xml:space="preserve"> </w:t>
      </w:r>
      <w:r w:rsidRPr="00DC52EE">
        <w:rPr>
          <w:sz w:val="20"/>
          <w:szCs w:val="20"/>
        </w:rPr>
        <w:t>risk</w:t>
      </w:r>
      <w:r w:rsidR="00903A07" w:rsidRPr="00DC52EE">
        <w:rPr>
          <w:sz w:val="20"/>
          <w:szCs w:val="20"/>
        </w:rPr>
        <w:t xml:space="preserve"> </w:t>
      </w:r>
      <w:r w:rsidRPr="00DC52EE">
        <w:rPr>
          <w:sz w:val="20"/>
          <w:szCs w:val="20"/>
        </w:rPr>
        <w:t>Factors.</w:t>
      </w:r>
      <w:r w:rsidR="00903A07" w:rsidRPr="00DC52EE">
        <w:rPr>
          <w:sz w:val="20"/>
          <w:szCs w:val="20"/>
        </w:rPr>
        <w:t xml:space="preserve"> </w:t>
      </w:r>
      <w:r w:rsidR="00867691" w:rsidRPr="00DC52EE">
        <w:rPr>
          <w:i/>
          <w:sz w:val="20"/>
          <w:szCs w:val="20"/>
        </w:rPr>
        <w:t>Glob.</w:t>
      </w:r>
      <w:r w:rsidR="00903A07" w:rsidRPr="00DC52EE">
        <w:rPr>
          <w:i/>
          <w:sz w:val="20"/>
          <w:szCs w:val="20"/>
        </w:rPr>
        <w:t xml:space="preserve"> </w:t>
      </w:r>
      <w:r w:rsidRPr="00DC52EE">
        <w:rPr>
          <w:i/>
          <w:sz w:val="20"/>
          <w:szCs w:val="20"/>
        </w:rPr>
        <w:t>Veteri</w:t>
      </w:r>
      <w:r w:rsidR="00867691" w:rsidRPr="00DC52EE">
        <w:rPr>
          <w:sz w:val="20"/>
          <w:szCs w:val="20"/>
        </w:rPr>
        <w:t>.</w:t>
      </w:r>
      <w:r w:rsidR="00903A07" w:rsidRPr="00DC52EE">
        <w:rPr>
          <w:sz w:val="20"/>
          <w:szCs w:val="20"/>
        </w:rPr>
        <w:t xml:space="preserve"> </w:t>
      </w:r>
      <w:r w:rsidRPr="00DC52EE">
        <w:rPr>
          <w:sz w:val="20"/>
          <w:szCs w:val="20"/>
        </w:rPr>
        <w:t>7(3):</w:t>
      </w:r>
      <w:r w:rsidR="00903A07" w:rsidRPr="00DC52EE">
        <w:rPr>
          <w:sz w:val="20"/>
          <w:szCs w:val="20"/>
        </w:rPr>
        <w:t xml:space="preserve"> </w:t>
      </w:r>
      <w:r w:rsidRPr="00DC52EE">
        <w:rPr>
          <w:sz w:val="20"/>
          <w:szCs w:val="20"/>
        </w:rPr>
        <w:t>219-225.</w:t>
      </w:r>
    </w:p>
    <w:p w:rsidR="00903A07" w:rsidRPr="00DC52EE" w:rsidRDefault="003A63BD" w:rsidP="00BB7760">
      <w:pPr>
        <w:pStyle w:val="ListParagraph"/>
        <w:numPr>
          <w:ilvl w:val="0"/>
          <w:numId w:val="21"/>
        </w:numPr>
        <w:snapToGrid w:val="0"/>
        <w:spacing w:after="0" w:line="240" w:lineRule="auto"/>
        <w:ind w:left="425" w:hanging="425"/>
        <w:jc w:val="both"/>
        <w:rPr>
          <w:sz w:val="20"/>
          <w:szCs w:val="20"/>
        </w:rPr>
      </w:pPr>
      <w:r w:rsidRPr="00DC52EE">
        <w:rPr>
          <w:sz w:val="20"/>
          <w:szCs w:val="20"/>
        </w:rPr>
        <w:t>Moti,</w:t>
      </w:r>
      <w:r w:rsidR="00903A07" w:rsidRPr="00DC52EE">
        <w:rPr>
          <w:sz w:val="20"/>
          <w:szCs w:val="20"/>
        </w:rPr>
        <w:t xml:space="preserve"> </w:t>
      </w:r>
      <w:r w:rsidRPr="00DC52EE">
        <w:rPr>
          <w:sz w:val="20"/>
          <w:szCs w:val="20"/>
        </w:rPr>
        <w:t>W.</w:t>
      </w:r>
      <w:r w:rsidR="00903A07" w:rsidRPr="00DC52EE">
        <w:rPr>
          <w:sz w:val="20"/>
          <w:szCs w:val="20"/>
        </w:rPr>
        <w:t xml:space="preserve"> </w:t>
      </w:r>
      <w:r w:rsidRPr="00DC52EE">
        <w:rPr>
          <w:sz w:val="20"/>
          <w:szCs w:val="20"/>
        </w:rPr>
        <w:t>(2008):</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00867691" w:rsidRPr="00DC52EE">
        <w:rPr>
          <w:sz w:val="20"/>
          <w:szCs w:val="20"/>
        </w:rPr>
        <w:t>goat</w:t>
      </w:r>
      <w:r w:rsidR="00903A07" w:rsidRPr="00DC52EE">
        <w:rPr>
          <w:sz w:val="20"/>
          <w:szCs w:val="20"/>
        </w:rPr>
        <w:t xml:space="preserve"> </w:t>
      </w:r>
      <w:r w:rsidR="00867691" w:rsidRPr="00DC52EE">
        <w:rPr>
          <w:sz w:val="20"/>
          <w:szCs w:val="20"/>
        </w:rPr>
        <w:t>in</w:t>
      </w:r>
      <w:r w:rsidR="00903A07" w:rsidRPr="00DC52EE">
        <w:rPr>
          <w:sz w:val="20"/>
          <w:szCs w:val="20"/>
        </w:rPr>
        <w:t xml:space="preserve"> </w:t>
      </w:r>
      <w:r w:rsidR="00867691" w:rsidRPr="00DC52EE">
        <w:rPr>
          <w:sz w:val="20"/>
          <w:szCs w:val="20"/>
        </w:rPr>
        <w:t>and</w:t>
      </w:r>
      <w:r w:rsidR="00903A07" w:rsidRPr="00DC52EE">
        <w:rPr>
          <w:sz w:val="20"/>
          <w:szCs w:val="20"/>
        </w:rPr>
        <w:t xml:space="preserve"> </w:t>
      </w:r>
      <w:r w:rsidR="00867691" w:rsidRPr="00DC52EE">
        <w:rPr>
          <w:sz w:val="20"/>
          <w:szCs w:val="20"/>
        </w:rPr>
        <w:t>around</w:t>
      </w:r>
      <w:r w:rsidR="00903A07" w:rsidRPr="00DC52EE">
        <w:rPr>
          <w:sz w:val="20"/>
          <w:szCs w:val="20"/>
        </w:rPr>
        <w:t xml:space="preserve"> </w:t>
      </w:r>
      <w:r w:rsidR="00867691" w:rsidRPr="00DC52EE">
        <w:rPr>
          <w:sz w:val="20"/>
          <w:szCs w:val="20"/>
        </w:rPr>
        <w:t>Welinchity,</w:t>
      </w:r>
      <w:r w:rsidR="00903A07" w:rsidRPr="00DC52EE">
        <w:rPr>
          <w:sz w:val="20"/>
          <w:szCs w:val="20"/>
        </w:rPr>
        <w:t xml:space="preserve"> </w:t>
      </w:r>
      <w:r w:rsidRPr="00DC52EE">
        <w:rPr>
          <w:sz w:val="20"/>
          <w:szCs w:val="20"/>
        </w:rPr>
        <w:t>Central</w:t>
      </w:r>
      <w:r w:rsidR="00903A07" w:rsidRPr="00DC52EE">
        <w:rPr>
          <w:sz w:val="20"/>
          <w:szCs w:val="20"/>
        </w:rPr>
        <w:t xml:space="preserve"> </w:t>
      </w:r>
      <w:r w:rsidRPr="00DC52EE">
        <w:rPr>
          <w:sz w:val="20"/>
          <w:szCs w:val="20"/>
        </w:rPr>
        <w:t>Ethiopia.</w:t>
      </w:r>
      <w:r w:rsidR="00903A07" w:rsidRPr="00DC52EE">
        <w:rPr>
          <w:sz w:val="20"/>
          <w:szCs w:val="20"/>
        </w:rPr>
        <w:t xml:space="preserve"> </w:t>
      </w:r>
      <w:r w:rsidR="00867691" w:rsidRPr="00DC52EE">
        <w:rPr>
          <w:sz w:val="20"/>
          <w:szCs w:val="20"/>
        </w:rPr>
        <w:t>DVM</w:t>
      </w:r>
      <w:r w:rsidR="00903A07" w:rsidRPr="00DC52EE">
        <w:rPr>
          <w:sz w:val="20"/>
          <w:szCs w:val="20"/>
        </w:rPr>
        <w:t xml:space="preserve"> </w:t>
      </w:r>
      <w:r w:rsidR="00867691" w:rsidRPr="00DC52EE">
        <w:rPr>
          <w:sz w:val="20"/>
          <w:szCs w:val="20"/>
        </w:rPr>
        <w:t>thesis</w:t>
      </w:r>
      <w:r w:rsidRPr="00DC52EE">
        <w:rPr>
          <w:sz w:val="20"/>
          <w:szCs w:val="20"/>
        </w:rPr>
        <w:t>,</w:t>
      </w:r>
      <w:r w:rsidR="00903A07" w:rsidRPr="00DC52EE">
        <w:rPr>
          <w:sz w:val="20"/>
          <w:szCs w:val="20"/>
        </w:rPr>
        <w:t xml:space="preserve"> </w:t>
      </w:r>
      <w:r w:rsidRPr="00DC52EE">
        <w:rPr>
          <w:sz w:val="20"/>
          <w:szCs w:val="20"/>
        </w:rPr>
        <w:t>H</w:t>
      </w:r>
      <w:r w:rsidR="00F11546" w:rsidRPr="00DC52EE">
        <w:rPr>
          <w:sz w:val="20"/>
          <w:szCs w:val="20"/>
        </w:rPr>
        <w:t>aramaya</w:t>
      </w:r>
      <w:r w:rsidR="00903A07" w:rsidRPr="00DC52EE">
        <w:rPr>
          <w:sz w:val="20"/>
          <w:szCs w:val="20"/>
        </w:rPr>
        <w:t xml:space="preserve"> </w:t>
      </w:r>
      <w:r w:rsidRPr="00DC52EE">
        <w:rPr>
          <w:sz w:val="20"/>
          <w:szCs w:val="20"/>
        </w:rPr>
        <w:t>U</w:t>
      </w:r>
      <w:r w:rsidR="00F11546" w:rsidRPr="00DC52EE">
        <w:rPr>
          <w:sz w:val="20"/>
          <w:szCs w:val="20"/>
        </w:rPr>
        <w:t>niversity</w:t>
      </w:r>
      <w:r w:rsidRPr="00DC52EE">
        <w:rPr>
          <w:sz w:val="20"/>
          <w:szCs w:val="20"/>
        </w:rPr>
        <w:t>,</w:t>
      </w:r>
      <w:r w:rsidR="00903A07" w:rsidRPr="00DC52EE">
        <w:rPr>
          <w:sz w:val="20"/>
          <w:szCs w:val="20"/>
        </w:rPr>
        <w:t xml:space="preserve"> </w:t>
      </w:r>
      <w:r w:rsidRPr="00DC52EE">
        <w:rPr>
          <w:sz w:val="20"/>
          <w:szCs w:val="20"/>
        </w:rPr>
        <w:t>F</w:t>
      </w:r>
      <w:r w:rsidR="00F11546" w:rsidRPr="00DC52EE">
        <w:rPr>
          <w:sz w:val="20"/>
          <w:szCs w:val="20"/>
        </w:rPr>
        <w:t>aculty</w:t>
      </w:r>
      <w:r w:rsidR="00903A07" w:rsidRPr="00DC52EE">
        <w:rPr>
          <w:sz w:val="20"/>
          <w:szCs w:val="20"/>
        </w:rPr>
        <w:t xml:space="preserve"> </w:t>
      </w:r>
      <w:r w:rsidR="00F11546" w:rsidRPr="00DC52EE">
        <w:rPr>
          <w:sz w:val="20"/>
          <w:szCs w:val="20"/>
        </w:rPr>
        <w:t>of</w:t>
      </w:r>
      <w:r w:rsidR="00903A07" w:rsidRPr="00DC52EE">
        <w:rPr>
          <w:sz w:val="20"/>
          <w:szCs w:val="20"/>
        </w:rPr>
        <w:t xml:space="preserve"> </w:t>
      </w:r>
      <w:r w:rsidRPr="00DC52EE">
        <w:rPr>
          <w:sz w:val="20"/>
          <w:szCs w:val="20"/>
        </w:rPr>
        <w:t>V</w:t>
      </w:r>
      <w:r w:rsidR="00F11546" w:rsidRPr="00DC52EE">
        <w:rPr>
          <w:sz w:val="20"/>
          <w:szCs w:val="20"/>
        </w:rPr>
        <w:t>eterinary</w:t>
      </w:r>
      <w:r w:rsidR="00903A07" w:rsidRPr="00DC52EE">
        <w:rPr>
          <w:sz w:val="20"/>
          <w:szCs w:val="20"/>
        </w:rPr>
        <w:t xml:space="preserve"> </w:t>
      </w:r>
      <w:r w:rsidRPr="00DC52EE">
        <w:rPr>
          <w:sz w:val="20"/>
          <w:szCs w:val="20"/>
        </w:rPr>
        <w:t>M</w:t>
      </w:r>
      <w:r w:rsidR="00F11546" w:rsidRPr="00DC52EE">
        <w:rPr>
          <w:sz w:val="20"/>
          <w:szCs w:val="20"/>
        </w:rPr>
        <w:t>edicine</w:t>
      </w:r>
      <w:r w:rsidR="000C5071" w:rsidRPr="00DC52EE">
        <w:rPr>
          <w:sz w:val="20"/>
          <w:szCs w:val="20"/>
        </w:rPr>
        <w:t>,</w:t>
      </w:r>
      <w:r w:rsidR="00903A07" w:rsidRPr="00DC52EE">
        <w:rPr>
          <w:sz w:val="20"/>
          <w:szCs w:val="20"/>
        </w:rPr>
        <w:t xml:space="preserve"> </w:t>
      </w:r>
      <w:r w:rsidR="000C5071" w:rsidRPr="00DC52EE">
        <w:rPr>
          <w:sz w:val="20"/>
          <w:szCs w:val="20"/>
        </w:rPr>
        <w:t>Haramaya</w:t>
      </w:r>
      <w:r w:rsidRPr="00DC52EE">
        <w:rPr>
          <w:sz w:val="20"/>
          <w:szCs w:val="20"/>
        </w:rPr>
        <w:t>,</w:t>
      </w:r>
      <w:r w:rsidR="00903A07" w:rsidRPr="00DC52EE">
        <w:rPr>
          <w:sz w:val="20"/>
          <w:szCs w:val="20"/>
        </w:rPr>
        <w:t xml:space="preserve"> </w:t>
      </w:r>
      <w:r w:rsidRPr="00DC52EE">
        <w:rPr>
          <w:sz w:val="20"/>
          <w:szCs w:val="20"/>
        </w:rPr>
        <w:t>Ethiopia.</w:t>
      </w:r>
    </w:p>
    <w:p w:rsidR="00903A07" w:rsidRPr="00DC52EE" w:rsidRDefault="008A6045"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Ngategize,</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Bekele,</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Tilahun,</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(1993):</w:t>
      </w:r>
      <w:r w:rsidR="00903A07" w:rsidRPr="00DC52EE">
        <w:rPr>
          <w:sz w:val="20"/>
          <w:szCs w:val="20"/>
        </w:rPr>
        <w:t xml:space="preserve"> </w:t>
      </w:r>
      <w:r w:rsidRPr="00DC52EE">
        <w:rPr>
          <w:sz w:val="20"/>
          <w:szCs w:val="20"/>
        </w:rPr>
        <w:t>Financial</w:t>
      </w:r>
      <w:r w:rsidR="00903A07" w:rsidRPr="00DC52EE">
        <w:rPr>
          <w:sz w:val="20"/>
          <w:szCs w:val="20"/>
        </w:rPr>
        <w:t xml:space="preserve"> </w:t>
      </w:r>
      <w:r w:rsidRPr="00DC52EE">
        <w:rPr>
          <w:sz w:val="20"/>
          <w:szCs w:val="20"/>
        </w:rPr>
        <w:t>losses</w:t>
      </w:r>
      <w:r w:rsidR="00903A07" w:rsidRPr="00DC52EE">
        <w:rPr>
          <w:sz w:val="20"/>
          <w:szCs w:val="20"/>
        </w:rPr>
        <w:t xml:space="preserve"> </w:t>
      </w:r>
      <w:r w:rsidRPr="00DC52EE">
        <w:rPr>
          <w:sz w:val="20"/>
          <w:szCs w:val="20"/>
        </w:rPr>
        <w:t>caused</w:t>
      </w:r>
      <w:r w:rsidR="00903A07" w:rsidRPr="00DC52EE">
        <w:rPr>
          <w:sz w:val="20"/>
          <w:szCs w:val="20"/>
        </w:rPr>
        <w:t xml:space="preserve"> </w:t>
      </w:r>
      <w:r w:rsidRPr="00DC52EE">
        <w:rPr>
          <w:sz w:val="20"/>
          <w:szCs w:val="20"/>
        </w:rPr>
        <w:t>by</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fasciolosis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Ethiopian</w:t>
      </w:r>
      <w:r w:rsidR="00903A07" w:rsidRPr="00DC52EE">
        <w:rPr>
          <w:sz w:val="20"/>
          <w:szCs w:val="20"/>
        </w:rPr>
        <w:t xml:space="preserve"> </w:t>
      </w:r>
      <w:r w:rsidRPr="00DC52EE">
        <w:rPr>
          <w:sz w:val="20"/>
          <w:szCs w:val="20"/>
        </w:rPr>
        <w:t>highlands.</w:t>
      </w:r>
      <w:r w:rsidR="00903A07" w:rsidRPr="00DC52EE">
        <w:rPr>
          <w:sz w:val="20"/>
          <w:szCs w:val="20"/>
        </w:rPr>
        <w:t xml:space="preserve"> </w:t>
      </w:r>
      <w:r w:rsidRPr="00DC52EE">
        <w:rPr>
          <w:i/>
          <w:sz w:val="20"/>
          <w:szCs w:val="20"/>
        </w:rPr>
        <w:t>Trop</w:t>
      </w:r>
      <w:r w:rsidR="00867691" w:rsidRPr="00DC52EE">
        <w:rPr>
          <w:i/>
          <w:sz w:val="20"/>
          <w:szCs w:val="20"/>
        </w:rPr>
        <w:t>.</w:t>
      </w:r>
      <w:r w:rsidR="00903A07" w:rsidRPr="00DC52EE">
        <w:rPr>
          <w:i/>
          <w:sz w:val="20"/>
          <w:szCs w:val="20"/>
        </w:rPr>
        <w:t xml:space="preserve"> </w:t>
      </w:r>
      <w:r w:rsidR="00052E7B" w:rsidRPr="00DC52EE">
        <w:rPr>
          <w:i/>
          <w:sz w:val="20"/>
          <w:szCs w:val="20"/>
        </w:rPr>
        <w:t>Anim.</w:t>
      </w:r>
      <w:r w:rsidR="00903A07" w:rsidRPr="00DC52EE">
        <w:rPr>
          <w:i/>
          <w:sz w:val="20"/>
          <w:szCs w:val="20"/>
        </w:rPr>
        <w:t xml:space="preserve"> </w:t>
      </w:r>
      <w:r w:rsidR="00052E7B" w:rsidRPr="00DC52EE">
        <w:rPr>
          <w:i/>
          <w:sz w:val="20"/>
          <w:szCs w:val="20"/>
        </w:rPr>
        <w:t>Health.</w:t>
      </w:r>
      <w:r w:rsidR="00903A07" w:rsidRPr="00DC52EE">
        <w:rPr>
          <w:i/>
          <w:sz w:val="20"/>
          <w:szCs w:val="20"/>
        </w:rPr>
        <w:t xml:space="preserve"> </w:t>
      </w:r>
      <w:r w:rsidR="000C5071" w:rsidRPr="00DC52EE">
        <w:rPr>
          <w:i/>
          <w:sz w:val="20"/>
          <w:szCs w:val="20"/>
        </w:rPr>
        <w:t>And</w:t>
      </w:r>
      <w:r w:rsidR="00903A07" w:rsidRPr="00DC52EE">
        <w:rPr>
          <w:i/>
          <w:sz w:val="20"/>
          <w:szCs w:val="20"/>
        </w:rPr>
        <w:t xml:space="preserve"> </w:t>
      </w:r>
      <w:r w:rsidR="00052E7B" w:rsidRPr="00DC52EE">
        <w:rPr>
          <w:i/>
          <w:sz w:val="20"/>
          <w:szCs w:val="20"/>
        </w:rPr>
        <w:t>Pro.</w:t>
      </w:r>
      <w:r w:rsidR="00BB7760" w:rsidRPr="00DC52EE">
        <w:rPr>
          <w:rFonts w:hint="eastAsia"/>
          <w:i/>
          <w:sz w:val="20"/>
          <w:szCs w:val="20"/>
          <w:lang w:eastAsia="zh-CN"/>
        </w:rPr>
        <w:t>,</w:t>
      </w:r>
      <w:r w:rsidR="00903A07" w:rsidRPr="00DC52EE">
        <w:rPr>
          <w:i/>
          <w:iCs/>
          <w:sz w:val="20"/>
          <w:szCs w:val="20"/>
        </w:rPr>
        <w:t xml:space="preserve"> </w:t>
      </w:r>
      <w:r w:rsidRPr="00DC52EE">
        <w:rPr>
          <w:sz w:val="20"/>
          <w:szCs w:val="20"/>
        </w:rPr>
        <w:t>25:</w:t>
      </w:r>
      <w:r w:rsidR="00903A07" w:rsidRPr="00DC52EE">
        <w:rPr>
          <w:sz w:val="20"/>
          <w:szCs w:val="20"/>
        </w:rPr>
        <w:t xml:space="preserve"> </w:t>
      </w:r>
      <w:r w:rsidRPr="00DC52EE">
        <w:rPr>
          <w:sz w:val="20"/>
          <w:szCs w:val="20"/>
        </w:rPr>
        <w:t>155-161</w:t>
      </w:r>
      <w:r w:rsidR="00DB17A1" w:rsidRPr="00DC52EE">
        <w:rPr>
          <w:sz w:val="20"/>
          <w:szCs w:val="20"/>
        </w:rPr>
        <w:t>.</w:t>
      </w:r>
    </w:p>
    <w:p w:rsidR="00903A07" w:rsidRPr="00DC52EE" w:rsidRDefault="00B046AD" w:rsidP="00BB7760">
      <w:pPr>
        <w:pStyle w:val="ListParagraph"/>
        <w:numPr>
          <w:ilvl w:val="0"/>
          <w:numId w:val="21"/>
        </w:numPr>
        <w:autoSpaceDE w:val="0"/>
        <w:autoSpaceDN w:val="0"/>
        <w:adjustRightInd w:val="0"/>
        <w:snapToGrid w:val="0"/>
        <w:spacing w:after="0" w:line="240" w:lineRule="auto"/>
        <w:ind w:left="425" w:hanging="425"/>
        <w:jc w:val="both"/>
        <w:rPr>
          <w:i/>
          <w:iCs/>
          <w:sz w:val="20"/>
          <w:szCs w:val="20"/>
        </w:rPr>
      </w:pPr>
      <w:r w:rsidRPr="00DC52EE">
        <w:rPr>
          <w:iCs/>
          <w:sz w:val="20"/>
          <w:szCs w:val="20"/>
        </w:rPr>
        <w:t>Nuraddis,</w:t>
      </w:r>
      <w:r w:rsidR="00903A07" w:rsidRPr="00DC52EE">
        <w:rPr>
          <w:iCs/>
          <w:sz w:val="20"/>
          <w:szCs w:val="20"/>
        </w:rPr>
        <w:t xml:space="preserve"> </w:t>
      </w:r>
      <w:r w:rsidRPr="00DC52EE">
        <w:rPr>
          <w:iCs/>
          <w:sz w:val="20"/>
          <w:szCs w:val="20"/>
        </w:rPr>
        <w:t>I.,</w:t>
      </w:r>
      <w:r w:rsidR="00903A07" w:rsidRPr="00DC52EE">
        <w:rPr>
          <w:iCs/>
          <w:sz w:val="20"/>
          <w:szCs w:val="20"/>
        </w:rPr>
        <w:t xml:space="preserve"> </w:t>
      </w:r>
      <w:r w:rsidRPr="00DC52EE">
        <w:rPr>
          <w:iCs/>
          <w:sz w:val="20"/>
          <w:szCs w:val="20"/>
        </w:rPr>
        <w:t>Mulugeta,</w:t>
      </w:r>
      <w:r w:rsidR="00903A07" w:rsidRPr="00DC52EE">
        <w:rPr>
          <w:iCs/>
          <w:sz w:val="20"/>
          <w:szCs w:val="20"/>
        </w:rPr>
        <w:t xml:space="preserve"> </w:t>
      </w:r>
      <w:r w:rsidRPr="00DC52EE">
        <w:rPr>
          <w:iCs/>
          <w:sz w:val="20"/>
          <w:szCs w:val="20"/>
        </w:rPr>
        <w:t>T.,</w:t>
      </w:r>
      <w:r w:rsidR="00903A07" w:rsidRPr="00DC52EE">
        <w:rPr>
          <w:iCs/>
          <w:sz w:val="20"/>
          <w:szCs w:val="20"/>
        </w:rPr>
        <w:t xml:space="preserve"> </w:t>
      </w:r>
      <w:r w:rsidRPr="00DC52EE">
        <w:rPr>
          <w:iCs/>
          <w:sz w:val="20"/>
          <w:szCs w:val="20"/>
        </w:rPr>
        <w:t>Mihreteab,</w:t>
      </w:r>
      <w:r w:rsidR="00903A07" w:rsidRPr="00DC52EE">
        <w:rPr>
          <w:iCs/>
          <w:sz w:val="20"/>
          <w:szCs w:val="20"/>
        </w:rPr>
        <w:t xml:space="preserve"> </w:t>
      </w:r>
      <w:r w:rsidRPr="00DC52EE">
        <w:rPr>
          <w:iCs/>
          <w:sz w:val="20"/>
          <w:szCs w:val="20"/>
        </w:rPr>
        <w:t>B.</w:t>
      </w:r>
      <w:r w:rsidR="00903A07" w:rsidRPr="00DC52EE">
        <w:rPr>
          <w:iCs/>
          <w:sz w:val="20"/>
          <w:szCs w:val="20"/>
        </w:rPr>
        <w:t xml:space="preserve"> </w:t>
      </w:r>
      <w:r w:rsidRPr="00DC52EE">
        <w:rPr>
          <w:iCs/>
          <w:sz w:val="20"/>
          <w:szCs w:val="20"/>
        </w:rPr>
        <w:t>and</w:t>
      </w:r>
      <w:r w:rsidR="00903A07" w:rsidRPr="00DC52EE">
        <w:rPr>
          <w:iCs/>
          <w:sz w:val="20"/>
          <w:szCs w:val="20"/>
        </w:rPr>
        <w:t xml:space="preserve"> </w:t>
      </w:r>
      <w:r w:rsidRPr="00DC52EE">
        <w:rPr>
          <w:iCs/>
          <w:sz w:val="20"/>
          <w:szCs w:val="20"/>
        </w:rPr>
        <w:t>Sisay,</w:t>
      </w:r>
      <w:r w:rsidR="00903A07" w:rsidRPr="00DC52EE">
        <w:rPr>
          <w:iCs/>
          <w:sz w:val="20"/>
          <w:szCs w:val="20"/>
        </w:rPr>
        <w:t xml:space="preserve"> </w:t>
      </w:r>
      <w:r w:rsidRPr="00DC52EE">
        <w:rPr>
          <w:iCs/>
          <w:sz w:val="20"/>
          <w:szCs w:val="20"/>
        </w:rPr>
        <w:t>A.</w:t>
      </w:r>
      <w:r w:rsidR="00903A07" w:rsidRPr="00DC52EE">
        <w:rPr>
          <w:iCs/>
          <w:sz w:val="20"/>
          <w:szCs w:val="20"/>
        </w:rPr>
        <w:t xml:space="preserve"> </w:t>
      </w:r>
      <w:r w:rsidRPr="00DC52EE">
        <w:rPr>
          <w:iCs/>
          <w:sz w:val="20"/>
          <w:szCs w:val="20"/>
        </w:rPr>
        <w:t>(2014):</w:t>
      </w:r>
      <w:r w:rsidR="00903A07" w:rsidRPr="00DC52EE">
        <w:rPr>
          <w:iCs/>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Jimma</w:t>
      </w:r>
      <w:r w:rsidR="00903A07" w:rsidRPr="00DC52EE">
        <w:rPr>
          <w:sz w:val="20"/>
          <w:szCs w:val="20"/>
        </w:rPr>
        <w:t xml:space="preserve"> </w:t>
      </w:r>
      <w:r w:rsidRPr="00DC52EE">
        <w:rPr>
          <w:sz w:val="20"/>
          <w:szCs w:val="20"/>
        </w:rPr>
        <w:t>Town,</w:t>
      </w:r>
      <w:r w:rsidR="00903A07" w:rsidRPr="00DC52EE">
        <w:rPr>
          <w:sz w:val="20"/>
          <w:szCs w:val="20"/>
        </w:rPr>
        <w:t xml:space="preserve"> </w:t>
      </w:r>
      <w:r w:rsidRPr="00DC52EE">
        <w:rPr>
          <w:sz w:val="20"/>
          <w:szCs w:val="20"/>
        </w:rPr>
        <w:t>Western</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Jimma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School</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Jimma,</w:t>
      </w:r>
      <w:r w:rsidR="00903A07" w:rsidRPr="00DC52EE">
        <w:rPr>
          <w:sz w:val="20"/>
          <w:szCs w:val="20"/>
        </w:rPr>
        <w:t xml:space="preserve"> </w:t>
      </w:r>
      <w:r w:rsidRPr="00DC52EE">
        <w:rPr>
          <w:sz w:val="20"/>
          <w:szCs w:val="20"/>
        </w:rPr>
        <w:t>Ethiopia</w:t>
      </w:r>
      <w:r w:rsidR="00BB7760" w:rsidRPr="00DC52EE">
        <w:rPr>
          <w:i/>
          <w:sz w:val="20"/>
          <w:szCs w:val="20"/>
        </w:rPr>
        <w:t xml:space="preserve">. </w:t>
      </w:r>
      <w:r w:rsidR="00BB7760" w:rsidRPr="00DC52EE">
        <w:rPr>
          <w:i/>
          <w:iCs/>
          <w:sz w:val="20"/>
          <w:szCs w:val="20"/>
        </w:rPr>
        <w:t>A</w:t>
      </w:r>
      <w:r w:rsidR="00676399" w:rsidRPr="00DC52EE">
        <w:rPr>
          <w:i/>
          <w:iCs/>
          <w:sz w:val="20"/>
          <w:szCs w:val="20"/>
        </w:rPr>
        <w:t>ctaParas.</w:t>
      </w:r>
      <w:r w:rsidR="00903A07" w:rsidRPr="00DC52EE">
        <w:rPr>
          <w:i/>
          <w:iCs/>
          <w:sz w:val="20"/>
          <w:szCs w:val="20"/>
        </w:rPr>
        <w:t xml:space="preserve"> </w:t>
      </w:r>
      <w:r w:rsidR="00676399" w:rsidRPr="00DC52EE">
        <w:rPr>
          <w:i/>
          <w:iCs/>
          <w:sz w:val="20"/>
          <w:szCs w:val="20"/>
        </w:rPr>
        <w:t>Glob.5</w:t>
      </w:r>
      <w:r w:rsidR="00903A07" w:rsidRPr="00DC52EE">
        <w:rPr>
          <w:i/>
          <w:iCs/>
          <w:sz w:val="20"/>
          <w:szCs w:val="20"/>
        </w:rPr>
        <w:t xml:space="preserve"> </w:t>
      </w:r>
      <w:r w:rsidR="00676399" w:rsidRPr="00DC52EE">
        <w:rPr>
          <w:i/>
          <w:iCs/>
          <w:sz w:val="20"/>
          <w:szCs w:val="20"/>
        </w:rPr>
        <w:t>(1):</w:t>
      </w:r>
      <w:r w:rsidR="00903A07" w:rsidRPr="00DC52EE">
        <w:rPr>
          <w:i/>
          <w:iCs/>
          <w:sz w:val="20"/>
          <w:szCs w:val="20"/>
        </w:rPr>
        <w:t xml:space="preserve"> </w:t>
      </w:r>
      <w:r w:rsidR="00676399" w:rsidRPr="00DC52EE">
        <w:rPr>
          <w:i/>
          <w:iCs/>
          <w:sz w:val="20"/>
          <w:szCs w:val="20"/>
        </w:rPr>
        <w:t>26-32.</w:t>
      </w:r>
    </w:p>
    <w:p w:rsidR="00903A07" w:rsidRPr="00DC52EE" w:rsidRDefault="002259D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Pedreira,</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Silva,</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Andrade,</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Suarez,</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Arias,</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Lomba,</w:t>
      </w:r>
      <w:r w:rsidR="00903A07" w:rsidRPr="00DC52EE">
        <w:rPr>
          <w:sz w:val="20"/>
          <w:szCs w:val="20"/>
        </w:rPr>
        <w:t xml:space="preserve"> </w:t>
      </w:r>
      <w:r w:rsidRPr="00DC52EE">
        <w:rPr>
          <w:sz w:val="20"/>
          <w:szCs w:val="20"/>
        </w:rPr>
        <w:t>C.,</w:t>
      </w:r>
      <w:r w:rsidR="00903A07" w:rsidRPr="00DC52EE">
        <w:rPr>
          <w:sz w:val="20"/>
          <w:szCs w:val="20"/>
        </w:rPr>
        <w:t xml:space="preserve"> </w:t>
      </w:r>
      <w:r w:rsidRPr="00DC52EE">
        <w:rPr>
          <w:sz w:val="20"/>
          <w:szCs w:val="20"/>
        </w:rPr>
        <w:t>Diaz,</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Lopez,</w:t>
      </w:r>
      <w:r w:rsidR="00903A07" w:rsidRPr="00DC52EE">
        <w:rPr>
          <w:sz w:val="20"/>
          <w:szCs w:val="20"/>
        </w:rPr>
        <w:t xml:space="preserve"> </w:t>
      </w:r>
      <w:r w:rsidRPr="00DC52EE">
        <w:rPr>
          <w:sz w:val="20"/>
          <w:szCs w:val="20"/>
        </w:rPr>
        <w:t>C.,</w:t>
      </w:r>
      <w:r w:rsidR="00903A07" w:rsidRPr="00DC52EE">
        <w:rPr>
          <w:sz w:val="20"/>
          <w:szCs w:val="20"/>
        </w:rPr>
        <w:t xml:space="preserve"> </w:t>
      </w:r>
      <w:r w:rsidRPr="00DC52EE">
        <w:rPr>
          <w:sz w:val="20"/>
          <w:szCs w:val="20"/>
        </w:rPr>
        <w:t>Banos,</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Morrondo,</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(2006):</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sz w:val="20"/>
          <w:szCs w:val="20"/>
        </w:rPr>
        <w:t>practices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North-West</w:t>
      </w:r>
      <w:r w:rsidR="00903A07" w:rsidRPr="00DC52EE">
        <w:rPr>
          <w:sz w:val="20"/>
          <w:szCs w:val="20"/>
        </w:rPr>
        <w:t xml:space="preserve"> </w:t>
      </w:r>
      <w:r w:rsidRPr="00DC52EE">
        <w:rPr>
          <w:sz w:val="20"/>
          <w:szCs w:val="20"/>
        </w:rPr>
        <w:t>Spain.</w:t>
      </w:r>
      <w:r w:rsidR="00903A07" w:rsidRPr="00DC52EE">
        <w:rPr>
          <w:sz w:val="20"/>
          <w:szCs w:val="20"/>
        </w:rPr>
        <w:t xml:space="preserve"> </w:t>
      </w:r>
      <w:r w:rsidRPr="00DC52EE">
        <w:rPr>
          <w:i/>
          <w:sz w:val="20"/>
          <w:szCs w:val="20"/>
        </w:rPr>
        <w:t>Prev.</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Med</w:t>
      </w:r>
      <w:r w:rsidR="005D2EB5" w:rsidRPr="00DC52EE">
        <w:rPr>
          <w:sz w:val="20"/>
          <w:szCs w:val="20"/>
        </w:rPr>
        <w:t>.,</w:t>
      </w:r>
      <w:r w:rsidR="00903A07" w:rsidRPr="00DC52EE">
        <w:rPr>
          <w:sz w:val="20"/>
          <w:szCs w:val="20"/>
        </w:rPr>
        <w:t xml:space="preserve"> </w:t>
      </w:r>
      <w:r w:rsidRPr="00DC52EE">
        <w:rPr>
          <w:sz w:val="20"/>
          <w:szCs w:val="20"/>
        </w:rPr>
        <w:t>75:</w:t>
      </w:r>
      <w:r w:rsidR="00903A07" w:rsidRPr="00DC52EE">
        <w:rPr>
          <w:sz w:val="20"/>
          <w:szCs w:val="20"/>
        </w:rPr>
        <w:t xml:space="preserve"> </w:t>
      </w:r>
      <w:r w:rsidRPr="00DC52EE">
        <w:rPr>
          <w:sz w:val="20"/>
          <w:szCs w:val="20"/>
        </w:rPr>
        <w:t>56-62.</w:t>
      </w:r>
    </w:p>
    <w:p w:rsidR="00903A07" w:rsidRPr="00DC52EE" w:rsidRDefault="00807A1E"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Pomroy,</w:t>
      </w:r>
      <w:r w:rsidR="00903A07" w:rsidRPr="00DC52EE">
        <w:rPr>
          <w:sz w:val="20"/>
          <w:szCs w:val="20"/>
        </w:rPr>
        <w:t xml:space="preserve"> </w:t>
      </w:r>
      <w:r w:rsidRPr="00DC52EE">
        <w:rPr>
          <w:sz w:val="20"/>
          <w:szCs w:val="20"/>
        </w:rPr>
        <w:t>W.E.</w:t>
      </w:r>
      <w:r w:rsidR="00903A07" w:rsidRPr="00DC52EE">
        <w:rPr>
          <w:sz w:val="20"/>
          <w:szCs w:val="20"/>
        </w:rPr>
        <w:t xml:space="preserve"> </w:t>
      </w:r>
      <w:r w:rsidRPr="00DC52EE">
        <w:rPr>
          <w:sz w:val="20"/>
          <w:szCs w:val="20"/>
        </w:rPr>
        <w:t>(1997):</w:t>
      </w:r>
      <w:r w:rsidR="00903A07" w:rsidRPr="00DC52EE">
        <w:rPr>
          <w:sz w:val="20"/>
          <w:szCs w:val="20"/>
        </w:rPr>
        <w:t xml:space="preserve"> </w:t>
      </w:r>
      <w:r w:rsidRPr="00DC52EE">
        <w:rPr>
          <w:sz w:val="20"/>
          <w:szCs w:val="20"/>
        </w:rPr>
        <w:t>Internal</w:t>
      </w:r>
      <w:r w:rsidR="00903A07" w:rsidRPr="00DC52EE">
        <w:rPr>
          <w:sz w:val="20"/>
          <w:szCs w:val="20"/>
        </w:rPr>
        <w:t xml:space="preserve"> </w:t>
      </w:r>
      <w:r w:rsidRPr="00DC52EE">
        <w:rPr>
          <w:sz w:val="20"/>
          <w:szCs w:val="20"/>
        </w:rPr>
        <w:t>helminth</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New</w:t>
      </w:r>
      <w:r w:rsidR="00903A07" w:rsidRPr="00DC52EE">
        <w:rPr>
          <w:sz w:val="20"/>
          <w:szCs w:val="20"/>
        </w:rPr>
        <w:t xml:space="preserve"> </w:t>
      </w:r>
      <w:r w:rsidRPr="00DC52EE">
        <w:rPr>
          <w:sz w:val="20"/>
          <w:szCs w:val="20"/>
        </w:rPr>
        <w:t>Zealand.</w:t>
      </w:r>
      <w:r w:rsidR="00903A07" w:rsidRPr="00DC52EE">
        <w:rPr>
          <w:sz w:val="20"/>
          <w:szCs w:val="20"/>
        </w:rPr>
        <w:t xml:space="preserve"> </w:t>
      </w:r>
      <w:r w:rsidRPr="00DC52EE">
        <w:rPr>
          <w:iCs/>
          <w:sz w:val="20"/>
          <w:szCs w:val="20"/>
        </w:rPr>
        <w:t>In:</w:t>
      </w:r>
      <w:r w:rsidR="00903A07" w:rsidRPr="00DC52EE">
        <w:rPr>
          <w:iCs/>
          <w:sz w:val="20"/>
          <w:szCs w:val="20"/>
        </w:rPr>
        <w:t xml:space="preserve"> </w:t>
      </w:r>
      <w:r w:rsidR="000C40A5" w:rsidRPr="00DC52EE">
        <w:rPr>
          <w:iCs/>
          <w:sz w:val="20"/>
          <w:szCs w:val="20"/>
        </w:rPr>
        <w:t>Sustainable</w:t>
      </w:r>
      <w:r w:rsidR="00903A07" w:rsidRPr="00DC52EE">
        <w:rPr>
          <w:iCs/>
          <w:sz w:val="20"/>
          <w:szCs w:val="20"/>
        </w:rPr>
        <w:t xml:space="preserve"> </w:t>
      </w:r>
      <w:r w:rsidR="000C40A5" w:rsidRPr="00DC52EE">
        <w:rPr>
          <w:iCs/>
          <w:sz w:val="20"/>
          <w:szCs w:val="20"/>
        </w:rPr>
        <w:t>control</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internal</w:t>
      </w:r>
      <w:r w:rsidR="00903A07" w:rsidRPr="00DC52EE">
        <w:rPr>
          <w:iCs/>
          <w:sz w:val="20"/>
          <w:szCs w:val="20"/>
        </w:rPr>
        <w:t xml:space="preserve"> </w:t>
      </w:r>
      <w:r w:rsidRPr="00DC52EE">
        <w:rPr>
          <w:iCs/>
          <w:sz w:val="20"/>
          <w:szCs w:val="20"/>
        </w:rPr>
        <w:t>parasites</w:t>
      </w:r>
      <w:r w:rsidR="00903A07" w:rsidRPr="00DC52EE">
        <w:rPr>
          <w:iCs/>
          <w:sz w:val="20"/>
          <w:szCs w:val="20"/>
        </w:rPr>
        <w:t xml:space="preserve"> </w:t>
      </w:r>
      <w:r w:rsidRPr="00DC52EE">
        <w:rPr>
          <w:iCs/>
          <w:sz w:val="20"/>
          <w:szCs w:val="20"/>
        </w:rPr>
        <w:t>in</w:t>
      </w:r>
      <w:r w:rsidR="00903A07" w:rsidRPr="00DC52EE">
        <w:rPr>
          <w:iCs/>
          <w:sz w:val="20"/>
          <w:szCs w:val="20"/>
        </w:rPr>
        <w:t xml:space="preserve"> </w:t>
      </w:r>
      <w:r w:rsidRPr="00DC52EE">
        <w:rPr>
          <w:iCs/>
          <w:sz w:val="20"/>
          <w:szCs w:val="20"/>
        </w:rPr>
        <w:t>ruminants</w:t>
      </w:r>
      <w:r w:rsidRPr="00DC52EE">
        <w:rPr>
          <w:i/>
          <w:iCs/>
          <w:sz w:val="20"/>
          <w:szCs w:val="20"/>
        </w:rPr>
        <w:t>.</w:t>
      </w:r>
      <w:r w:rsidR="00903A07" w:rsidRPr="00DC52EE">
        <w:rPr>
          <w:i/>
          <w:iCs/>
          <w:sz w:val="20"/>
          <w:szCs w:val="20"/>
        </w:rPr>
        <w:t xml:space="preserve"> </w:t>
      </w:r>
      <w:r w:rsidRPr="00DC52EE">
        <w:rPr>
          <w:iCs/>
          <w:sz w:val="20"/>
          <w:szCs w:val="20"/>
        </w:rPr>
        <w:t>Ed.</w:t>
      </w:r>
      <w:r w:rsidR="00903A07" w:rsidRPr="00DC52EE">
        <w:rPr>
          <w:iCs/>
          <w:sz w:val="20"/>
          <w:szCs w:val="20"/>
        </w:rPr>
        <w:t xml:space="preserve"> </w:t>
      </w:r>
      <w:r w:rsidRPr="00DC52EE">
        <w:rPr>
          <w:iCs/>
          <w:sz w:val="20"/>
          <w:szCs w:val="20"/>
        </w:rPr>
        <w:t>G.K.</w:t>
      </w:r>
      <w:r w:rsidR="00903A07" w:rsidRPr="00DC52EE">
        <w:rPr>
          <w:iCs/>
          <w:sz w:val="20"/>
          <w:szCs w:val="20"/>
        </w:rPr>
        <w:t xml:space="preserve"> </w:t>
      </w:r>
      <w:r w:rsidRPr="00DC52EE">
        <w:rPr>
          <w:iCs/>
          <w:sz w:val="20"/>
          <w:szCs w:val="20"/>
        </w:rPr>
        <w:t>Barrell.</w:t>
      </w:r>
      <w:r w:rsidR="00903A07" w:rsidRPr="00DC52EE">
        <w:rPr>
          <w:iCs/>
          <w:sz w:val="20"/>
          <w:szCs w:val="20"/>
        </w:rPr>
        <w:t xml:space="preserve"> </w:t>
      </w:r>
      <w:r w:rsidRPr="00DC52EE">
        <w:rPr>
          <w:iCs/>
          <w:sz w:val="20"/>
          <w:szCs w:val="20"/>
        </w:rPr>
        <w:t>Animal</w:t>
      </w:r>
      <w:r w:rsidR="00903A07" w:rsidRPr="00DC52EE">
        <w:rPr>
          <w:iCs/>
          <w:sz w:val="20"/>
          <w:szCs w:val="20"/>
        </w:rPr>
        <w:t xml:space="preserve"> </w:t>
      </w:r>
      <w:r w:rsidRPr="00DC52EE">
        <w:rPr>
          <w:iCs/>
          <w:sz w:val="20"/>
          <w:szCs w:val="20"/>
        </w:rPr>
        <w:t>Industries</w:t>
      </w:r>
      <w:r w:rsidR="00903A07" w:rsidRPr="00DC52EE">
        <w:rPr>
          <w:iCs/>
          <w:sz w:val="20"/>
          <w:szCs w:val="20"/>
        </w:rPr>
        <w:t xml:space="preserve"> </w:t>
      </w:r>
      <w:r w:rsidRPr="00DC52EE">
        <w:rPr>
          <w:iCs/>
          <w:sz w:val="20"/>
          <w:szCs w:val="20"/>
        </w:rPr>
        <w:t>Workshop</w:t>
      </w:r>
      <w:r w:rsidRPr="00DC52EE">
        <w:rPr>
          <w:i/>
          <w:iCs/>
          <w:sz w:val="20"/>
          <w:szCs w:val="20"/>
        </w:rPr>
        <w:t>:</w:t>
      </w:r>
      <w:r w:rsidR="00903A07" w:rsidRPr="00DC52EE">
        <w:rPr>
          <w:i/>
          <w:iCs/>
          <w:sz w:val="20"/>
          <w:szCs w:val="20"/>
        </w:rPr>
        <w:t xml:space="preserve"> </w:t>
      </w:r>
      <w:r w:rsidRPr="00DC52EE">
        <w:rPr>
          <w:iCs/>
          <w:sz w:val="20"/>
          <w:szCs w:val="20"/>
        </w:rPr>
        <w:t>Chapter</w:t>
      </w:r>
      <w:r w:rsidR="00903A07" w:rsidRPr="00DC52EE">
        <w:rPr>
          <w:iCs/>
          <w:sz w:val="20"/>
          <w:szCs w:val="20"/>
        </w:rPr>
        <w:t xml:space="preserve"> </w:t>
      </w:r>
      <w:r w:rsidRPr="00DC52EE">
        <w:rPr>
          <w:iCs/>
          <w:sz w:val="20"/>
          <w:szCs w:val="20"/>
        </w:rPr>
        <w:t>2:</w:t>
      </w:r>
      <w:r w:rsidR="00903A07" w:rsidRPr="00DC52EE">
        <w:rPr>
          <w:iCs/>
          <w:sz w:val="20"/>
          <w:szCs w:val="20"/>
        </w:rPr>
        <w:t xml:space="preserve"> </w:t>
      </w:r>
      <w:r w:rsidRPr="00DC52EE">
        <w:rPr>
          <w:sz w:val="20"/>
          <w:szCs w:val="20"/>
        </w:rPr>
        <w:t>11-23.</w:t>
      </w:r>
    </w:p>
    <w:p w:rsidR="00903A07" w:rsidRPr="00DC52EE" w:rsidRDefault="00EA7EC2"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Raza,</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Murtaza,</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Bachaya,</w:t>
      </w:r>
      <w:r w:rsidR="00903A07" w:rsidRPr="00DC52EE">
        <w:rPr>
          <w:sz w:val="20"/>
          <w:szCs w:val="20"/>
        </w:rPr>
        <w:t xml:space="preserve"> </w:t>
      </w:r>
      <w:r w:rsidRPr="00DC52EE">
        <w:rPr>
          <w:sz w:val="20"/>
          <w:szCs w:val="20"/>
        </w:rPr>
        <w:t>H.,</w:t>
      </w:r>
      <w:r w:rsidR="00903A07" w:rsidRPr="00DC52EE">
        <w:rPr>
          <w:sz w:val="20"/>
          <w:szCs w:val="20"/>
        </w:rPr>
        <w:t xml:space="preserve"> </w:t>
      </w:r>
      <w:r w:rsidRPr="00DC52EE">
        <w:rPr>
          <w:sz w:val="20"/>
          <w:szCs w:val="20"/>
        </w:rPr>
        <w:t>Qayyum,</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Zaman,</w:t>
      </w:r>
      <w:r w:rsidR="00903A07" w:rsidRPr="00DC52EE">
        <w:rPr>
          <w:sz w:val="20"/>
          <w:szCs w:val="20"/>
        </w:rPr>
        <w:t xml:space="preserve"> </w:t>
      </w:r>
      <w:r w:rsidR="00697A87" w:rsidRPr="00DC52EE">
        <w:rPr>
          <w:sz w:val="20"/>
          <w:szCs w:val="20"/>
        </w:rPr>
        <w:t>M.</w:t>
      </w:r>
      <w:r w:rsidR="00903A07" w:rsidRPr="00DC52EE">
        <w:rPr>
          <w:sz w:val="20"/>
          <w:szCs w:val="20"/>
        </w:rPr>
        <w:t xml:space="preserve"> </w:t>
      </w:r>
      <w:r w:rsidR="00697A87" w:rsidRPr="00DC52EE">
        <w:rPr>
          <w:sz w:val="20"/>
          <w:szCs w:val="20"/>
        </w:rPr>
        <w:t>(2010):</w:t>
      </w:r>
      <w:r w:rsidR="00903A07" w:rsidRPr="00DC52EE">
        <w:rPr>
          <w:sz w:val="20"/>
          <w:szCs w:val="20"/>
        </w:rPr>
        <w:t xml:space="preserve"> </w:t>
      </w:r>
      <w:r w:rsidR="00697A87" w:rsidRPr="00DC52EE">
        <w:rPr>
          <w:sz w:val="20"/>
          <w:szCs w:val="20"/>
        </w:rPr>
        <w:t>Point</w:t>
      </w:r>
      <w:r w:rsidR="00903A07" w:rsidRPr="00DC52EE">
        <w:rPr>
          <w:sz w:val="20"/>
          <w:szCs w:val="20"/>
        </w:rPr>
        <w:t xml:space="preserve"> </w:t>
      </w:r>
      <w:r w:rsidR="00697A87" w:rsidRPr="00DC52EE">
        <w:rPr>
          <w:sz w:val="20"/>
          <w:szCs w:val="20"/>
        </w:rPr>
        <w:t>prevalence</w:t>
      </w:r>
      <w:r w:rsidR="00903A07" w:rsidRPr="00DC52EE">
        <w:rPr>
          <w:sz w:val="20"/>
          <w:szCs w:val="20"/>
        </w:rPr>
        <w:t xml:space="preserve"> </w:t>
      </w:r>
      <w:r w:rsidR="00697A87" w:rsidRPr="00DC52EE">
        <w:rPr>
          <w:sz w:val="20"/>
          <w:szCs w:val="20"/>
        </w:rPr>
        <w:t>of</w:t>
      </w:r>
      <w:r w:rsidR="00903A07" w:rsidRPr="00DC52EE">
        <w:rPr>
          <w:sz w:val="20"/>
          <w:szCs w:val="20"/>
        </w:rPr>
        <w:t xml:space="preserve"> </w:t>
      </w:r>
      <w:r w:rsidRPr="00DC52EE">
        <w:rPr>
          <w:i/>
          <w:iCs/>
          <w:sz w:val="20"/>
          <w:szCs w:val="20"/>
        </w:rPr>
        <w:t>Toxocara</w:t>
      </w:r>
      <w:r w:rsidR="00903A07" w:rsidRPr="00DC52EE">
        <w:rPr>
          <w:i/>
          <w:iCs/>
          <w:sz w:val="20"/>
          <w:szCs w:val="20"/>
        </w:rPr>
        <w:t xml:space="preserve"> </w:t>
      </w:r>
      <w:r w:rsidRPr="00DC52EE">
        <w:rPr>
          <w:i/>
          <w:iCs/>
          <w:sz w:val="20"/>
          <w:szCs w:val="20"/>
        </w:rPr>
        <w:t>vitulorum</w:t>
      </w:r>
      <w:r w:rsidR="00903A07" w:rsidRPr="00DC52EE">
        <w:rPr>
          <w:i/>
          <w:iCs/>
          <w:sz w:val="20"/>
          <w:szCs w:val="20"/>
        </w:rPr>
        <w:t xml:space="preserve"> </w:t>
      </w:r>
      <w:r w:rsidRPr="00DC52EE">
        <w:rPr>
          <w:sz w:val="20"/>
          <w:szCs w:val="20"/>
        </w:rPr>
        <w:t>in</w:t>
      </w:r>
      <w:r w:rsidR="00903A07" w:rsidRPr="00DC52EE">
        <w:rPr>
          <w:sz w:val="20"/>
          <w:szCs w:val="20"/>
        </w:rPr>
        <w:t xml:space="preserve"> </w:t>
      </w:r>
      <w:r w:rsidRPr="00DC52EE">
        <w:rPr>
          <w:sz w:val="20"/>
          <w:szCs w:val="20"/>
        </w:rPr>
        <w:t>large</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slaughtered</w:t>
      </w:r>
      <w:r w:rsidR="00903A07" w:rsidRPr="00DC52EE">
        <w:rPr>
          <w:sz w:val="20"/>
          <w:szCs w:val="20"/>
        </w:rPr>
        <w:t xml:space="preserve"> </w:t>
      </w:r>
      <w:r w:rsidRPr="00DC52EE">
        <w:rPr>
          <w:sz w:val="20"/>
          <w:szCs w:val="20"/>
        </w:rPr>
        <w:t>at</w:t>
      </w:r>
      <w:r w:rsidR="00903A07" w:rsidRPr="00DC52EE">
        <w:rPr>
          <w:sz w:val="20"/>
          <w:szCs w:val="20"/>
        </w:rPr>
        <w:t xml:space="preserve"> </w:t>
      </w:r>
      <w:r w:rsidRPr="00DC52EE">
        <w:rPr>
          <w:sz w:val="20"/>
          <w:szCs w:val="20"/>
        </w:rPr>
        <w:t>Multan</w:t>
      </w:r>
      <w:r w:rsidR="00903A07" w:rsidRPr="00DC52EE">
        <w:rPr>
          <w:sz w:val="20"/>
          <w:szCs w:val="20"/>
        </w:rPr>
        <w:t xml:space="preserve"> </w:t>
      </w:r>
      <w:r w:rsidRPr="00DC52EE">
        <w:rPr>
          <w:sz w:val="20"/>
          <w:szCs w:val="20"/>
        </w:rPr>
        <w:t>abattoir.</w:t>
      </w:r>
      <w:r w:rsidR="00903A07" w:rsidRPr="00DC52EE">
        <w:rPr>
          <w:sz w:val="20"/>
          <w:szCs w:val="20"/>
        </w:rPr>
        <w:t xml:space="preserve"> </w:t>
      </w:r>
      <w:r w:rsidRPr="00DC52EE">
        <w:rPr>
          <w:i/>
          <w:sz w:val="20"/>
          <w:szCs w:val="20"/>
        </w:rPr>
        <w:t>Pak.</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J</w:t>
      </w:r>
      <w:r w:rsidRPr="00DC52EE">
        <w:rPr>
          <w:sz w:val="20"/>
          <w:szCs w:val="20"/>
        </w:rPr>
        <w:t>.</w:t>
      </w:r>
      <w:r w:rsidR="005D2EB5" w:rsidRPr="00DC52EE">
        <w:rPr>
          <w:sz w:val="20"/>
          <w:szCs w:val="20"/>
        </w:rPr>
        <w:t>,</w:t>
      </w:r>
      <w:r w:rsidRPr="00DC52EE">
        <w:rPr>
          <w:sz w:val="20"/>
          <w:szCs w:val="20"/>
        </w:rPr>
        <w:t>30:</w:t>
      </w:r>
      <w:r w:rsidR="00903A07" w:rsidRPr="00DC52EE">
        <w:rPr>
          <w:sz w:val="20"/>
          <w:szCs w:val="20"/>
        </w:rPr>
        <w:t xml:space="preserve"> </w:t>
      </w:r>
      <w:r w:rsidRPr="00DC52EE">
        <w:rPr>
          <w:sz w:val="20"/>
          <w:szCs w:val="20"/>
        </w:rPr>
        <w:t>242-244.</w:t>
      </w:r>
    </w:p>
    <w:p w:rsidR="00903A07" w:rsidRPr="00DC52EE" w:rsidRDefault="0071393A"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Regassa,</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Sori,</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Dhuguma,</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Kirros,</w:t>
      </w:r>
      <w:r w:rsidR="00903A07" w:rsidRPr="00DC52EE">
        <w:rPr>
          <w:sz w:val="20"/>
          <w:szCs w:val="20"/>
        </w:rPr>
        <w:t xml:space="preserve"> </w:t>
      </w:r>
      <w:r w:rsidRPr="00DC52EE">
        <w:rPr>
          <w:sz w:val="20"/>
          <w:szCs w:val="20"/>
        </w:rPr>
        <w:t>Y.</w:t>
      </w:r>
      <w:r w:rsidR="00903A07" w:rsidRPr="00DC52EE">
        <w:rPr>
          <w:sz w:val="20"/>
          <w:szCs w:val="20"/>
        </w:rPr>
        <w:t xml:space="preserve"> </w:t>
      </w:r>
      <w:r w:rsidRPr="00DC52EE">
        <w:rPr>
          <w:sz w:val="20"/>
          <w:szCs w:val="20"/>
        </w:rPr>
        <w:t>(2006):</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Western</w:t>
      </w:r>
      <w:r w:rsidR="00903A07" w:rsidRPr="00DC52EE">
        <w:rPr>
          <w:sz w:val="20"/>
          <w:szCs w:val="20"/>
        </w:rPr>
        <w:t xml:space="preserve"> </w:t>
      </w:r>
      <w:r w:rsidRPr="00DC52EE">
        <w:rPr>
          <w:sz w:val="20"/>
          <w:szCs w:val="20"/>
        </w:rPr>
        <w:t>Oromia,</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i/>
          <w:sz w:val="20"/>
          <w:szCs w:val="20"/>
        </w:rPr>
        <w:t>Inte.</w:t>
      </w:r>
      <w:r w:rsidR="00903A07" w:rsidRPr="00DC52EE">
        <w:rPr>
          <w:i/>
          <w:sz w:val="20"/>
          <w:szCs w:val="20"/>
        </w:rPr>
        <w:t xml:space="preserve"> </w:t>
      </w:r>
      <w:r w:rsidRPr="00DC52EE">
        <w:rPr>
          <w:i/>
          <w:sz w:val="20"/>
          <w:szCs w:val="20"/>
        </w:rPr>
        <w:t>Appl.</w:t>
      </w:r>
      <w:r w:rsidR="00903A07" w:rsidRPr="00DC52EE">
        <w:rPr>
          <w:i/>
          <w:sz w:val="20"/>
          <w:szCs w:val="20"/>
        </w:rPr>
        <w:t xml:space="preserve"> </w:t>
      </w:r>
      <w:r w:rsidRPr="00DC52EE">
        <w:rPr>
          <w:i/>
          <w:sz w:val="20"/>
          <w:szCs w:val="20"/>
        </w:rPr>
        <w:t>Res.</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Med</w:t>
      </w:r>
      <w:r w:rsidRPr="00DC52EE">
        <w:rPr>
          <w:sz w:val="20"/>
          <w:szCs w:val="20"/>
        </w:rPr>
        <w:t>.</w:t>
      </w:r>
      <w:r w:rsidR="005D2EB5" w:rsidRPr="00DC52EE">
        <w:rPr>
          <w:sz w:val="20"/>
          <w:szCs w:val="20"/>
        </w:rPr>
        <w:t>,</w:t>
      </w:r>
      <w:r w:rsidRPr="00DC52EE">
        <w:rPr>
          <w:sz w:val="20"/>
          <w:szCs w:val="20"/>
        </w:rPr>
        <w:t>4</w:t>
      </w:r>
      <w:r w:rsidR="00903A07" w:rsidRPr="00DC52EE">
        <w:rPr>
          <w:sz w:val="20"/>
          <w:szCs w:val="20"/>
        </w:rPr>
        <w:t xml:space="preserve"> </w:t>
      </w:r>
      <w:r w:rsidRPr="00DC52EE">
        <w:rPr>
          <w:sz w:val="20"/>
          <w:szCs w:val="20"/>
        </w:rPr>
        <w:t>(1):7-11.</w:t>
      </w:r>
    </w:p>
    <w:p w:rsidR="00BB7760" w:rsidRPr="00DC52EE" w:rsidRDefault="007466AA" w:rsidP="00BB7760">
      <w:pPr>
        <w:pStyle w:val="ListParagraph"/>
        <w:numPr>
          <w:ilvl w:val="0"/>
          <w:numId w:val="21"/>
        </w:numPr>
        <w:snapToGrid w:val="0"/>
        <w:spacing w:after="0" w:line="240" w:lineRule="auto"/>
        <w:ind w:left="425" w:hanging="425"/>
        <w:jc w:val="both"/>
        <w:rPr>
          <w:sz w:val="20"/>
          <w:szCs w:val="20"/>
        </w:rPr>
      </w:pPr>
      <w:r w:rsidRPr="00DC52EE">
        <w:rPr>
          <w:sz w:val="20"/>
          <w:szCs w:val="20"/>
        </w:rPr>
        <w:t>Regassa,</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Teshale,</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Reta,</w:t>
      </w:r>
      <w:r w:rsidR="00903A07" w:rsidRPr="00DC52EE">
        <w:rPr>
          <w:sz w:val="20"/>
          <w:szCs w:val="20"/>
        </w:rPr>
        <w:t xml:space="preserve"> </w:t>
      </w:r>
      <w:r w:rsidRPr="00DC52EE">
        <w:rPr>
          <w:sz w:val="20"/>
          <w:szCs w:val="20"/>
        </w:rPr>
        <w:t>D.</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Yosef,</w:t>
      </w:r>
      <w:r w:rsidR="00903A07" w:rsidRPr="00DC52EE">
        <w:rPr>
          <w:sz w:val="20"/>
          <w:szCs w:val="20"/>
        </w:rPr>
        <w:t xml:space="preserve"> </w:t>
      </w:r>
      <w:r w:rsidRPr="00DC52EE">
        <w:rPr>
          <w:sz w:val="20"/>
          <w:szCs w:val="20"/>
        </w:rPr>
        <w:t>K.</w:t>
      </w:r>
      <w:r w:rsidR="00903A07" w:rsidRPr="00DC52EE">
        <w:rPr>
          <w:sz w:val="20"/>
          <w:szCs w:val="20"/>
        </w:rPr>
        <w:t xml:space="preserve"> </w:t>
      </w:r>
      <w:r w:rsidRPr="00DC52EE">
        <w:rPr>
          <w:sz w:val="20"/>
          <w:szCs w:val="20"/>
        </w:rPr>
        <w:t>(2006):</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Western</w:t>
      </w:r>
      <w:r w:rsidR="00903A07" w:rsidRPr="00DC52EE">
        <w:rPr>
          <w:sz w:val="20"/>
          <w:szCs w:val="20"/>
        </w:rPr>
        <w:t xml:space="preserve"> </w:t>
      </w:r>
      <w:r w:rsidRPr="00DC52EE">
        <w:rPr>
          <w:sz w:val="20"/>
          <w:szCs w:val="20"/>
        </w:rPr>
        <w:t>Oromia,</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i/>
          <w:sz w:val="20"/>
          <w:szCs w:val="20"/>
        </w:rPr>
        <w:t>Int.</w:t>
      </w:r>
      <w:r w:rsidR="00903A07" w:rsidRPr="00DC52EE">
        <w:rPr>
          <w:i/>
          <w:sz w:val="20"/>
          <w:szCs w:val="20"/>
        </w:rPr>
        <w:t xml:space="preserve"> </w:t>
      </w:r>
      <w:r w:rsidRPr="00DC52EE">
        <w:rPr>
          <w:i/>
          <w:sz w:val="20"/>
          <w:szCs w:val="20"/>
        </w:rPr>
        <w:t>J.</w:t>
      </w:r>
      <w:r w:rsidR="00903A07" w:rsidRPr="00DC52EE">
        <w:rPr>
          <w:i/>
          <w:sz w:val="20"/>
          <w:szCs w:val="20"/>
        </w:rPr>
        <w:t xml:space="preserve"> </w:t>
      </w:r>
      <w:r w:rsidRPr="00DC52EE">
        <w:rPr>
          <w:i/>
          <w:sz w:val="20"/>
          <w:szCs w:val="20"/>
        </w:rPr>
        <w:t>Appl.</w:t>
      </w:r>
      <w:r w:rsidR="00903A07" w:rsidRPr="00DC52EE">
        <w:rPr>
          <w:i/>
          <w:sz w:val="20"/>
          <w:szCs w:val="20"/>
        </w:rPr>
        <w:t xml:space="preserve"> </w:t>
      </w:r>
      <w:r w:rsidRPr="00DC52EE">
        <w:rPr>
          <w:i/>
          <w:sz w:val="20"/>
          <w:szCs w:val="20"/>
        </w:rPr>
        <w:t>Res.</w:t>
      </w:r>
      <w:r w:rsidR="00903A07" w:rsidRPr="00DC52EE">
        <w:rPr>
          <w:i/>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Med</w:t>
      </w:r>
      <w:r w:rsidRPr="00DC52EE">
        <w:rPr>
          <w:sz w:val="20"/>
          <w:szCs w:val="20"/>
        </w:rPr>
        <w:t>.,</w:t>
      </w:r>
      <w:r w:rsidR="00903A07" w:rsidRPr="00DC52EE">
        <w:rPr>
          <w:sz w:val="20"/>
          <w:szCs w:val="20"/>
        </w:rPr>
        <w:t xml:space="preserve"> </w:t>
      </w:r>
      <w:r w:rsidRPr="00DC52EE">
        <w:rPr>
          <w:sz w:val="20"/>
          <w:szCs w:val="20"/>
        </w:rPr>
        <w:t>4(1):</w:t>
      </w:r>
      <w:r w:rsidR="00903A07" w:rsidRPr="00DC52EE">
        <w:rPr>
          <w:sz w:val="20"/>
          <w:szCs w:val="20"/>
        </w:rPr>
        <w:t xml:space="preserve"> </w:t>
      </w:r>
      <w:r w:rsidRPr="00DC52EE">
        <w:rPr>
          <w:sz w:val="20"/>
          <w:szCs w:val="20"/>
        </w:rPr>
        <w:t>51–5</w:t>
      </w:r>
      <w:r w:rsidR="00BB7760" w:rsidRPr="00DC52EE">
        <w:rPr>
          <w:sz w:val="20"/>
          <w:szCs w:val="20"/>
        </w:rPr>
        <w:t>7.</w:t>
      </w:r>
    </w:p>
    <w:p w:rsidR="00903A07" w:rsidRPr="00DC52EE" w:rsidRDefault="007F1E90"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Sissay,</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(2007):</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00752420" w:rsidRPr="00DC52EE">
        <w:rPr>
          <w:sz w:val="20"/>
          <w:szCs w:val="20"/>
        </w:rPr>
        <w:t>and</w:t>
      </w:r>
      <w:r w:rsidR="00903A07" w:rsidRPr="00DC52EE">
        <w:rPr>
          <w:sz w:val="20"/>
          <w:szCs w:val="20"/>
        </w:rPr>
        <w:t xml:space="preserve"> </w:t>
      </w:r>
      <w:r w:rsidR="00752420" w:rsidRPr="00DC52EE">
        <w:rPr>
          <w:sz w:val="20"/>
          <w:szCs w:val="20"/>
        </w:rPr>
        <w:t>goats</w:t>
      </w:r>
      <w:r w:rsidR="00903A07" w:rsidRPr="00DC52EE">
        <w:rPr>
          <w:sz w:val="20"/>
          <w:szCs w:val="20"/>
        </w:rPr>
        <w:t xml:space="preserve"> </w:t>
      </w:r>
      <w:r w:rsidR="00752420" w:rsidRPr="00DC52EE">
        <w:rPr>
          <w:sz w:val="20"/>
          <w:szCs w:val="20"/>
        </w:rPr>
        <w:t>in</w:t>
      </w:r>
      <w:r w:rsidR="00903A07" w:rsidRPr="00DC52EE">
        <w:rPr>
          <w:sz w:val="20"/>
          <w:szCs w:val="20"/>
        </w:rPr>
        <w:t xml:space="preserve"> </w:t>
      </w:r>
      <w:r w:rsidR="00752420" w:rsidRPr="00DC52EE">
        <w:rPr>
          <w:sz w:val="20"/>
          <w:szCs w:val="20"/>
        </w:rPr>
        <w:t>eastern</w:t>
      </w:r>
      <w:r w:rsidR="00903A07" w:rsidRPr="00DC52EE">
        <w:rPr>
          <w:sz w:val="20"/>
          <w:szCs w:val="20"/>
        </w:rPr>
        <w:t xml:space="preserve"> </w:t>
      </w:r>
      <w:r w:rsidR="00752420" w:rsidRPr="00DC52EE">
        <w:rPr>
          <w:sz w:val="20"/>
          <w:szCs w:val="20"/>
        </w:rPr>
        <w:t>Ethiopia.</w:t>
      </w:r>
      <w:r w:rsidR="00903A07" w:rsidRPr="00DC52EE">
        <w:rPr>
          <w:sz w:val="20"/>
          <w:szCs w:val="20"/>
        </w:rPr>
        <w:t xml:space="preserve"> </w:t>
      </w:r>
      <w:r w:rsidR="00752420" w:rsidRPr="00DC52EE">
        <w:rPr>
          <w:sz w:val="20"/>
          <w:szCs w:val="20"/>
        </w:rPr>
        <w:t>Epidemiology</w:t>
      </w:r>
      <w:r w:rsidRPr="00DC52EE">
        <w:rPr>
          <w:sz w:val="20"/>
          <w:szCs w:val="20"/>
        </w:rPr>
        <w:t>,</w:t>
      </w:r>
      <w:r w:rsidR="00903A07" w:rsidRPr="00DC52EE">
        <w:rPr>
          <w:sz w:val="20"/>
          <w:szCs w:val="20"/>
        </w:rPr>
        <w:t xml:space="preserve"> </w:t>
      </w:r>
      <w:r w:rsidRPr="00DC52EE">
        <w:rPr>
          <w:sz w:val="20"/>
          <w:szCs w:val="20"/>
        </w:rPr>
        <w:t>and</w:t>
      </w:r>
      <w:r w:rsidR="00903A07" w:rsidRPr="00DC52EE">
        <w:rPr>
          <w:sz w:val="20"/>
          <w:szCs w:val="20"/>
        </w:rPr>
        <w:t xml:space="preserve"> </w:t>
      </w:r>
      <w:r w:rsidR="00752420" w:rsidRPr="00DC52EE">
        <w:rPr>
          <w:sz w:val="20"/>
          <w:szCs w:val="20"/>
        </w:rPr>
        <w:t>anthelminthic</w:t>
      </w:r>
      <w:r w:rsidR="00903A07" w:rsidRPr="00DC52EE">
        <w:rPr>
          <w:sz w:val="20"/>
          <w:szCs w:val="20"/>
        </w:rPr>
        <w:t xml:space="preserve"> </w:t>
      </w:r>
      <w:r w:rsidRPr="00DC52EE">
        <w:rPr>
          <w:sz w:val="20"/>
          <w:szCs w:val="20"/>
        </w:rPr>
        <w:t>resistance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its</w:t>
      </w:r>
      <w:r w:rsidR="00903A07" w:rsidRPr="00DC52EE">
        <w:rPr>
          <w:sz w:val="20"/>
          <w:szCs w:val="20"/>
        </w:rPr>
        <w:t xml:space="preserve"> </w:t>
      </w:r>
      <w:r w:rsidRPr="00DC52EE">
        <w:rPr>
          <w:sz w:val="20"/>
          <w:szCs w:val="20"/>
        </w:rPr>
        <w:t>management.</w:t>
      </w:r>
      <w:r w:rsidR="00903A07" w:rsidRPr="00DC52EE">
        <w:rPr>
          <w:sz w:val="20"/>
          <w:szCs w:val="20"/>
        </w:rPr>
        <w:t xml:space="preserve"> </w:t>
      </w:r>
      <w:r w:rsidRPr="00DC52EE">
        <w:rPr>
          <w:sz w:val="20"/>
          <w:szCs w:val="20"/>
        </w:rPr>
        <w:t>Doctoral</w:t>
      </w:r>
      <w:r w:rsidR="00903A07" w:rsidRPr="00DC52EE">
        <w:rPr>
          <w:sz w:val="20"/>
          <w:szCs w:val="20"/>
        </w:rPr>
        <w:t xml:space="preserve"> </w:t>
      </w:r>
      <w:r w:rsidRPr="00DC52EE">
        <w:rPr>
          <w:sz w:val="20"/>
          <w:szCs w:val="20"/>
        </w:rPr>
        <w:t>thesis,</w:t>
      </w:r>
      <w:r w:rsidR="00903A07" w:rsidRPr="00DC52EE">
        <w:rPr>
          <w:sz w:val="20"/>
          <w:szCs w:val="20"/>
        </w:rPr>
        <w:t xml:space="preserve"> </w:t>
      </w:r>
      <w:r w:rsidRPr="00DC52EE">
        <w:rPr>
          <w:sz w:val="20"/>
          <w:szCs w:val="20"/>
        </w:rPr>
        <w:t>Swidish</w:t>
      </w:r>
      <w:r w:rsidR="00903A07" w:rsidRPr="00DC52EE">
        <w:rPr>
          <w:sz w:val="20"/>
          <w:szCs w:val="20"/>
        </w:rPr>
        <w:t xml:space="preserve"> </w:t>
      </w:r>
      <w:r w:rsidRPr="00DC52EE">
        <w:rPr>
          <w:sz w:val="20"/>
          <w:szCs w:val="20"/>
        </w:rPr>
        <w:t>Unive</w:t>
      </w:r>
      <w:r w:rsidR="00752420" w:rsidRPr="00DC52EE">
        <w:rPr>
          <w:sz w:val="20"/>
          <w:szCs w:val="20"/>
        </w:rPr>
        <w:t>rsity</w:t>
      </w:r>
      <w:r w:rsidR="00903A07" w:rsidRPr="00DC52EE">
        <w:rPr>
          <w:sz w:val="20"/>
          <w:szCs w:val="20"/>
        </w:rPr>
        <w:t xml:space="preserve"> </w:t>
      </w:r>
      <w:r w:rsidR="00752420" w:rsidRPr="00DC52EE">
        <w:rPr>
          <w:sz w:val="20"/>
          <w:szCs w:val="20"/>
        </w:rPr>
        <w:t>of</w:t>
      </w:r>
      <w:r w:rsidR="00903A07" w:rsidRPr="00DC52EE">
        <w:rPr>
          <w:sz w:val="20"/>
          <w:szCs w:val="20"/>
        </w:rPr>
        <w:t xml:space="preserve"> </w:t>
      </w:r>
      <w:r w:rsidR="00752420" w:rsidRPr="00DC52EE">
        <w:rPr>
          <w:sz w:val="20"/>
          <w:szCs w:val="20"/>
        </w:rPr>
        <w:t>agricultural</w:t>
      </w:r>
      <w:r w:rsidR="00903A07" w:rsidRPr="00DC52EE">
        <w:rPr>
          <w:sz w:val="20"/>
          <w:szCs w:val="20"/>
        </w:rPr>
        <w:t xml:space="preserve"> </w:t>
      </w:r>
      <w:r w:rsidR="00752420" w:rsidRPr="00DC52EE">
        <w:rPr>
          <w:sz w:val="20"/>
          <w:szCs w:val="20"/>
        </w:rPr>
        <w:t>sciences,</w:t>
      </w:r>
      <w:r w:rsidR="00903A07" w:rsidRPr="00DC52EE">
        <w:rPr>
          <w:sz w:val="20"/>
          <w:szCs w:val="20"/>
        </w:rPr>
        <w:t xml:space="preserve"> </w:t>
      </w:r>
      <w:r w:rsidRPr="00DC52EE">
        <w:rPr>
          <w:sz w:val="20"/>
          <w:szCs w:val="20"/>
        </w:rPr>
        <w:t>Uppsala,</w:t>
      </w:r>
      <w:r w:rsidR="00903A07" w:rsidRPr="00DC52EE">
        <w:rPr>
          <w:sz w:val="20"/>
          <w:szCs w:val="20"/>
        </w:rPr>
        <w:t xml:space="preserve"> </w:t>
      </w:r>
      <w:r w:rsidRPr="00DC52EE">
        <w:rPr>
          <w:sz w:val="20"/>
          <w:szCs w:val="20"/>
        </w:rPr>
        <w:t>Sweden.</w:t>
      </w:r>
    </w:p>
    <w:p w:rsidR="00903A07" w:rsidRPr="00DC52EE" w:rsidRDefault="009D34C2"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Sissay,</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Uggla,</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Waller,</w:t>
      </w:r>
      <w:r w:rsidR="00903A07" w:rsidRPr="00DC52EE">
        <w:rPr>
          <w:sz w:val="20"/>
          <w:szCs w:val="20"/>
        </w:rPr>
        <w:t xml:space="preserve"> </w:t>
      </w:r>
      <w:r w:rsidRPr="00DC52EE">
        <w:rPr>
          <w:sz w:val="20"/>
          <w:szCs w:val="20"/>
        </w:rPr>
        <w:t>P.J.</w:t>
      </w:r>
      <w:r w:rsidR="00903A07" w:rsidRPr="00DC52EE">
        <w:rPr>
          <w:sz w:val="20"/>
          <w:szCs w:val="20"/>
        </w:rPr>
        <w:t xml:space="preserve"> </w:t>
      </w:r>
      <w:r w:rsidRPr="00DC52EE">
        <w:rPr>
          <w:sz w:val="20"/>
          <w:szCs w:val="20"/>
        </w:rPr>
        <w:t>(2008):</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seasonal</w:t>
      </w:r>
      <w:r w:rsidR="00903A07" w:rsidRPr="00DC52EE">
        <w:rPr>
          <w:sz w:val="20"/>
          <w:szCs w:val="20"/>
        </w:rPr>
        <w:t xml:space="preserve"> </w:t>
      </w:r>
      <w:r w:rsidRPr="00DC52EE">
        <w:rPr>
          <w:sz w:val="20"/>
          <w:szCs w:val="20"/>
        </w:rPr>
        <w:t>incidence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larval</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adult</w:t>
      </w:r>
      <w:r w:rsidR="00903A07" w:rsidRPr="00DC52EE">
        <w:rPr>
          <w:sz w:val="20"/>
          <w:szCs w:val="20"/>
        </w:rPr>
        <w:t xml:space="preserve"> </w:t>
      </w:r>
      <w:r w:rsidRPr="00DC52EE">
        <w:rPr>
          <w:sz w:val="20"/>
          <w:szCs w:val="20"/>
        </w:rPr>
        <w:t>cestode</w:t>
      </w:r>
      <w:r w:rsidR="00903A07" w:rsidRPr="00DC52EE">
        <w:rPr>
          <w:sz w:val="20"/>
          <w:szCs w:val="20"/>
        </w:rPr>
        <w:t xml:space="preserve"> </w:t>
      </w:r>
      <w:r w:rsidRPr="00DC52EE">
        <w:rPr>
          <w:sz w:val="20"/>
          <w:szCs w:val="20"/>
        </w:rPr>
        <w:t>infections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eastern</w:t>
      </w:r>
      <w:r w:rsidR="00903A07" w:rsidRPr="00DC52EE">
        <w:rPr>
          <w:sz w:val="20"/>
          <w:szCs w:val="20"/>
        </w:rPr>
        <w:t xml:space="preserve"> </w:t>
      </w:r>
      <w:r w:rsidRPr="00DC52EE">
        <w:rPr>
          <w:sz w:val="20"/>
          <w:szCs w:val="20"/>
        </w:rPr>
        <w:t>Ethiopia.</w:t>
      </w:r>
      <w:r w:rsidR="00903A07" w:rsidRPr="00DC52EE">
        <w:rPr>
          <w:sz w:val="20"/>
          <w:szCs w:val="20"/>
        </w:rPr>
        <w:t xml:space="preserve"> </w:t>
      </w:r>
      <w:r w:rsidR="00BC3781" w:rsidRPr="00DC52EE">
        <w:rPr>
          <w:i/>
          <w:sz w:val="20"/>
          <w:szCs w:val="20"/>
        </w:rPr>
        <w:t>Trop.</w:t>
      </w:r>
      <w:r w:rsidR="00903A07" w:rsidRPr="00DC52EE">
        <w:rPr>
          <w:i/>
          <w:sz w:val="20"/>
          <w:szCs w:val="20"/>
        </w:rPr>
        <w:t xml:space="preserve"> </w:t>
      </w:r>
      <w:r w:rsidR="00BC3781" w:rsidRPr="00DC52EE">
        <w:rPr>
          <w:i/>
          <w:sz w:val="20"/>
          <w:szCs w:val="20"/>
        </w:rPr>
        <w:t>Ani.</w:t>
      </w:r>
      <w:r w:rsidR="00903A07" w:rsidRPr="00DC52EE">
        <w:rPr>
          <w:i/>
          <w:sz w:val="20"/>
          <w:szCs w:val="20"/>
        </w:rPr>
        <w:t xml:space="preserve"> </w:t>
      </w:r>
      <w:r w:rsidR="00BC3781" w:rsidRPr="00DC52EE">
        <w:rPr>
          <w:i/>
          <w:sz w:val="20"/>
          <w:szCs w:val="20"/>
        </w:rPr>
        <w:t>Hea</w:t>
      </w:r>
      <w:r w:rsidR="00BB7760" w:rsidRPr="00DC52EE">
        <w:rPr>
          <w:i/>
          <w:sz w:val="20"/>
          <w:szCs w:val="20"/>
        </w:rPr>
        <w:t>. P</w:t>
      </w:r>
      <w:r w:rsidRPr="00DC52EE">
        <w:rPr>
          <w:i/>
          <w:sz w:val="20"/>
          <w:szCs w:val="20"/>
        </w:rPr>
        <w:t>rodu</w:t>
      </w:r>
      <w:r w:rsidR="00BC3781" w:rsidRPr="00DC52EE">
        <w:rPr>
          <w:sz w:val="20"/>
          <w:szCs w:val="20"/>
        </w:rPr>
        <w:t>.</w:t>
      </w:r>
      <w:r w:rsidR="00903A07" w:rsidRPr="00DC52EE">
        <w:rPr>
          <w:sz w:val="20"/>
          <w:szCs w:val="20"/>
        </w:rPr>
        <w:t xml:space="preserve"> </w:t>
      </w:r>
      <w:r w:rsidRPr="00DC52EE">
        <w:rPr>
          <w:bCs/>
          <w:sz w:val="20"/>
          <w:szCs w:val="20"/>
        </w:rPr>
        <w:t>40</w:t>
      </w:r>
      <w:r w:rsidRPr="00DC52EE">
        <w:rPr>
          <w:sz w:val="20"/>
          <w:szCs w:val="20"/>
        </w:rPr>
        <w:t>:</w:t>
      </w:r>
      <w:r w:rsidR="00903A07" w:rsidRPr="00DC52EE">
        <w:rPr>
          <w:sz w:val="20"/>
          <w:szCs w:val="20"/>
        </w:rPr>
        <w:t xml:space="preserve"> </w:t>
      </w:r>
      <w:r w:rsidRPr="00DC52EE">
        <w:rPr>
          <w:sz w:val="20"/>
          <w:szCs w:val="20"/>
        </w:rPr>
        <w:t>387-394.</w:t>
      </w:r>
    </w:p>
    <w:p w:rsidR="00903A07" w:rsidRPr="00DC52EE" w:rsidRDefault="00841AB1"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Soulsby,</w:t>
      </w:r>
      <w:r w:rsidR="00903A07" w:rsidRPr="00DC52EE">
        <w:rPr>
          <w:sz w:val="20"/>
          <w:szCs w:val="20"/>
        </w:rPr>
        <w:t xml:space="preserve"> </w:t>
      </w:r>
      <w:r w:rsidRPr="00DC52EE">
        <w:rPr>
          <w:sz w:val="20"/>
          <w:szCs w:val="20"/>
        </w:rPr>
        <w:t>E.J.L.</w:t>
      </w:r>
      <w:r w:rsidR="00903A07" w:rsidRPr="00DC52EE">
        <w:rPr>
          <w:sz w:val="20"/>
          <w:szCs w:val="20"/>
        </w:rPr>
        <w:t xml:space="preserve"> </w:t>
      </w:r>
      <w:r w:rsidRPr="00DC52EE">
        <w:rPr>
          <w:sz w:val="20"/>
          <w:szCs w:val="20"/>
        </w:rPr>
        <w:t>(1986):</w:t>
      </w:r>
      <w:r w:rsidR="00903A07" w:rsidRPr="00DC52EE">
        <w:rPr>
          <w:sz w:val="20"/>
          <w:szCs w:val="20"/>
        </w:rPr>
        <w:t xml:space="preserve"> </w:t>
      </w:r>
      <w:r w:rsidRPr="00DC52EE">
        <w:rPr>
          <w:sz w:val="20"/>
          <w:szCs w:val="20"/>
        </w:rPr>
        <w:t>Helminthes,</w:t>
      </w:r>
      <w:r w:rsidR="00903A07" w:rsidRPr="00DC52EE">
        <w:rPr>
          <w:sz w:val="20"/>
          <w:szCs w:val="20"/>
        </w:rPr>
        <w:t xml:space="preserve"> </w:t>
      </w:r>
      <w:r w:rsidRPr="00DC52EE">
        <w:rPr>
          <w:sz w:val="20"/>
          <w:szCs w:val="20"/>
        </w:rPr>
        <w:t>arthropods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protozoa</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domesticated</w:t>
      </w:r>
      <w:r w:rsidR="00903A07" w:rsidRPr="00DC52EE">
        <w:rPr>
          <w:sz w:val="20"/>
          <w:szCs w:val="20"/>
        </w:rPr>
        <w:t xml:space="preserve"> </w:t>
      </w:r>
      <w:r w:rsidRPr="00DC52EE">
        <w:rPr>
          <w:sz w:val="20"/>
          <w:szCs w:val="20"/>
        </w:rPr>
        <w:t>animals.</w:t>
      </w:r>
      <w:r w:rsidR="00903A07" w:rsidRPr="00DC52EE">
        <w:rPr>
          <w:sz w:val="20"/>
          <w:szCs w:val="20"/>
        </w:rPr>
        <w:t xml:space="preserve"> </w:t>
      </w:r>
      <w:r w:rsidRPr="00DC52EE">
        <w:rPr>
          <w:sz w:val="20"/>
          <w:szCs w:val="20"/>
        </w:rPr>
        <w:t>7</w:t>
      </w:r>
      <w:r w:rsidRPr="00DC52EE">
        <w:rPr>
          <w:sz w:val="20"/>
          <w:szCs w:val="20"/>
          <w:vertAlign w:val="superscript"/>
        </w:rPr>
        <w:t>th</w:t>
      </w:r>
      <w:r w:rsidR="001B0CCC" w:rsidRPr="00DC52EE">
        <w:rPr>
          <w:sz w:val="20"/>
          <w:szCs w:val="20"/>
        </w:rPr>
        <w:t>ed</w:t>
      </w:r>
      <w:r w:rsidRPr="00DC52EE">
        <w:rPr>
          <w:sz w:val="20"/>
          <w:szCs w:val="20"/>
        </w:rPr>
        <w:t>.</w:t>
      </w:r>
      <w:r w:rsidR="00903A07" w:rsidRPr="00DC52EE">
        <w:rPr>
          <w:sz w:val="20"/>
          <w:szCs w:val="20"/>
        </w:rPr>
        <w:t xml:space="preserve"> </w:t>
      </w:r>
      <w:r w:rsidRPr="00DC52EE">
        <w:rPr>
          <w:sz w:val="20"/>
          <w:szCs w:val="20"/>
        </w:rPr>
        <w:t>London,</w:t>
      </w:r>
      <w:r w:rsidR="00903A07" w:rsidRPr="00DC52EE">
        <w:rPr>
          <w:sz w:val="20"/>
          <w:szCs w:val="20"/>
        </w:rPr>
        <w:t xml:space="preserve"> </w:t>
      </w:r>
      <w:r w:rsidRPr="00DC52EE">
        <w:rPr>
          <w:sz w:val="20"/>
          <w:szCs w:val="20"/>
        </w:rPr>
        <w:t>UK;</w:t>
      </w:r>
      <w:r w:rsidR="00903A07" w:rsidRPr="00DC52EE">
        <w:rPr>
          <w:sz w:val="20"/>
          <w:szCs w:val="20"/>
        </w:rPr>
        <w:t xml:space="preserve"> </w:t>
      </w:r>
      <w:r w:rsidRPr="00DC52EE">
        <w:rPr>
          <w:sz w:val="20"/>
          <w:szCs w:val="20"/>
        </w:rPr>
        <w:t>Bailliere,</w:t>
      </w:r>
      <w:r w:rsidR="00903A07" w:rsidRPr="00DC52EE">
        <w:rPr>
          <w:sz w:val="20"/>
          <w:szCs w:val="20"/>
        </w:rPr>
        <w:t xml:space="preserve"> </w:t>
      </w:r>
      <w:r w:rsidRPr="00DC52EE">
        <w:rPr>
          <w:sz w:val="20"/>
          <w:szCs w:val="20"/>
        </w:rPr>
        <w:t>Tindal</w:t>
      </w:r>
      <w:r w:rsidR="0088453F" w:rsidRPr="00DC52EE">
        <w:rPr>
          <w:sz w:val="20"/>
          <w:szCs w:val="20"/>
        </w:rPr>
        <w:t>l.</w:t>
      </w:r>
    </w:p>
    <w:p w:rsidR="00903A07" w:rsidRPr="00DC52EE" w:rsidRDefault="009D75F4"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lastRenderedPageBreak/>
        <w:t>Southey,</w:t>
      </w:r>
      <w:r w:rsidR="00903A07" w:rsidRPr="00DC52EE">
        <w:rPr>
          <w:sz w:val="20"/>
          <w:szCs w:val="20"/>
        </w:rPr>
        <w:t xml:space="preserve"> </w:t>
      </w:r>
      <w:r w:rsidRPr="00DC52EE">
        <w:rPr>
          <w:sz w:val="20"/>
          <w:szCs w:val="20"/>
        </w:rPr>
        <w:t>C.</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Hosking,</w:t>
      </w:r>
      <w:r w:rsidR="00903A07" w:rsidRPr="00DC52EE">
        <w:rPr>
          <w:sz w:val="20"/>
          <w:szCs w:val="20"/>
        </w:rPr>
        <w:t xml:space="preserve"> </w:t>
      </w:r>
      <w:r w:rsidRPr="00DC52EE">
        <w:rPr>
          <w:sz w:val="20"/>
          <w:szCs w:val="20"/>
        </w:rPr>
        <w:t>B.</w:t>
      </w:r>
      <w:r w:rsidR="00903A07" w:rsidRPr="00DC52EE">
        <w:rPr>
          <w:sz w:val="20"/>
          <w:szCs w:val="20"/>
        </w:rPr>
        <w:t xml:space="preserve"> </w:t>
      </w:r>
      <w:r w:rsidRPr="00DC52EE">
        <w:rPr>
          <w:sz w:val="20"/>
          <w:szCs w:val="20"/>
        </w:rPr>
        <w:t>(1998):</w:t>
      </w:r>
      <w:r w:rsidR="00903A07" w:rsidRPr="00DC52EE">
        <w:rPr>
          <w:sz w:val="20"/>
          <w:szCs w:val="20"/>
        </w:rPr>
        <w:t xml:space="preserve"> </w:t>
      </w:r>
      <w:r w:rsidRPr="00DC52EE">
        <w:rPr>
          <w:sz w:val="20"/>
          <w:szCs w:val="20"/>
        </w:rPr>
        <w:t>Liver</w:t>
      </w:r>
      <w:r w:rsidR="00903A07" w:rsidRPr="00DC52EE">
        <w:rPr>
          <w:sz w:val="20"/>
          <w:szCs w:val="20"/>
        </w:rPr>
        <w:t xml:space="preserve"> </w:t>
      </w:r>
      <w:r w:rsidRPr="00DC52EE">
        <w:rPr>
          <w:sz w:val="20"/>
          <w:szCs w:val="20"/>
        </w:rPr>
        <w:t>fluke</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tapeworm.</w:t>
      </w:r>
      <w:r w:rsidR="00903A07" w:rsidRPr="00DC52EE">
        <w:rPr>
          <w:sz w:val="20"/>
          <w:szCs w:val="20"/>
        </w:rPr>
        <w:t xml:space="preserve"> </w:t>
      </w:r>
      <w:r w:rsidR="00DB17A1" w:rsidRPr="00DC52EE">
        <w:rPr>
          <w:iCs/>
          <w:sz w:val="20"/>
          <w:szCs w:val="20"/>
        </w:rPr>
        <w:t>Parasite</w:t>
      </w:r>
      <w:r w:rsidR="00903A07" w:rsidRPr="00DC52EE">
        <w:rPr>
          <w:iCs/>
          <w:sz w:val="20"/>
          <w:szCs w:val="20"/>
        </w:rPr>
        <w:t xml:space="preserve"> </w:t>
      </w:r>
      <w:r w:rsidR="00DB17A1" w:rsidRPr="00DC52EE">
        <w:rPr>
          <w:iCs/>
          <w:sz w:val="20"/>
          <w:szCs w:val="20"/>
        </w:rPr>
        <w:t>n</w:t>
      </w:r>
      <w:r w:rsidRPr="00DC52EE">
        <w:rPr>
          <w:iCs/>
          <w:sz w:val="20"/>
          <w:szCs w:val="20"/>
        </w:rPr>
        <w:t>otes</w:t>
      </w:r>
      <w:r w:rsidR="00903A07" w:rsidRPr="00DC52EE">
        <w:rPr>
          <w:iCs/>
          <w:sz w:val="20"/>
          <w:szCs w:val="20"/>
        </w:rPr>
        <w:t xml:space="preserve"> </w:t>
      </w:r>
      <w:r w:rsidRPr="00DC52EE">
        <w:rPr>
          <w:iCs/>
          <w:sz w:val="20"/>
          <w:szCs w:val="20"/>
        </w:rPr>
        <w:t>7.</w:t>
      </w:r>
      <w:r w:rsidR="00903A07" w:rsidRPr="00DC52EE">
        <w:rPr>
          <w:iCs/>
          <w:sz w:val="20"/>
          <w:szCs w:val="20"/>
        </w:rPr>
        <w:t xml:space="preserve"> </w:t>
      </w:r>
      <w:r w:rsidRPr="00DC52EE">
        <w:rPr>
          <w:iCs/>
          <w:sz w:val="20"/>
          <w:szCs w:val="20"/>
        </w:rPr>
        <w:t>A</w:t>
      </w:r>
      <w:r w:rsidR="00903A07" w:rsidRPr="00DC52EE">
        <w:rPr>
          <w:iCs/>
          <w:sz w:val="20"/>
          <w:szCs w:val="20"/>
        </w:rPr>
        <w:t xml:space="preserve"> </w:t>
      </w:r>
      <w:r w:rsidRPr="00DC52EE">
        <w:rPr>
          <w:iCs/>
          <w:sz w:val="20"/>
          <w:szCs w:val="20"/>
        </w:rPr>
        <w:t>NZ</w:t>
      </w:r>
      <w:r w:rsidR="00903A07" w:rsidRPr="00DC52EE">
        <w:rPr>
          <w:iCs/>
          <w:sz w:val="20"/>
          <w:szCs w:val="20"/>
        </w:rPr>
        <w:t xml:space="preserve"> </w:t>
      </w:r>
      <w:r w:rsidRPr="00DC52EE">
        <w:rPr>
          <w:iCs/>
          <w:sz w:val="20"/>
          <w:szCs w:val="20"/>
        </w:rPr>
        <w:t>Sheep</w:t>
      </w:r>
      <w:r w:rsidR="00903A07" w:rsidRPr="00DC52EE">
        <w:rPr>
          <w:iCs/>
          <w:sz w:val="20"/>
          <w:szCs w:val="20"/>
        </w:rPr>
        <w:t xml:space="preserve"> </w:t>
      </w:r>
      <w:r w:rsidRPr="00DC52EE">
        <w:rPr>
          <w:iCs/>
          <w:sz w:val="20"/>
          <w:szCs w:val="20"/>
        </w:rPr>
        <w:t>Council</w:t>
      </w:r>
      <w:r w:rsidR="00903A07" w:rsidRPr="00DC52EE">
        <w:rPr>
          <w:iCs/>
          <w:sz w:val="20"/>
          <w:szCs w:val="20"/>
        </w:rPr>
        <w:t xml:space="preserve"> </w:t>
      </w:r>
      <w:r w:rsidRPr="00DC52EE">
        <w:rPr>
          <w:iCs/>
          <w:sz w:val="20"/>
          <w:szCs w:val="20"/>
        </w:rPr>
        <w:t>and</w:t>
      </w:r>
      <w:r w:rsidR="00903A07" w:rsidRPr="00DC52EE">
        <w:rPr>
          <w:iCs/>
          <w:sz w:val="20"/>
          <w:szCs w:val="20"/>
        </w:rPr>
        <w:t xml:space="preserve"> </w:t>
      </w:r>
      <w:r w:rsidRPr="00DC52EE">
        <w:rPr>
          <w:iCs/>
          <w:sz w:val="20"/>
          <w:szCs w:val="20"/>
        </w:rPr>
        <w:t>Merial</w:t>
      </w:r>
      <w:r w:rsidR="00903A07" w:rsidRPr="00DC52EE">
        <w:rPr>
          <w:iCs/>
          <w:sz w:val="20"/>
          <w:szCs w:val="20"/>
        </w:rPr>
        <w:t xml:space="preserve"> </w:t>
      </w:r>
      <w:r w:rsidRPr="00DC52EE">
        <w:rPr>
          <w:iCs/>
          <w:sz w:val="20"/>
          <w:szCs w:val="20"/>
        </w:rPr>
        <w:t>NZ</w:t>
      </w:r>
      <w:r w:rsidR="00903A07" w:rsidRPr="00DC52EE">
        <w:rPr>
          <w:iCs/>
          <w:sz w:val="20"/>
          <w:szCs w:val="20"/>
        </w:rPr>
        <w:t xml:space="preserve"> </w:t>
      </w:r>
      <w:r w:rsidRPr="00DC52EE">
        <w:rPr>
          <w:iCs/>
          <w:sz w:val="20"/>
          <w:szCs w:val="20"/>
        </w:rPr>
        <w:t>Ltd</w:t>
      </w:r>
      <w:r w:rsidR="00903A07" w:rsidRPr="00DC52EE">
        <w:rPr>
          <w:iCs/>
          <w:sz w:val="20"/>
          <w:szCs w:val="20"/>
        </w:rPr>
        <w:t xml:space="preserve"> </w:t>
      </w:r>
      <w:r w:rsidRPr="00DC52EE">
        <w:rPr>
          <w:iCs/>
          <w:sz w:val="20"/>
          <w:szCs w:val="20"/>
        </w:rPr>
        <w:t>Publication:</w:t>
      </w:r>
      <w:r w:rsidR="00903A07" w:rsidRPr="00DC52EE">
        <w:rPr>
          <w:iCs/>
          <w:sz w:val="20"/>
          <w:szCs w:val="20"/>
        </w:rPr>
        <w:t xml:space="preserve"> </w:t>
      </w:r>
      <w:r w:rsidR="00697A87" w:rsidRPr="00DC52EE">
        <w:rPr>
          <w:iCs/>
          <w:sz w:val="20"/>
          <w:szCs w:val="20"/>
        </w:rPr>
        <w:t>Pp:</w:t>
      </w:r>
      <w:r w:rsidR="00903A07" w:rsidRPr="00DC52EE">
        <w:rPr>
          <w:iCs/>
          <w:sz w:val="20"/>
          <w:szCs w:val="20"/>
        </w:rPr>
        <w:t xml:space="preserve"> </w:t>
      </w:r>
      <w:r w:rsidRPr="00DC52EE">
        <w:rPr>
          <w:sz w:val="20"/>
          <w:szCs w:val="20"/>
        </w:rPr>
        <w:t>23-26.</w:t>
      </w:r>
    </w:p>
    <w:p w:rsidR="00903A07" w:rsidRPr="00DC52EE" w:rsidRDefault="009D75F4"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Sykes,</w:t>
      </w:r>
      <w:r w:rsidR="00903A07" w:rsidRPr="00DC52EE">
        <w:rPr>
          <w:sz w:val="20"/>
          <w:szCs w:val="20"/>
        </w:rPr>
        <w:t xml:space="preserve"> </w:t>
      </w:r>
      <w:r w:rsidRPr="00DC52EE">
        <w:rPr>
          <w:sz w:val="20"/>
          <w:szCs w:val="20"/>
        </w:rPr>
        <w:t>A.R.</w:t>
      </w:r>
      <w:r w:rsidR="00903A07" w:rsidRPr="00DC52EE">
        <w:rPr>
          <w:sz w:val="20"/>
          <w:szCs w:val="20"/>
        </w:rPr>
        <w:t xml:space="preserve"> </w:t>
      </w:r>
      <w:r w:rsidRPr="00DC52EE">
        <w:rPr>
          <w:sz w:val="20"/>
          <w:szCs w:val="20"/>
        </w:rPr>
        <w:t>(1997):</w:t>
      </w:r>
      <w:r w:rsidR="00903A07" w:rsidRPr="00DC52EE">
        <w:rPr>
          <w:sz w:val="20"/>
          <w:szCs w:val="20"/>
        </w:rPr>
        <w:t xml:space="preserve"> </w:t>
      </w:r>
      <w:r w:rsidRPr="00DC52EE">
        <w:rPr>
          <w:sz w:val="20"/>
          <w:szCs w:val="20"/>
        </w:rPr>
        <w:t>Effects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parasitism</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animal</w:t>
      </w:r>
      <w:r w:rsidR="00903A07" w:rsidRPr="00DC52EE">
        <w:rPr>
          <w:sz w:val="20"/>
          <w:szCs w:val="20"/>
        </w:rPr>
        <w:t xml:space="preserve"> </w:t>
      </w:r>
      <w:r w:rsidRPr="00DC52EE">
        <w:rPr>
          <w:sz w:val="20"/>
          <w:szCs w:val="20"/>
        </w:rPr>
        <w:t>performance.</w:t>
      </w:r>
      <w:r w:rsidR="00903A07" w:rsidRPr="00DC52EE">
        <w:rPr>
          <w:sz w:val="20"/>
          <w:szCs w:val="20"/>
        </w:rPr>
        <w:t xml:space="preserve"> </w:t>
      </w:r>
      <w:r w:rsidRPr="00DC52EE">
        <w:rPr>
          <w:iCs/>
          <w:sz w:val="20"/>
          <w:szCs w:val="20"/>
        </w:rPr>
        <w:t>In:</w:t>
      </w:r>
      <w:r w:rsidR="00903A07" w:rsidRPr="00DC52EE">
        <w:rPr>
          <w:iCs/>
          <w:sz w:val="20"/>
          <w:szCs w:val="20"/>
        </w:rPr>
        <w:t xml:space="preserve"> </w:t>
      </w:r>
      <w:r w:rsidRPr="00DC52EE">
        <w:rPr>
          <w:iCs/>
          <w:sz w:val="20"/>
          <w:szCs w:val="20"/>
        </w:rPr>
        <w:t>Sustainable</w:t>
      </w:r>
      <w:r w:rsidR="00903A07" w:rsidRPr="00DC52EE">
        <w:rPr>
          <w:iCs/>
          <w:sz w:val="20"/>
          <w:szCs w:val="20"/>
        </w:rPr>
        <w:t xml:space="preserve"> </w:t>
      </w:r>
      <w:r w:rsidRPr="00DC52EE">
        <w:rPr>
          <w:iCs/>
          <w:sz w:val="20"/>
          <w:szCs w:val="20"/>
        </w:rPr>
        <w:t>control</w:t>
      </w:r>
      <w:r w:rsidR="00903A07" w:rsidRPr="00DC52EE">
        <w:rPr>
          <w:iCs/>
          <w:sz w:val="20"/>
          <w:szCs w:val="20"/>
        </w:rPr>
        <w:t xml:space="preserve"> </w:t>
      </w:r>
      <w:r w:rsidRPr="00DC52EE">
        <w:rPr>
          <w:iCs/>
          <w:sz w:val="20"/>
          <w:szCs w:val="20"/>
        </w:rPr>
        <w:t>of</w:t>
      </w:r>
      <w:r w:rsidR="00903A07" w:rsidRPr="00DC52EE">
        <w:rPr>
          <w:iCs/>
          <w:sz w:val="20"/>
          <w:szCs w:val="20"/>
        </w:rPr>
        <w:t xml:space="preserve"> </w:t>
      </w:r>
      <w:r w:rsidRPr="00DC52EE">
        <w:rPr>
          <w:iCs/>
          <w:sz w:val="20"/>
          <w:szCs w:val="20"/>
        </w:rPr>
        <w:t>internal</w:t>
      </w:r>
      <w:r w:rsidR="00903A07" w:rsidRPr="00DC52EE">
        <w:rPr>
          <w:iCs/>
          <w:sz w:val="20"/>
          <w:szCs w:val="20"/>
        </w:rPr>
        <w:t xml:space="preserve"> </w:t>
      </w:r>
      <w:r w:rsidRPr="00DC52EE">
        <w:rPr>
          <w:iCs/>
          <w:sz w:val="20"/>
          <w:szCs w:val="20"/>
        </w:rPr>
        <w:t>parasites</w:t>
      </w:r>
      <w:r w:rsidR="00903A07" w:rsidRPr="00DC52EE">
        <w:rPr>
          <w:iCs/>
          <w:sz w:val="20"/>
          <w:szCs w:val="20"/>
        </w:rPr>
        <w:t xml:space="preserve"> </w:t>
      </w:r>
      <w:r w:rsidRPr="00DC52EE">
        <w:rPr>
          <w:iCs/>
          <w:sz w:val="20"/>
          <w:szCs w:val="20"/>
        </w:rPr>
        <w:t>in</w:t>
      </w:r>
      <w:r w:rsidR="00903A07" w:rsidRPr="00DC52EE">
        <w:rPr>
          <w:iCs/>
          <w:sz w:val="20"/>
          <w:szCs w:val="20"/>
        </w:rPr>
        <w:t xml:space="preserve"> </w:t>
      </w:r>
      <w:r w:rsidRPr="00DC52EE">
        <w:rPr>
          <w:iCs/>
          <w:sz w:val="20"/>
          <w:szCs w:val="20"/>
        </w:rPr>
        <w:t>ruminants</w:t>
      </w:r>
      <w:r w:rsidRPr="00DC52EE">
        <w:rPr>
          <w:i/>
          <w:iCs/>
          <w:sz w:val="20"/>
          <w:szCs w:val="20"/>
        </w:rPr>
        <w:t>.</w:t>
      </w:r>
      <w:r w:rsidR="00903A07" w:rsidRPr="00DC52EE">
        <w:rPr>
          <w:i/>
          <w:iCs/>
          <w:sz w:val="20"/>
          <w:szCs w:val="20"/>
        </w:rPr>
        <w:t xml:space="preserve"> </w:t>
      </w:r>
      <w:r w:rsidR="003F484A" w:rsidRPr="00DC52EE">
        <w:rPr>
          <w:sz w:val="20"/>
          <w:szCs w:val="20"/>
        </w:rPr>
        <w:t>Ed.</w:t>
      </w:r>
      <w:r w:rsidRPr="00DC52EE">
        <w:rPr>
          <w:sz w:val="20"/>
          <w:szCs w:val="20"/>
        </w:rPr>
        <w:t>G.K.</w:t>
      </w:r>
      <w:r w:rsidR="00903A07" w:rsidRPr="00DC52EE">
        <w:rPr>
          <w:sz w:val="20"/>
          <w:szCs w:val="20"/>
        </w:rPr>
        <w:t xml:space="preserve"> </w:t>
      </w:r>
      <w:r w:rsidRPr="00DC52EE">
        <w:rPr>
          <w:sz w:val="20"/>
          <w:szCs w:val="20"/>
        </w:rPr>
        <w:t>Barrell.</w:t>
      </w:r>
      <w:r w:rsidR="00903A07" w:rsidRPr="00DC52EE">
        <w:rPr>
          <w:sz w:val="20"/>
          <w:szCs w:val="20"/>
        </w:rPr>
        <w:t xml:space="preserve"> </w:t>
      </w:r>
      <w:r w:rsidRPr="00DC52EE">
        <w:rPr>
          <w:sz w:val="20"/>
          <w:szCs w:val="20"/>
        </w:rPr>
        <w:t>Animal</w:t>
      </w:r>
      <w:r w:rsidR="00903A07" w:rsidRPr="00DC52EE">
        <w:rPr>
          <w:sz w:val="20"/>
          <w:szCs w:val="20"/>
        </w:rPr>
        <w:t xml:space="preserve"> </w:t>
      </w:r>
      <w:r w:rsidRPr="00DC52EE">
        <w:rPr>
          <w:sz w:val="20"/>
          <w:szCs w:val="20"/>
        </w:rPr>
        <w:t>Industries</w:t>
      </w:r>
      <w:r w:rsidR="00903A07" w:rsidRPr="00DC52EE">
        <w:rPr>
          <w:sz w:val="20"/>
          <w:szCs w:val="20"/>
        </w:rPr>
        <w:t xml:space="preserve"> </w:t>
      </w:r>
      <w:r w:rsidRPr="00DC52EE">
        <w:rPr>
          <w:sz w:val="20"/>
          <w:szCs w:val="20"/>
        </w:rPr>
        <w:t>Workshop,</w:t>
      </w:r>
      <w:r w:rsidR="00903A07" w:rsidRPr="00DC52EE">
        <w:rPr>
          <w:sz w:val="20"/>
          <w:szCs w:val="20"/>
        </w:rPr>
        <w:t xml:space="preserve"> </w:t>
      </w:r>
      <w:r w:rsidRPr="00DC52EE">
        <w:rPr>
          <w:sz w:val="20"/>
          <w:szCs w:val="20"/>
        </w:rPr>
        <w:t>Chapter</w:t>
      </w:r>
      <w:r w:rsidR="00903A07" w:rsidRPr="00DC52EE">
        <w:rPr>
          <w:sz w:val="20"/>
          <w:szCs w:val="20"/>
        </w:rPr>
        <w:t xml:space="preserve"> </w:t>
      </w:r>
      <w:r w:rsidRPr="00DC52EE">
        <w:rPr>
          <w:sz w:val="20"/>
          <w:szCs w:val="20"/>
        </w:rPr>
        <w:t>7:</w:t>
      </w:r>
      <w:r w:rsidR="00903A07" w:rsidRPr="00DC52EE">
        <w:rPr>
          <w:sz w:val="20"/>
          <w:szCs w:val="20"/>
        </w:rPr>
        <w:t xml:space="preserve"> </w:t>
      </w:r>
      <w:r w:rsidRPr="00DC52EE">
        <w:rPr>
          <w:sz w:val="20"/>
          <w:szCs w:val="20"/>
        </w:rPr>
        <w:t>81-94.</w:t>
      </w:r>
    </w:p>
    <w:p w:rsidR="00903A07" w:rsidRPr="00DC52EE" w:rsidRDefault="00841436"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Taylor</w:t>
      </w:r>
      <w:r w:rsidR="00052E7B" w:rsidRPr="00DC52EE">
        <w:rPr>
          <w:sz w:val="20"/>
          <w:szCs w:val="20"/>
        </w:rPr>
        <w:t>,</w:t>
      </w:r>
      <w:r w:rsidR="00903A07" w:rsidRPr="00DC52EE">
        <w:rPr>
          <w:sz w:val="20"/>
          <w:szCs w:val="20"/>
        </w:rPr>
        <w:t xml:space="preserve"> </w:t>
      </w:r>
      <w:r w:rsidRPr="00DC52EE">
        <w:rPr>
          <w:sz w:val="20"/>
          <w:szCs w:val="20"/>
        </w:rPr>
        <w:t>M.A.,</w:t>
      </w:r>
      <w:r w:rsidR="00903A07" w:rsidRPr="00DC52EE">
        <w:rPr>
          <w:sz w:val="20"/>
          <w:szCs w:val="20"/>
        </w:rPr>
        <w:t xml:space="preserve"> </w:t>
      </w:r>
      <w:r w:rsidRPr="00DC52EE">
        <w:rPr>
          <w:sz w:val="20"/>
          <w:szCs w:val="20"/>
        </w:rPr>
        <w:t>Coop,</w:t>
      </w:r>
      <w:r w:rsidR="00903A07" w:rsidRPr="00DC52EE">
        <w:rPr>
          <w:sz w:val="20"/>
          <w:szCs w:val="20"/>
        </w:rPr>
        <w:t xml:space="preserve"> </w:t>
      </w:r>
      <w:r w:rsidRPr="00DC52EE">
        <w:rPr>
          <w:sz w:val="20"/>
          <w:szCs w:val="20"/>
        </w:rPr>
        <w:t>R.L.</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Wall,</w:t>
      </w:r>
      <w:r w:rsidR="00903A07" w:rsidRPr="00DC52EE">
        <w:rPr>
          <w:sz w:val="20"/>
          <w:szCs w:val="20"/>
        </w:rPr>
        <w:t xml:space="preserve"> </w:t>
      </w:r>
      <w:r w:rsidRPr="00DC52EE">
        <w:rPr>
          <w:sz w:val="20"/>
          <w:szCs w:val="20"/>
        </w:rPr>
        <w:t>R.L.</w:t>
      </w:r>
      <w:r w:rsidR="00903A07" w:rsidRPr="00DC52EE">
        <w:rPr>
          <w:sz w:val="20"/>
          <w:szCs w:val="20"/>
        </w:rPr>
        <w:t xml:space="preserve"> </w:t>
      </w:r>
      <w:r w:rsidRPr="00DC52EE">
        <w:rPr>
          <w:sz w:val="20"/>
          <w:szCs w:val="20"/>
        </w:rPr>
        <w:t>(2007):</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Parasitology</w:t>
      </w:r>
      <w:r w:rsidR="00903A07" w:rsidRPr="00DC52EE">
        <w:rPr>
          <w:sz w:val="20"/>
          <w:szCs w:val="20"/>
        </w:rPr>
        <w:t xml:space="preserve"> </w:t>
      </w:r>
      <w:r w:rsidRPr="00DC52EE">
        <w:rPr>
          <w:sz w:val="20"/>
          <w:szCs w:val="20"/>
        </w:rPr>
        <w:t>3</w:t>
      </w:r>
      <w:r w:rsidRPr="00DC52EE">
        <w:rPr>
          <w:sz w:val="20"/>
          <w:szCs w:val="20"/>
          <w:vertAlign w:val="superscript"/>
        </w:rPr>
        <w:t>rd</w:t>
      </w:r>
      <w:r w:rsidR="00903A07" w:rsidRPr="00DC52EE">
        <w:rPr>
          <w:sz w:val="20"/>
          <w:szCs w:val="20"/>
        </w:rPr>
        <w:t xml:space="preserve"> </w:t>
      </w:r>
      <w:r w:rsidRPr="00DC52EE">
        <w:rPr>
          <w:sz w:val="20"/>
          <w:szCs w:val="20"/>
        </w:rPr>
        <w:t>Edition,</w:t>
      </w:r>
      <w:r w:rsidR="00903A07" w:rsidRPr="00DC52EE">
        <w:rPr>
          <w:sz w:val="20"/>
          <w:szCs w:val="20"/>
        </w:rPr>
        <w:t xml:space="preserve"> </w:t>
      </w:r>
      <w:r w:rsidRPr="00DC52EE">
        <w:rPr>
          <w:sz w:val="20"/>
          <w:szCs w:val="20"/>
        </w:rPr>
        <w:t>Chapter</w:t>
      </w:r>
      <w:r w:rsidR="00903A07" w:rsidRPr="00DC52EE">
        <w:rPr>
          <w:sz w:val="20"/>
          <w:szCs w:val="20"/>
        </w:rPr>
        <w:t xml:space="preserve"> </w:t>
      </w:r>
      <w:r w:rsidRPr="00DC52EE">
        <w:rPr>
          <w:sz w:val="20"/>
          <w:szCs w:val="20"/>
        </w:rPr>
        <w:t>3:</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Blackwell</w:t>
      </w:r>
      <w:r w:rsidR="00903A07" w:rsidRPr="00DC52EE">
        <w:rPr>
          <w:sz w:val="20"/>
          <w:szCs w:val="20"/>
        </w:rPr>
        <w:t xml:space="preserve"> </w:t>
      </w:r>
      <w:r w:rsidRPr="00DC52EE">
        <w:rPr>
          <w:sz w:val="20"/>
          <w:szCs w:val="20"/>
        </w:rPr>
        <w:t>Publishing,</w:t>
      </w:r>
      <w:r w:rsidR="00903A07" w:rsidRPr="00DC52EE">
        <w:rPr>
          <w:sz w:val="20"/>
          <w:szCs w:val="20"/>
        </w:rPr>
        <w:t xml:space="preserve"> </w:t>
      </w:r>
      <w:r w:rsidRPr="00DC52EE">
        <w:rPr>
          <w:sz w:val="20"/>
          <w:szCs w:val="20"/>
        </w:rPr>
        <w:t>Oxford.</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175-176,776-790.</w:t>
      </w:r>
    </w:p>
    <w:p w:rsidR="00BB7760" w:rsidRPr="00DC52EE" w:rsidRDefault="003E1C3E"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Tefera,</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Batu,</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Bitew,</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(2011):</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Bedelle,</w:t>
      </w:r>
      <w:r w:rsidR="00903A07" w:rsidRPr="00DC52EE">
        <w:rPr>
          <w:sz w:val="20"/>
          <w:szCs w:val="20"/>
        </w:rPr>
        <w:t xml:space="preserve"> </w:t>
      </w:r>
      <w:r w:rsidRPr="00DC52EE">
        <w:rPr>
          <w:sz w:val="20"/>
          <w:szCs w:val="20"/>
        </w:rPr>
        <w:t>South-Western</w:t>
      </w:r>
      <w:r w:rsidR="00903A07" w:rsidRPr="00DC52EE">
        <w:rPr>
          <w:sz w:val="20"/>
          <w:szCs w:val="20"/>
        </w:rPr>
        <w:t xml:space="preserve"> </w:t>
      </w:r>
      <w:r w:rsidRPr="00DC52EE">
        <w:rPr>
          <w:sz w:val="20"/>
          <w:szCs w:val="20"/>
        </w:rPr>
        <w:t>Ethiopia.</w:t>
      </w:r>
      <w:r w:rsidR="00903A07" w:rsidRPr="00DC52EE">
        <w:rPr>
          <w:sz w:val="20"/>
          <w:szCs w:val="20"/>
        </w:rPr>
        <w:t xml:space="preserve"> </w:t>
      </w:r>
      <w:r w:rsidR="0094402D" w:rsidRPr="00DC52EE">
        <w:rPr>
          <w:sz w:val="20"/>
          <w:szCs w:val="20"/>
        </w:rPr>
        <w:t>Int.</w:t>
      </w:r>
      <w:r w:rsidR="00903A07" w:rsidRPr="00DC52EE">
        <w:rPr>
          <w:sz w:val="20"/>
          <w:szCs w:val="20"/>
        </w:rPr>
        <w:t xml:space="preserve"> </w:t>
      </w:r>
      <w:r w:rsidR="0094402D" w:rsidRPr="00DC52EE">
        <w:rPr>
          <w:sz w:val="20"/>
          <w:szCs w:val="20"/>
        </w:rPr>
        <w:t>J.</w:t>
      </w:r>
      <w:r w:rsidR="00903A07" w:rsidRPr="00DC52EE">
        <w:rPr>
          <w:sz w:val="20"/>
          <w:szCs w:val="20"/>
        </w:rPr>
        <w:t xml:space="preserve"> </w:t>
      </w:r>
      <w:r w:rsidR="0094402D" w:rsidRPr="00DC52EE">
        <w:rPr>
          <w:sz w:val="20"/>
          <w:szCs w:val="20"/>
        </w:rPr>
        <w:t>Vet.</w:t>
      </w:r>
      <w:r w:rsidR="00903A07" w:rsidRPr="00DC52EE">
        <w:rPr>
          <w:sz w:val="20"/>
          <w:szCs w:val="20"/>
        </w:rPr>
        <w:t xml:space="preserve"> </w:t>
      </w:r>
      <w:r w:rsidR="0094402D" w:rsidRPr="00DC52EE">
        <w:rPr>
          <w:sz w:val="20"/>
          <w:szCs w:val="20"/>
        </w:rPr>
        <w:t>Med.,</w:t>
      </w:r>
      <w:r w:rsidR="00903A07" w:rsidRPr="00DC52EE">
        <w:rPr>
          <w:sz w:val="20"/>
          <w:szCs w:val="20"/>
        </w:rPr>
        <w:t xml:space="preserve"> </w:t>
      </w:r>
      <w:r w:rsidR="0094402D" w:rsidRPr="00DC52EE">
        <w:rPr>
          <w:sz w:val="20"/>
          <w:szCs w:val="20"/>
        </w:rPr>
        <w:t>8:</w:t>
      </w:r>
      <w:r w:rsidR="00903A07" w:rsidRPr="00DC52EE">
        <w:rPr>
          <w:sz w:val="20"/>
          <w:szCs w:val="20"/>
        </w:rPr>
        <w:t xml:space="preserve"> </w:t>
      </w:r>
      <w:r w:rsidR="0094402D" w:rsidRPr="00DC52EE">
        <w:rPr>
          <w:sz w:val="20"/>
          <w:szCs w:val="20"/>
        </w:rPr>
        <w:t>60-6</w:t>
      </w:r>
      <w:r w:rsidR="00BB7760" w:rsidRPr="00DC52EE">
        <w:rPr>
          <w:sz w:val="20"/>
          <w:szCs w:val="20"/>
        </w:rPr>
        <w:t>5.</w:t>
      </w:r>
    </w:p>
    <w:p w:rsidR="00903A07" w:rsidRPr="00DC52EE" w:rsidRDefault="003E1C3E" w:rsidP="00BB7760">
      <w:pPr>
        <w:pStyle w:val="ListParagraph"/>
        <w:numPr>
          <w:ilvl w:val="0"/>
          <w:numId w:val="21"/>
        </w:numPr>
        <w:snapToGrid w:val="0"/>
        <w:spacing w:after="0" w:line="240" w:lineRule="auto"/>
        <w:ind w:left="425" w:hanging="425"/>
        <w:jc w:val="both"/>
        <w:rPr>
          <w:sz w:val="20"/>
          <w:szCs w:val="20"/>
        </w:rPr>
      </w:pPr>
      <w:r w:rsidRPr="00DC52EE">
        <w:rPr>
          <w:sz w:val="20"/>
          <w:szCs w:val="20"/>
        </w:rPr>
        <w:t>Tembely,</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Lahlou-Kassi,</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Sovani,</w:t>
      </w:r>
      <w:r w:rsidR="00903A07" w:rsidRPr="00DC52EE">
        <w:rPr>
          <w:sz w:val="20"/>
          <w:szCs w:val="20"/>
        </w:rPr>
        <w:t xml:space="preserve"> </w:t>
      </w:r>
      <w:r w:rsidRPr="00DC52EE">
        <w:rPr>
          <w:sz w:val="20"/>
          <w:szCs w:val="20"/>
        </w:rPr>
        <w:t>S.,</w:t>
      </w:r>
      <w:r w:rsidR="00903A07" w:rsidRPr="00DC52EE">
        <w:rPr>
          <w:sz w:val="20"/>
          <w:szCs w:val="20"/>
        </w:rPr>
        <w:t xml:space="preserve"> </w:t>
      </w:r>
      <w:r w:rsidRPr="00DC52EE">
        <w:rPr>
          <w:sz w:val="20"/>
          <w:szCs w:val="20"/>
        </w:rPr>
        <w:t>Rege,</w:t>
      </w:r>
      <w:r w:rsidR="00903A07" w:rsidRPr="00DC52EE">
        <w:rPr>
          <w:sz w:val="20"/>
          <w:szCs w:val="20"/>
        </w:rPr>
        <w:t xml:space="preserve"> </w:t>
      </w:r>
      <w:r w:rsidR="000461D5" w:rsidRPr="00DC52EE">
        <w:rPr>
          <w:sz w:val="20"/>
          <w:szCs w:val="20"/>
        </w:rPr>
        <w:t>J.,</w:t>
      </w:r>
      <w:r w:rsidR="00903A07" w:rsidRPr="00DC52EE">
        <w:rPr>
          <w:sz w:val="20"/>
          <w:szCs w:val="20"/>
        </w:rPr>
        <w:t xml:space="preserve"> </w:t>
      </w:r>
      <w:r w:rsidR="000461D5" w:rsidRPr="00DC52EE">
        <w:rPr>
          <w:sz w:val="20"/>
          <w:szCs w:val="20"/>
        </w:rPr>
        <w:t>Baker,</w:t>
      </w:r>
      <w:r w:rsidR="00903A07" w:rsidRPr="00DC52EE">
        <w:rPr>
          <w:sz w:val="20"/>
          <w:szCs w:val="20"/>
        </w:rPr>
        <w:t xml:space="preserve"> </w:t>
      </w:r>
      <w:r w:rsidR="000461D5" w:rsidRPr="00DC52EE">
        <w:rPr>
          <w:sz w:val="20"/>
          <w:szCs w:val="20"/>
        </w:rPr>
        <w:t>R.</w:t>
      </w:r>
      <w:r w:rsidR="00903A07" w:rsidRPr="00DC52EE">
        <w:rPr>
          <w:sz w:val="20"/>
          <w:szCs w:val="20"/>
        </w:rPr>
        <w:t xml:space="preserve"> </w:t>
      </w:r>
      <w:r w:rsidR="000461D5" w:rsidRPr="00DC52EE">
        <w:rPr>
          <w:sz w:val="20"/>
          <w:szCs w:val="20"/>
        </w:rPr>
        <w:t>and</w:t>
      </w:r>
      <w:r w:rsidR="00903A07" w:rsidRPr="00DC52EE">
        <w:rPr>
          <w:sz w:val="20"/>
          <w:szCs w:val="20"/>
        </w:rPr>
        <w:t xml:space="preserve"> </w:t>
      </w:r>
      <w:r w:rsidR="000461D5" w:rsidRPr="00DC52EE">
        <w:rPr>
          <w:sz w:val="20"/>
          <w:szCs w:val="20"/>
        </w:rPr>
        <w:t>Mukasa,</w:t>
      </w:r>
      <w:r w:rsidR="00903A07" w:rsidRPr="00DC52EE">
        <w:rPr>
          <w:sz w:val="20"/>
          <w:szCs w:val="20"/>
        </w:rPr>
        <w:t xml:space="preserve"> </w:t>
      </w:r>
      <w:r w:rsidR="000461D5" w:rsidRPr="00DC52EE">
        <w:rPr>
          <w:sz w:val="20"/>
          <w:szCs w:val="20"/>
        </w:rPr>
        <w:t>M,</w:t>
      </w:r>
      <w:r w:rsidR="00903A07" w:rsidRPr="00DC52EE">
        <w:rPr>
          <w:sz w:val="20"/>
          <w:szCs w:val="20"/>
        </w:rPr>
        <w:t xml:space="preserve"> </w:t>
      </w:r>
      <w:r w:rsidR="000461D5" w:rsidRPr="00DC52EE">
        <w:rPr>
          <w:sz w:val="20"/>
          <w:szCs w:val="20"/>
        </w:rPr>
        <w:t>E.</w:t>
      </w:r>
      <w:r w:rsidR="00903A07" w:rsidRPr="00DC52EE">
        <w:rPr>
          <w:sz w:val="20"/>
          <w:szCs w:val="20"/>
        </w:rPr>
        <w:t xml:space="preserve"> </w:t>
      </w:r>
      <w:r w:rsidR="000461D5" w:rsidRPr="00DC52EE">
        <w:rPr>
          <w:sz w:val="20"/>
          <w:szCs w:val="20"/>
        </w:rPr>
        <w:t>(1996):</w:t>
      </w:r>
      <w:r w:rsidR="00903A07" w:rsidRPr="00DC52EE">
        <w:rPr>
          <w:sz w:val="20"/>
          <w:szCs w:val="20"/>
        </w:rPr>
        <w:t xml:space="preserve"> </w:t>
      </w:r>
      <w:r w:rsidR="000461D5" w:rsidRPr="00DC52EE">
        <w:rPr>
          <w:sz w:val="20"/>
          <w:szCs w:val="20"/>
        </w:rPr>
        <w:t>S</w:t>
      </w:r>
      <w:r w:rsidRPr="00DC52EE">
        <w:rPr>
          <w:sz w:val="20"/>
          <w:szCs w:val="20"/>
        </w:rPr>
        <w:t>mall</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management</w:t>
      </w:r>
      <w:r w:rsidR="00903A07" w:rsidRPr="00DC52EE">
        <w:rPr>
          <w:sz w:val="20"/>
          <w:szCs w:val="20"/>
        </w:rPr>
        <w:t xml:space="preserve"> </w:t>
      </w:r>
      <w:r w:rsidRPr="00DC52EE">
        <w:rPr>
          <w:sz w:val="20"/>
          <w:szCs w:val="20"/>
        </w:rPr>
        <w:t>practices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control</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helminthosis</w:t>
      </w:r>
      <w:r w:rsidR="00903A07" w:rsidRPr="00DC52EE">
        <w:rPr>
          <w:sz w:val="20"/>
          <w:szCs w:val="20"/>
        </w:rPr>
        <w:t xml:space="preserve"> </w:t>
      </w:r>
      <w:r w:rsidRPr="00DC52EE">
        <w:rPr>
          <w:sz w:val="20"/>
          <w:szCs w:val="20"/>
        </w:rPr>
        <w:t>under</w:t>
      </w:r>
      <w:r w:rsidR="00903A07" w:rsidRPr="00DC52EE">
        <w:rPr>
          <w:sz w:val="20"/>
          <w:szCs w:val="20"/>
        </w:rPr>
        <w:t xml:space="preserve"> </w:t>
      </w:r>
      <w:r w:rsidRPr="00DC52EE">
        <w:rPr>
          <w:sz w:val="20"/>
          <w:szCs w:val="20"/>
        </w:rPr>
        <w:t>traditional</w:t>
      </w:r>
      <w:r w:rsidR="00903A07" w:rsidRPr="00DC52EE">
        <w:rPr>
          <w:sz w:val="20"/>
          <w:szCs w:val="20"/>
        </w:rPr>
        <w:t xml:space="preserve"> </w:t>
      </w:r>
      <w:r w:rsidRPr="00DC52EE">
        <w:rPr>
          <w:sz w:val="20"/>
          <w:szCs w:val="20"/>
        </w:rPr>
        <w:t>production</w:t>
      </w:r>
      <w:r w:rsidR="00903A07" w:rsidRPr="00DC52EE">
        <w:rPr>
          <w:sz w:val="20"/>
          <w:szCs w:val="20"/>
        </w:rPr>
        <w:t xml:space="preserve"> </w:t>
      </w:r>
      <w:r w:rsidRPr="00DC52EE">
        <w:rPr>
          <w:sz w:val="20"/>
          <w:szCs w:val="20"/>
        </w:rPr>
        <w:t>systems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cool</w:t>
      </w:r>
      <w:r w:rsidR="00903A07" w:rsidRPr="00DC52EE">
        <w:rPr>
          <w:sz w:val="20"/>
          <w:szCs w:val="20"/>
        </w:rPr>
        <w:t xml:space="preserve"> </w:t>
      </w:r>
      <w:r w:rsidRPr="00DC52EE">
        <w:rPr>
          <w:sz w:val="20"/>
          <w:szCs w:val="20"/>
        </w:rPr>
        <w:t>Ethiopian</w:t>
      </w:r>
      <w:r w:rsidR="00903A07" w:rsidRPr="00DC52EE">
        <w:rPr>
          <w:sz w:val="20"/>
          <w:szCs w:val="20"/>
        </w:rPr>
        <w:t xml:space="preserve"> </w:t>
      </w:r>
      <w:r w:rsidRPr="00DC52EE">
        <w:rPr>
          <w:sz w:val="20"/>
          <w:szCs w:val="20"/>
        </w:rPr>
        <w:t>highlands.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research</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development</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Africa.</w:t>
      </w:r>
      <w:r w:rsidR="00903A07" w:rsidRPr="00DC52EE">
        <w:rPr>
          <w:sz w:val="20"/>
          <w:szCs w:val="20"/>
        </w:rPr>
        <w:t xml:space="preserve"> </w:t>
      </w:r>
      <w:r w:rsidRPr="00DC52EE">
        <w:rPr>
          <w:sz w:val="20"/>
          <w:szCs w:val="20"/>
        </w:rPr>
        <w:t>Proceeding</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third</w:t>
      </w:r>
      <w:r w:rsidR="00903A07" w:rsidRPr="00DC52EE">
        <w:rPr>
          <w:sz w:val="20"/>
          <w:szCs w:val="20"/>
        </w:rPr>
        <w:t xml:space="preserve"> </w:t>
      </w:r>
      <w:r w:rsidRPr="00DC52EE">
        <w:rPr>
          <w:sz w:val="20"/>
          <w:szCs w:val="20"/>
        </w:rPr>
        <w:t>biennial</w:t>
      </w:r>
      <w:r w:rsidR="00903A07" w:rsidRPr="00DC52EE">
        <w:rPr>
          <w:sz w:val="20"/>
          <w:szCs w:val="20"/>
        </w:rPr>
        <w:t xml:space="preserve"> </w:t>
      </w:r>
      <w:r w:rsidRPr="00DC52EE">
        <w:rPr>
          <w:sz w:val="20"/>
          <w:szCs w:val="20"/>
        </w:rPr>
        <w:t>conference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African</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research</w:t>
      </w:r>
      <w:r w:rsidR="00903A07" w:rsidRPr="00DC52EE">
        <w:rPr>
          <w:sz w:val="20"/>
          <w:szCs w:val="20"/>
        </w:rPr>
        <w:t xml:space="preserve"> </w:t>
      </w:r>
      <w:r w:rsidRPr="00DC52EE">
        <w:rPr>
          <w:sz w:val="20"/>
          <w:szCs w:val="20"/>
        </w:rPr>
        <w:t>network.</w:t>
      </w:r>
      <w:r w:rsidR="00903A07" w:rsidRPr="00DC52EE">
        <w:rPr>
          <w:sz w:val="20"/>
          <w:szCs w:val="20"/>
        </w:rPr>
        <w:t xml:space="preserve"> </w:t>
      </w:r>
      <w:r w:rsidRPr="00DC52EE">
        <w:rPr>
          <w:sz w:val="20"/>
          <w:szCs w:val="20"/>
        </w:rPr>
        <w:t>Lebbie</w:t>
      </w:r>
      <w:r w:rsidR="006E06C3" w:rsidRPr="00DC52EE">
        <w:rPr>
          <w:sz w:val="20"/>
          <w:szCs w:val="20"/>
        </w:rPr>
        <w:t>,</w:t>
      </w:r>
      <w:r w:rsidR="00903A07" w:rsidRPr="00DC52EE">
        <w:rPr>
          <w:sz w:val="20"/>
          <w:szCs w:val="20"/>
        </w:rPr>
        <w:t xml:space="preserve"> </w:t>
      </w:r>
      <w:r w:rsidR="006E06C3" w:rsidRPr="00DC52EE">
        <w:rPr>
          <w:sz w:val="20"/>
          <w:szCs w:val="20"/>
        </w:rPr>
        <w:t>S.</w:t>
      </w:r>
      <w:r w:rsidR="00903A07" w:rsidRPr="00DC52EE">
        <w:rPr>
          <w:sz w:val="20"/>
          <w:szCs w:val="20"/>
        </w:rPr>
        <w:t xml:space="preserve"> </w:t>
      </w:r>
      <w:r w:rsidR="006E06C3" w:rsidRPr="00DC52EE">
        <w:rPr>
          <w:sz w:val="20"/>
          <w:szCs w:val="20"/>
        </w:rPr>
        <w:t>H.B.</w:t>
      </w:r>
      <w:r w:rsidR="00903A07" w:rsidRPr="00DC52EE">
        <w:rPr>
          <w:sz w:val="20"/>
          <w:szCs w:val="20"/>
        </w:rPr>
        <w:t xml:space="preserve"> </w:t>
      </w:r>
    </w:p>
    <w:p w:rsidR="00903A07" w:rsidRPr="00DC52EE" w:rsidRDefault="00F536BC" w:rsidP="00BB7760">
      <w:pPr>
        <w:pStyle w:val="ListParagraph"/>
        <w:numPr>
          <w:ilvl w:val="0"/>
          <w:numId w:val="21"/>
        </w:numPr>
        <w:snapToGrid w:val="0"/>
        <w:spacing w:after="0" w:line="240" w:lineRule="auto"/>
        <w:ind w:left="425" w:hanging="425"/>
        <w:jc w:val="both"/>
        <w:rPr>
          <w:sz w:val="20"/>
          <w:szCs w:val="20"/>
        </w:rPr>
      </w:pPr>
      <w:r w:rsidRPr="00DC52EE">
        <w:rPr>
          <w:sz w:val="20"/>
          <w:szCs w:val="20"/>
        </w:rPr>
        <w:t>Temesgen,</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(2008):</w:t>
      </w:r>
      <w:r w:rsidR="00903A07" w:rsidRPr="00DC52EE">
        <w:rPr>
          <w:sz w:val="20"/>
          <w:szCs w:val="20"/>
        </w:rPr>
        <w:t xml:space="preserve"> </w:t>
      </w:r>
      <w:r w:rsidRPr="00DC52EE">
        <w:rPr>
          <w:sz w:val="20"/>
          <w:szCs w:val="20"/>
        </w:rPr>
        <w:t>Study</w:t>
      </w:r>
      <w:r w:rsidR="00903A07" w:rsidRPr="00DC52EE">
        <w:rPr>
          <w:sz w:val="20"/>
          <w:szCs w:val="20"/>
        </w:rPr>
        <w:t xml:space="preserve"> </w:t>
      </w:r>
      <w:r w:rsidRPr="00DC52EE">
        <w:rPr>
          <w:sz w:val="20"/>
          <w:szCs w:val="20"/>
        </w:rPr>
        <w:t>on</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gastrointestina</w:t>
      </w:r>
      <w:r w:rsidR="00E44FB7" w:rsidRPr="00DC52EE">
        <w:rPr>
          <w:sz w:val="20"/>
          <w:szCs w:val="20"/>
        </w:rPr>
        <w:t>l</w:t>
      </w:r>
      <w:r w:rsidR="00903A07" w:rsidRPr="00DC52EE">
        <w:rPr>
          <w:sz w:val="20"/>
          <w:szCs w:val="20"/>
        </w:rPr>
        <w:t xml:space="preserve"> </w:t>
      </w:r>
      <w:r w:rsidR="00E44FB7" w:rsidRPr="00DC52EE">
        <w:rPr>
          <w:sz w:val="20"/>
          <w:szCs w:val="20"/>
        </w:rPr>
        <w:t>parasite</w:t>
      </w:r>
      <w:r w:rsidR="00903A07" w:rsidRPr="00DC52EE">
        <w:rPr>
          <w:sz w:val="20"/>
          <w:szCs w:val="20"/>
        </w:rPr>
        <w:t xml:space="preserve"> </w:t>
      </w:r>
      <w:r w:rsidR="00E44FB7" w:rsidRPr="00DC52EE">
        <w:rPr>
          <w:sz w:val="20"/>
          <w:szCs w:val="20"/>
        </w:rPr>
        <w:t>in</w:t>
      </w:r>
      <w:r w:rsidR="00903A07" w:rsidRPr="00DC52EE">
        <w:rPr>
          <w:sz w:val="20"/>
          <w:szCs w:val="20"/>
        </w:rPr>
        <w:t xml:space="preserve"> </w:t>
      </w:r>
      <w:r w:rsidR="00E44FB7" w:rsidRPr="00DC52EE">
        <w:rPr>
          <w:sz w:val="20"/>
          <w:szCs w:val="20"/>
        </w:rPr>
        <w:t>and</w:t>
      </w:r>
      <w:r w:rsidR="00903A07" w:rsidRPr="00DC52EE">
        <w:rPr>
          <w:sz w:val="20"/>
          <w:szCs w:val="20"/>
        </w:rPr>
        <w:t xml:space="preserve"> </w:t>
      </w:r>
      <w:r w:rsidR="00E44FB7" w:rsidRPr="00DC52EE">
        <w:rPr>
          <w:sz w:val="20"/>
          <w:szCs w:val="20"/>
        </w:rPr>
        <w:t>around</w:t>
      </w:r>
      <w:r w:rsidR="00903A07" w:rsidRPr="00DC52EE">
        <w:rPr>
          <w:sz w:val="20"/>
          <w:szCs w:val="20"/>
        </w:rPr>
        <w:t xml:space="preserve"> </w:t>
      </w:r>
      <w:r w:rsidR="00E44FB7" w:rsidRPr="00DC52EE">
        <w:rPr>
          <w:sz w:val="20"/>
          <w:szCs w:val="20"/>
        </w:rPr>
        <w:t>Bedele</w:t>
      </w:r>
      <w:r w:rsidRPr="00DC52EE">
        <w:rPr>
          <w:sz w:val="20"/>
          <w:szCs w:val="20"/>
        </w:rPr>
        <w:t>.</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00E44FB7" w:rsidRPr="00DC52EE">
        <w:rPr>
          <w:sz w:val="20"/>
          <w:szCs w:val="20"/>
        </w:rPr>
        <w:t>Haramaya</w:t>
      </w:r>
      <w:r w:rsidR="00903A07" w:rsidRPr="00DC52EE">
        <w:rPr>
          <w:sz w:val="20"/>
          <w:szCs w:val="20"/>
        </w:rPr>
        <w:t xml:space="preserve"> </w:t>
      </w:r>
      <w:r w:rsidR="00E44FB7" w:rsidRPr="00DC52EE">
        <w:rPr>
          <w:sz w:val="20"/>
          <w:szCs w:val="20"/>
        </w:rPr>
        <w:t>University,</w:t>
      </w:r>
      <w:r w:rsidR="00903A07" w:rsidRPr="00DC52EE">
        <w:rPr>
          <w:sz w:val="20"/>
          <w:szCs w:val="20"/>
        </w:rPr>
        <w:t xml:space="preserve"> </w:t>
      </w:r>
      <w:r w:rsidR="00E44FB7" w:rsidRPr="00DC52EE">
        <w:rPr>
          <w:sz w:val="20"/>
          <w:szCs w:val="20"/>
        </w:rPr>
        <w:t>Faculty</w:t>
      </w:r>
      <w:r w:rsidR="00903A07" w:rsidRPr="00DC52EE">
        <w:rPr>
          <w:sz w:val="20"/>
          <w:szCs w:val="20"/>
        </w:rPr>
        <w:t xml:space="preserve"> </w:t>
      </w:r>
      <w:r w:rsidR="00E44FB7" w:rsidRPr="00DC52EE">
        <w:rPr>
          <w:sz w:val="20"/>
          <w:szCs w:val="20"/>
        </w:rPr>
        <w:t>of</w:t>
      </w:r>
      <w:r w:rsidR="00903A07" w:rsidRPr="00DC52EE">
        <w:rPr>
          <w:sz w:val="20"/>
          <w:szCs w:val="20"/>
        </w:rPr>
        <w:t xml:space="preserve"> </w:t>
      </w:r>
      <w:r w:rsidR="00E44FB7" w:rsidRPr="00DC52EE">
        <w:rPr>
          <w:sz w:val="20"/>
          <w:szCs w:val="20"/>
        </w:rPr>
        <w:t>Veterinary</w:t>
      </w:r>
      <w:r w:rsidR="00903A07" w:rsidRPr="00DC52EE">
        <w:rPr>
          <w:sz w:val="20"/>
          <w:szCs w:val="20"/>
        </w:rPr>
        <w:t xml:space="preserve"> </w:t>
      </w:r>
      <w:r w:rsidR="00E44FB7" w:rsidRPr="00DC52EE">
        <w:rPr>
          <w:sz w:val="20"/>
          <w:szCs w:val="20"/>
        </w:rPr>
        <w:t>Medicine,</w:t>
      </w:r>
      <w:r w:rsidR="00903A07" w:rsidRPr="00DC52EE">
        <w:rPr>
          <w:sz w:val="20"/>
          <w:szCs w:val="20"/>
        </w:rPr>
        <w:t xml:space="preserve"> </w:t>
      </w:r>
      <w:r w:rsidR="00E44FB7" w:rsidRPr="00DC52EE">
        <w:rPr>
          <w:sz w:val="20"/>
          <w:szCs w:val="20"/>
        </w:rPr>
        <w:t>Haramaya,</w:t>
      </w:r>
      <w:r w:rsidR="00903A07" w:rsidRPr="00DC52EE">
        <w:rPr>
          <w:sz w:val="20"/>
          <w:szCs w:val="20"/>
        </w:rPr>
        <w:t xml:space="preserve"> </w:t>
      </w:r>
      <w:r w:rsidR="00E44FB7" w:rsidRPr="00DC52EE">
        <w:rPr>
          <w:sz w:val="20"/>
          <w:szCs w:val="20"/>
        </w:rPr>
        <w:t>Ethiopia.</w:t>
      </w:r>
    </w:p>
    <w:p w:rsidR="00903A07" w:rsidRPr="00DC52EE" w:rsidRDefault="00A10B72"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Thrusfield</w:t>
      </w:r>
      <w:r w:rsidR="00BB7760" w:rsidRPr="00DC52EE">
        <w:rPr>
          <w:sz w:val="20"/>
          <w:szCs w:val="20"/>
        </w:rPr>
        <w:t>, M</w:t>
      </w:r>
      <w:r w:rsidR="00903A07" w:rsidRPr="00DC52EE">
        <w:rPr>
          <w:sz w:val="20"/>
          <w:szCs w:val="20"/>
        </w:rPr>
        <w:t>. (</w:t>
      </w:r>
      <w:r w:rsidRPr="00DC52EE">
        <w:rPr>
          <w:sz w:val="20"/>
          <w:szCs w:val="20"/>
        </w:rPr>
        <w:t>2005)</w:t>
      </w:r>
      <w:r w:rsidR="00BB7760" w:rsidRPr="00DC52EE">
        <w:rPr>
          <w:sz w:val="20"/>
          <w:szCs w:val="20"/>
        </w:rPr>
        <w:t>: V</w:t>
      </w:r>
      <w:r w:rsidRPr="00DC52EE">
        <w:rPr>
          <w:sz w:val="20"/>
          <w:szCs w:val="20"/>
        </w:rPr>
        <w:t>eterinary</w:t>
      </w:r>
      <w:r w:rsidR="00DC52EE" w:rsidRPr="00DC52EE">
        <w:rPr>
          <w:rFonts w:hint="eastAsia"/>
          <w:sz w:val="20"/>
          <w:szCs w:val="20"/>
          <w:lang w:eastAsia="zh-CN"/>
        </w:rPr>
        <w:t xml:space="preserve"> </w:t>
      </w:r>
      <w:r w:rsidR="002E3B50" w:rsidRPr="00DC52EE">
        <w:rPr>
          <w:sz w:val="20"/>
          <w:szCs w:val="20"/>
        </w:rPr>
        <w:t>Epidemiology</w:t>
      </w:r>
      <w:r w:rsidR="00903A07" w:rsidRPr="00DC52EE">
        <w:rPr>
          <w:sz w:val="20"/>
          <w:szCs w:val="20"/>
        </w:rPr>
        <w:t xml:space="preserve"> </w:t>
      </w:r>
      <w:r w:rsidR="002E3B50" w:rsidRPr="00DC52EE">
        <w:rPr>
          <w:sz w:val="20"/>
          <w:szCs w:val="20"/>
        </w:rPr>
        <w:t>3</w:t>
      </w:r>
      <w:r w:rsidR="002E3B50" w:rsidRPr="00DC52EE">
        <w:rPr>
          <w:sz w:val="20"/>
          <w:szCs w:val="20"/>
          <w:vertAlign w:val="superscript"/>
        </w:rPr>
        <w:t>rd</w:t>
      </w:r>
      <w:r w:rsidR="00903A07" w:rsidRPr="00DC52EE">
        <w:rPr>
          <w:sz w:val="20"/>
          <w:szCs w:val="20"/>
        </w:rPr>
        <w:t xml:space="preserve"> </w:t>
      </w:r>
      <w:r w:rsidR="00752420" w:rsidRPr="00DC52EE">
        <w:rPr>
          <w:sz w:val="20"/>
          <w:szCs w:val="20"/>
        </w:rPr>
        <w:t>edition.</w:t>
      </w:r>
      <w:r w:rsidR="00903A07" w:rsidRPr="00DC52EE">
        <w:rPr>
          <w:sz w:val="20"/>
          <w:szCs w:val="20"/>
        </w:rPr>
        <w:t xml:space="preserve"> </w:t>
      </w:r>
      <w:r w:rsidR="00752420" w:rsidRPr="00DC52EE">
        <w:rPr>
          <w:sz w:val="20"/>
          <w:szCs w:val="20"/>
        </w:rPr>
        <w:t>UK,</w:t>
      </w:r>
      <w:r w:rsidR="00903A07" w:rsidRPr="00DC52EE">
        <w:rPr>
          <w:sz w:val="20"/>
          <w:szCs w:val="20"/>
        </w:rPr>
        <w:t xml:space="preserve"> </w:t>
      </w:r>
      <w:r w:rsidR="00752420" w:rsidRPr="00DC52EE">
        <w:rPr>
          <w:sz w:val="20"/>
          <w:szCs w:val="20"/>
        </w:rPr>
        <w:t>Black</w:t>
      </w:r>
      <w:r w:rsidRPr="00DC52EE">
        <w:rPr>
          <w:sz w:val="20"/>
          <w:szCs w:val="20"/>
        </w:rPr>
        <w:t>well</w:t>
      </w:r>
      <w:r w:rsidR="00903A07" w:rsidRPr="00DC52EE">
        <w:rPr>
          <w:sz w:val="20"/>
          <w:szCs w:val="20"/>
        </w:rPr>
        <w:t xml:space="preserve"> </w:t>
      </w:r>
      <w:r w:rsidR="002E3B50" w:rsidRPr="00DC52EE">
        <w:rPr>
          <w:sz w:val="20"/>
          <w:szCs w:val="20"/>
        </w:rPr>
        <w:t>Publishing.</w:t>
      </w:r>
      <w:r w:rsidR="00903A07" w:rsidRPr="00DC52EE">
        <w:rPr>
          <w:sz w:val="20"/>
          <w:szCs w:val="20"/>
        </w:rPr>
        <w:t xml:space="preserve"> </w:t>
      </w:r>
      <w:r w:rsidR="002E3B50" w:rsidRPr="00DC52EE">
        <w:rPr>
          <w:sz w:val="20"/>
          <w:szCs w:val="20"/>
        </w:rPr>
        <w:t>Pp:</w:t>
      </w:r>
      <w:r w:rsidR="00903A07" w:rsidRPr="00DC52EE">
        <w:rPr>
          <w:sz w:val="20"/>
          <w:szCs w:val="20"/>
        </w:rPr>
        <w:t xml:space="preserve"> </w:t>
      </w:r>
      <w:r w:rsidR="002E3B50" w:rsidRPr="00DC52EE">
        <w:rPr>
          <w:sz w:val="20"/>
          <w:szCs w:val="20"/>
        </w:rPr>
        <w:t>183.</w:t>
      </w:r>
    </w:p>
    <w:p w:rsidR="00903A07" w:rsidRPr="00DC52EE" w:rsidRDefault="003E1C3E"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Tigist,</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(2008):</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parasitosis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around</w:t>
      </w:r>
      <w:r w:rsidR="00903A07" w:rsidRPr="00DC52EE">
        <w:rPr>
          <w:sz w:val="20"/>
          <w:szCs w:val="20"/>
        </w:rPr>
        <w:t xml:space="preserve"> </w:t>
      </w:r>
      <w:r w:rsidRPr="00DC52EE">
        <w:rPr>
          <w:sz w:val="20"/>
          <w:szCs w:val="20"/>
        </w:rPr>
        <w:t>Debre</w:t>
      </w:r>
      <w:r w:rsidR="00903A07" w:rsidRPr="00DC52EE">
        <w:rPr>
          <w:sz w:val="20"/>
          <w:szCs w:val="20"/>
        </w:rPr>
        <w:t xml:space="preserve"> </w:t>
      </w:r>
      <w:r w:rsidRPr="00DC52EE">
        <w:rPr>
          <w:sz w:val="20"/>
          <w:szCs w:val="20"/>
        </w:rPr>
        <w:t>Zeit.</w:t>
      </w:r>
      <w:r w:rsidR="00903A07" w:rsidRPr="00DC52EE">
        <w:rPr>
          <w:sz w:val="20"/>
          <w:szCs w:val="20"/>
        </w:rPr>
        <w:t xml:space="preserve"> </w:t>
      </w:r>
      <w:r w:rsidRPr="00DC52EE">
        <w:rPr>
          <w:sz w:val="20"/>
          <w:szCs w:val="20"/>
        </w:rPr>
        <w:t>DVM</w:t>
      </w:r>
      <w:r w:rsidR="00903A07" w:rsidRPr="00DC52EE">
        <w:rPr>
          <w:sz w:val="20"/>
          <w:szCs w:val="20"/>
        </w:rPr>
        <w:t xml:space="preserve"> </w:t>
      </w:r>
      <w:r w:rsidRPr="00DC52EE">
        <w:rPr>
          <w:sz w:val="20"/>
          <w:szCs w:val="20"/>
        </w:rPr>
        <w:t>thesis,</w:t>
      </w:r>
      <w:r w:rsidR="00903A07" w:rsidRPr="00DC52EE">
        <w:rPr>
          <w:sz w:val="20"/>
          <w:szCs w:val="20"/>
        </w:rPr>
        <w:t xml:space="preserve"> </w:t>
      </w:r>
      <w:r w:rsidRPr="00DC52EE">
        <w:rPr>
          <w:sz w:val="20"/>
          <w:szCs w:val="20"/>
        </w:rPr>
        <w:t>HU,</w:t>
      </w:r>
      <w:r w:rsidR="00903A07" w:rsidRPr="00DC52EE">
        <w:rPr>
          <w:sz w:val="20"/>
          <w:szCs w:val="20"/>
        </w:rPr>
        <w:t xml:space="preserve"> </w:t>
      </w:r>
      <w:r w:rsidRPr="00DC52EE">
        <w:rPr>
          <w:sz w:val="20"/>
          <w:szCs w:val="20"/>
        </w:rPr>
        <w:t>FVM,</w:t>
      </w:r>
      <w:r w:rsidR="00903A07" w:rsidRPr="00DC52EE">
        <w:rPr>
          <w:sz w:val="20"/>
          <w:szCs w:val="20"/>
        </w:rPr>
        <w:t xml:space="preserve"> </w:t>
      </w:r>
      <w:r w:rsidRPr="00DC52EE">
        <w:rPr>
          <w:sz w:val="20"/>
          <w:szCs w:val="20"/>
        </w:rPr>
        <w:t>Haramaya,</w:t>
      </w:r>
      <w:r w:rsidR="00903A07" w:rsidRPr="00DC52EE">
        <w:rPr>
          <w:sz w:val="20"/>
          <w:szCs w:val="20"/>
        </w:rPr>
        <w:t xml:space="preserve"> </w:t>
      </w:r>
      <w:r w:rsidRPr="00DC52EE">
        <w:rPr>
          <w:sz w:val="20"/>
          <w:szCs w:val="20"/>
        </w:rPr>
        <w:t>Ethiopia.</w:t>
      </w:r>
    </w:p>
    <w:p w:rsidR="00903A07" w:rsidRPr="00DC52EE" w:rsidRDefault="003A63BD" w:rsidP="00BB7760">
      <w:pPr>
        <w:pStyle w:val="ListParagraph"/>
        <w:numPr>
          <w:ilvl w:val="0"/>
          <w:numId w:val="21"/>
        </w:numPr>
        <w:snapToGrid w:val="0"/>
        <w:spacing w:after="0" w:line="240" w:lineRule="auto"/>
        <w:ind w:left="425" w:hanging="425"/>
        <w:jc w:val="both"/>
        <w:rPr>
          <w:rStyle w:val="Strong"/>
          <w:b w:val="0"/>
          <w:bCs w:val="0"/>
          <w:sz w:val="20"/>
          <w:szCs w:val="20"/>
        </w:rPr>
      </w:pPr>
      <w:r w:rsidRPr="00DC52EE">
        <w:rPr>
          <w:sz w:val="20"/>
          <w:szCs w:val="20"/>
        </w:rPr>
        <w:t>Torgerson,</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Claxton,</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(1999):</w:t>
      </w:r>
      <w:r w:rsidR="00903A07" w:rsidRPr="00DC52EE">
        <w:rPr>
          <w:sz w:val="20"/>
          <w:szCs w:val="20"/>
        </w:rPr>
        <w:t xml:space="preserve"> </w:t>
      </w:r>
      <w:r w:rsidR="00FB5180" w:rsidRPr="00DC52EE">
        <w:rPr>
          <w:sz w:val="20"/>
          <w:szCs w:val="20"/>
        </w:rPr>
        <w:t>Epidemiology</w:t>
      </w:r>
      <w:r w:rsidR="00903A07" w:rsidRPr="00DC52EE">
        <w:rPr>
          <w:sz w:val="20"/>
          <w:szCs w:val="20"/>
        </w:rPr>
        <w:t xml:space="preserve"> </w:t>
      </w:r>
      <w:r w:rsidR="00FB2A62" w:rsidRPr="00DC52EE">
        <w:rPr>
          <w:sz w:val="20"/>
          <w:szCs w:val="20"/>
        </w:rPr>
        <w:t>and</w:t>
      </w:r>
      <w:r w:rsidR="00903A07" w:rsidRPr="00DC52EE">
        <w:rPr>
          <w:sz w:val="20"/>
          <w:szCs w:val="20"/>
        </w:rPr>
        <w:t xml:space="preserve"> </w:t>
      </w:r>
      <w:r w:rsidR="00FB2A62" w:rsidRPr="00DC52EE">
        <w:rPr>
          <w:sz w:val="20"/>
          <w:szCs w:val="20"/>
        </w:rPr>
        <w:t>control</w:t>
      </w:r>
      <w:r w:rsidR="001006F8" w:rsidRPr="00DC52EE">
        <w:rPr>
          <w:sz w:val="20"/>
          <w:szCs w:val="20"/>
        </w:rPr>
        <w:t>:</w:t>
      </w:r>
      <w:r w:rsidR="00903A07" w:rsidRPr="00DC52EE">
        <w:rPr>
          <w:sz w:val="20"/>
          <w:szCs w:val="20"/>
        </w:rPr>
        <w:t xml:space="preserve"> </w:t>
      </w:r>
      <w:r w:rsidR="001006F8" w:rsidRPr="00DC52EE">
        <w:rPr>
          <w:sz w:val="20"/>
          <w:szCs w:val="20"/>
        </w:rPr>
        <w:t>I</w:t>
      </w:r>
      <w:r w:rsidR="00FB2A62" w:rsidRPr="00DC52EE">
        <w:rPr>
          <w:sz w:val="20"/>
          <w:szCs w:val="20"/>
        </w:rPr>
        <w:t>n</w:t>
      </w:r>
      <w:r w:rsidR="00903A07" w:rsidRPr="00DC52EE">
        <w:rPr>
          <w:sz w:val="20"/>
          <w:szCs w:val="20"/>
        </w:rPr>
        <w:t xml:space="preserve"> </w:t>
      </w:r>
      <w:r w:rsidR="00FB2A62" w:rsidRPr="00DC52EE">
        <w:rPr>
          <w:sz w:val="20"/>
          <w:szCs w:val="20"/>
        </w:rPr>
        <w:t>fasciolosis</w:t>
      </w:r>
      <w:r w:rsidR="00903A07" w:rsidRPr="00DC52EE">
        <w:rPr>
          <w:sz w:val="20"/>
          <w:szCs w:val="20"/>
        </w:rPr>
        <w:t xml:space="preserve"> </w:t>
      </w:r>
      <w:r w:rsidR="001006F8" w:rsidRPr="00DC52EE">
        <w:rPr>
          <w:sz w:val="20"/>
          <w:szCs w:val="20"/>
        </w:rPr>
        <w:t>(ed.</w:t>
      </w:r>
      <w:r w:rsidR="00903A07" w:rsidRPr="00DC52EE">
        <w:rPr>
          <w:sz w:val="20"/>
          <w:szCs w:val="20"/>
        </w:rPr>
        <w:t xml:space="preserve"> </w:t>
      </w:r>
      <w:r w:rsidR="001006F8" w:rsidRPr="00DC52EE">
        <w:rPr>
          <w:sz w:val="20"/>
          <w:szCs w:val="20"/>
        </w:rPr>
        <w:t>Dalton</w:t>
      </w:r>
      <w:r w:rsidR="00BB7760" w:rsidRPr="00DC52EE">
        <w:rPr>
          <w:sz w:val="20"/>
          <w:szCs w:val="20"/>
        </w:rPr>
        <w:t>, J</w:t>
      </w:r>
      <w:r w:rsidR="001006F8" w:rsidRPr="00DC52EE">
        <w:rPr>
          <w:sz w:val="20"/>
          <w:szCs w:val="20"/>
        </w:rPr>
        <w:t>.P.)</w:t>
      </w:r>
      <w:r w:rsidR="00903A07" w:rsidRPr="00DC52EE">
        <w:rPr>
          <w:sz w:val="20"/>
          <w:szCs w:val="20"/>
        </w:rPr>
        <w:t xml:space="preserve"> </w:t>
      </w:r>
      <w:r w:rsidR="001006F8" w:rsidRPr="00DC52EE">
        <w:rPr>
          <w:sz w:val="20"/>
          <w:szCs w:val="20"/>
        </w:rPr>
        <w:t>CAB</w:t>
      </w:r>
      <w:r w:rsidR="00903A07" w:rsidRPr="00DC52EE">
        <w:rPr>
          <w:sz w:val="20"/>
          <w:szCs w:val="20"/>
        </w:rPr>
        <w:t xml:space="preserve"> </w:t>
      </w:r>
      <w:r w:rsidR="00FB2A62" w:rsidRPr="00DC52EE">
        <w:rPr>
          <w:sz w:val="20"/>
          <w:szCs w:val="20"/>
        </w:rPr>
        <w:t>i</w:t>
      </w:r>
      <w:r w:rsidRPr="00DC52EE">
        <w:rPr>
          <w:sz w:val="20"/>
          <w:szCs w:val="20"/>
        </w:rPr>
        <w:t>nternational</w:t>
      </w:r>
      <w:r w:rsidR="001006F8" w:rsidRPr="00DC52EE">
        <w:rPr>
          <w:sz w:val="20"/>
          <w:szCs w:val="20"/>
        </w:rPr>
        <w:t>.</w:t>
      </w:r>
    </w:p>
    <w:p w:rsidR="00903A07" w:rsidRPr="00DC52EE" w:rsidRDefault="00926239" w:rsidP="00BB7760">
      <w:pPr>
        <w:pStyle w:val="ListParagraph"/>
        <w:numPr>
          <w:ilvl w:val="0"/>
          <w:numId w:val="21"/>
        </w:numPr>
        <w:snapToGrid w:val="0"/>
        <w:spacing w:after="0" w:line="240" w:lineRule="auto"/>
        <w:ind w:left="425" w:hanging="425"/>
        <w:jc w:val="both"/>
        <w:rPr>
          <w:rStyle w:val="Strong"/>
          <w:b w:val="0"/>
          <w:bCs w:val="0"/>
          <w:sz w:val="20"/>
          <w:szCs w:val="20"/>
        </w:rPr>
      </w:pPr>
      <w:r w:rsidRPr="00DC52EE">
        <w:rPr>
          <w:sz w:val="20"/>
          <w:szCs w:val="20"/>
        </w:rPr>
        <w:t>Urquhart,</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Armour,</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Duncan,</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Dunn,</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Jennings,</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(1996):</w:t>
      </w:r>
      <w:r w:rsidR="00903A07" w:rsidRPr="00DC52EE">
        <w:rPr>
          <w:sz w:val="20"/>
          <w:szCs w:val="20"/>
        </w:rPr>
        <w:t xml:space="preserve"> </w:t>
      </w:r>
      <w:r w:rsidRPr="00DC52EE">
        <w:rPr>
          <w:iCs/>
          <w:sz w:val="20"/>
          <w:szCs w:val="20"/>
        </w:rPr>
        <w:t>Veterinary</w:t>
      </w:r>
      <w:r w:rsidR="00903A07" w:rsidRPr="00DC52EE">
        <w:rPr>
          <w:iCs/>
          <w:sz w:val="20"/>
          <w:szCs w:val="20"/>
        </w:rPr>
        <w:t xml:space="preserve"> </w:t>
      </w:r>
      <w:r w:rsidRPr="00DC52EE">
        <w:rPr>
          <w:iCs/>
          <w:sz w:val="20"/>
          <w:szCs w:val="20"/>
        </w:rPr>
        <w:t>Parasitology</w:t>
      </w:r>
      <w:r w:rsidR="00903A07" w:rsidRPr="00DC52EE">
        <w:rPr>
          <w:iCs/>
          <w:sz w:val="20"/>
          <w:szCs w:val="20"/>
        </w:rPr>
        <w:t xml:space="preserve"> </w:t>
      </w:r>
      <w:r w:rsidRPr="00DC52EE">
        <w:rPr>
          <w:sz w:val="20"/>
          <w:szCs w:val="20"/>
        </w:rPr>
        <w:t>2</w:t>
      </w:r>
      <w:r w:rsidRPr="00DC52EE">
        <w:rPr>
          <w:sz w:val="20"/>
          <w:szCs w:val="20"/>
          <w:vertAlign w:val="superscript"/>
        </w:rPr>
        <w:t>nd</w:t>
      </w:r>
      <w:r w:rsidR="00903A07" w:rsidRPr="00DC52EE">
        <w:rPr>
          <w:sz w:val="20"/>
          <w:szCs w:val="20"/>
        </w:rPr>
        <w:t xml:space="preserve"> </w:t>
      </w:r>
      <w:r w:rsidR="00E6193F" w:rsidRPr="00DC52EE">
        <w:rPr>
          <w:sz w:val="20"/>
          <w:szCs w:val="20"/>
        </w:rPr>
        <w:t>ed</w:t>
      </w:r>
      <w:r w:rsidRPr="00DC52EE">
        <w:rPr>
          <w:sz w:val="20"/>
          <w:szCs w:val="20"/>
        </w:rPr>
        <w:t>.</w:t>
      </w:r>
      <w:r w:rsidR="00903A07" w:rsidRPr="00DC52EE">
        <w:rPr>
          <w:sz w:val="20"/>
          <w:szCs w:val="20"/>
        </w:rPr>
        <w:t xml:space="preserve"> </w:t>
      </w:r>
      <w:r w:rsidRPr="00DC52EE">
        <w:rPr>
          <w:sz w:val="20"/>
          <w:szCs w:val="20"/>
        </w:rPr>
        <w:t>Blackwell</w:t>
      </w:r>
      <w:r w:rsidR="00903A07" w:rsidRPr="00DC52EE">
        <w:rPr>
          <w:sz w:val="20"/>
          <w:szCs w:val="20"/>
        </w:rPr>
        <w:t xml:space="preserve"> </w:t>
      </w:r>
      <w:r w:rsidRPr="00DC52EE">
        <w:rPr>
          <w:sz w:val="20"/>
          <w:szCs w:val="20"/>
        </w:rPr>
        <w:t>science,</w:t>
      </w:r>
      <w:r w:rsidR="00903A07" w:rsidRPr="00DC52EE">
        <w:rPr>
          <w:sz w:val="20"/>
          <w:szCs w:val="20"/>
        </w:rPr>
        <w:t xml:space="preserve"> </w:t>
      </w:r>
      <w:r w:rsidRPr="00DC52EE">
        <w:rPr>
          <w:sz w:val="20"/>
          <w:szCs w:val="20"/>
        </w:rPr>
        <w:t>United</w:t>
      </w:r>
      <w:r w:rsidR="00903A07" w:rsidRPr="00DC52EE">
        <w:rPr>
          <w:sz w:val="20"/>
          <w:szCs w:val="20"/>
        </w:rPr>
        <w:t xml:space="preserve"> </w:t>
      </w:r>
      <w:r w:rsidRPr="00DC52EE">
        <w:rPr>
          <w:sz w:val="20"/>
          <w:szCs w:val="20"/>
        </w:rPr>
        <w:t>Kingdom.</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307.</w:t>
      </w:r>
    </w:p>
    <w:p w:rsidR="00903A07" w:rsidRPr="00DC52EE" w:rsidRDefault="00A26193" w:rsidP="00BB7760">
      <w:pPr>
        <w:pStyle w:val="ListParagraph"/>
        <w:numPr>
          <w:ilvl w:val="0"/>
          <w:numId w:val="21"/>
        </w:numPr>
        <w:autoSpaceDE w:val="0"/>
        <w:autoSpaceDN w:val="0"/>
        <w:adjustRightInd w:val="0"/>
        <w:snapToGrid w:val="0"/>
        <w:spacing w:after="0" w:line="240" w:lineRule="auto"/>
        <w:ind w:left="425" w:hanging="425"/>
        <w:jc w:val="both"/>
        <w:rPr>
          <w:rStyle w:val="Strong"/>
          <w:b w:val="0"/>
          <w:bCs w:val="0"/>
          <w:sz w:val="20"/>
          <w:szCs w:val="20"/>
        </w:rPr>
      </w:pPr>
      <w:r w:rsidRPr="00DC52EE">
        <w:rPr>
          <w:sz w:val="20"/>
          <w:szCs w:val="20"/>
        </w:rPr>
        <w:t>Van</w:t>
      </w:r>
      <w:r w:rsidR="00903A07" w:rsidRPr="00DC52EE">
        <w:rPr>
          <w:sz w:val="20"/>
          <w:szCs w:val="20"/>
        </w:rPr>
        <w:t xml:space="preserve"> </w:t>
      </w:r>
      <w:r w:rsidRPr="00DC52EE">
        <w:rPr>
          <w:sz w:val="20"/>
          <w:szCs w:val="20"/>
        </w:rPr>
        <w:t>Wyk,</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Cabaret,</w:t>
      </w:r>
      <w:r w:rsidR="00903A07" w:rsidRPr="00DC52EE">
        <w:rPr>
          <w:sz w:val="20"/>
          <w:szCs w:val="20"/>
        </w:rPr>
        <w:t xml:space="preserve"> </w:t>
      </w:r>
      <w:r w:rsidRPr="00DC52EE">
        <w:rPr>
          <w:sz w:val="20"/>
          <w:szCs w:val="20"/>
        </w:rPr>
        <w:t>A.J.</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Michael,</w:t>
      </w:r>
      <w:r w:rsidR="00903A07" w:rsidRPr="00DC52EE">
        <w:rPr>
          <w:sz w:val="20"/>
          <w:szCs w:val="20"/>
        </w:rPr>
        <w:t xml:space="preserve"> </w:t>
      </w:r>
      <w:r w:rsidRPr="00DC52EE">
        <w:rPr>
          <w:sz w:val="20"/>
          <w:szCs w:val="20"/>
        </w:rPr>
        <w:t>L.M.</w:t>
      </w:r>
      <w:r w:rsidR="00903A07" w:rsidRPr="00DC52EE">
        <w:rPr>
          <w:sz w:val="20"/>
          <w:szCs w:val="20"/>
        </w:rPr>
        <w:t xml:space="preserve"> </w:t>
      </w:r>
      <w:r w:rsidRPr="00DC52EE">
        <w:rPr>
          <w:sz w:val="20"/>
          <w:szCs w:val="20"/>
        </w:rPr>
        <w:t>(2004):</w:t>
      </w:r>
      <w:r w:rsidR="00903A07" w:rsidRPr="00DC52EE">
        <w:rPr>
          <w:sz w:val="20"/>
          <w:szCs w:val="20"/>
        </w:rPr>
        <w:t xml:space="preserve"> </w:t>
      </w:r>
      <w:r w:rsidRPr="00DC52EE">
        <w:rPr>
          <w:sz w:val="20"/>
          <w:szCs w:val="20"/>
        </w:rPr>
        <w:t>Morphological</w:t>
      </w:r>
      <w:r w:rsidR="00903A07" w:rsidRPr="00DC52EE">
        <w:rPr>
          <w:sz w:val="20"/>
          <w:szCs w:val="20"/>
        </w:rPr>
        <w:t xml:space="preserve"> </w:t>
      </w:r>
      <w:r w:rsidRPr="00DC52EE">
        <w:rPr>
          <w:sz w:val="20"/>
          <w:szCs w:val="20"/>
        </w:rPr>
        <w:t>identification</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larvae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cattle</w:t>
      </w:r>
      <w:r w:rsidR="00903A07" w:rsidRPr="00DC52EE">
        <w:rPr>
          <w:sz w:val="20"/>
          <w:szCs w:val="20"/>
        </w:rPr>
        <w:t xml:space="preserve"> </w:t>
      </w:r>
      <w:r w:rsidRPr="00DC52EE">
        <w:rPr>
          <w:sz w:val="20"/>
          <w:szCs w:val="20"/>
        </w:rPr>
        <w:t>simp</w:t>
      </w:r>
      <w:r w:rsidR="00E6193F" w:rsidRPr="00DC52EE">
        <w:rPr>
          <w:sz w:val="20"/>
          <w:szCs w:val="20"/>
        </w:rPr>
        <w:t>lified.</w:t>
      </w:r>
      <w:r w:rsidR="00903A07" w:rsidRPr="00DC52EE">
        <w:rPr>
          <w:sz w:val="20"/>
          <w:szCs w:val="20"/>
        </w:rPr>
        <w:t xml:space="preserve"> </w:t>
      </w:r>
      <w:r w:rsidR="00E6193F" w:rsidRPr="00DC52EE">
        <w:rPr>
          <w:i/>
          <w:sz w:val="20"/>
          <w:szCs w:val="20"/>
        </w:rPr>
        <w:t>Veterinary</w:t>
      </w:r>
      <w:r w:rsidR="00903A07" w:rsidRPr="00DC52EE">
        <w:rPr>
          <w:i/>
          <w:sz w:val="20"/>
          <w:szCs w:val="20"/>
        </w:rPr>
        <w:t xml:space="preserve"> </w:t>
      </w:r>
      <w:r w:rsidR="00E6193F" w:rsidRPr="00DC52EE">
        <w:rPr>
          <w:i/>
          <w:sz w:val="20"/>
          <w:szCs w:val="20"/>
        </w:rPr>
        <w:t>Parasitology</w:t>
      </w:r>
      <w:r w:rsidR="005D2EB5" w:rsidRPr="00DC52EE">
        <w:rPr>
          <w:sz w:val="20"/>
          <w:szCs w:val="20"/>
        </w:rPr>
        <w:t>,</w:t>
      </w:r>
      <w:r w:rsidR="00903A07" w:rsidRPr="00DC52EE">
        <w:rPr>
          <w:sz w:val="20"/>
          <w:szCs w:val="20"/>
        </w:rPr>
        <w:t xml:space="preserve"> </w:t>
      </w:r>
      <w:r w:rsidRPr="00DC52EE">
        <w:rPr>
          <w:sz w:val="20"/>
          <w:szCs w:val="20"/>
        </w:rPr>
        <w:t>119:</w:t>
      </w:r>
      <w:r w:rsidR="00903A07" w:rsidRPr="00DC52EE">
        <w:rPr>
          <w:sz w:val="20"/>
          <w:szCs w:val="20"/>
        </w:rPr>
        <w:t xml:space="preserve"> </w:t>
      </w:r>
      <w:r w:rsidRPr="00DC52EE">
        <w:rPr>
          <w:sz w:val="20"/>
          <w:szCs w:val="20"/>
        </w:rPr>
        <w:t>277-306.</w:t>
      </w:r>
    </w:p>
    <w:p w:rsidR="00903A07" w:rsidRPr="00DC52EE" w:rsidRDefault="00C90CAB" w:rsidP="00BB7760">
      <w:pPr>
        <w:pStyle w:val="ListParagraph"/>
        <w:numPr>
          <w:ilvl w:val="0"/>
          <w:numId w:val="21"/>
        </w:numPr>
        <w:snapToGrid w:val="0"/>
        <w:spacing w:after="0" w:line="240" w:lineRule="auto"/>
        <w:ind w:left="425" w:hanging="425"/>
        <w:jc w:val="both"/>
        <w:rPr>
          <w:sz w:val="20"/>
          <w:szCs w:val="20"/>
        </w:rPr>
      </w:pPr>
      <w:r w:rsidRPr="00DC52EE">
        <w:rPr>
          <w:sz w:val="20"/>
          <w:szCs w:val="20"/>
        </w:rPr>
        <w:t>Vatta,</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Lindberg,</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(2006):</w:t>
      </w:r>
      <w:r w:rsidR="00903A07" w:rsidRPr="00DC52EE">
        <w:rPr>
          <w:sz w:val="20"/>
          <w:szCs w:val="20"/>
        </w:rPr>
        <w:t xml:space="preserve"> </w:t>
      </w:r>
      <w:r w:rsidRPr="00DC52EE">
        <w:rPr>
          <w:sz w:val="20"/>
          <w:szCs w:val="20"/>
        </w:rPr>
        <w:t>Managing</w:t>
      </w:r>
      <w:r w:rsidR="00903A07" w:rsidRPr="00DC52EE">
        <w:rPr>
          <w:sz w:val="20"/>
          <w:szCs w:val="20"/>
        </w:rPr>
        <w:t xml:space="preserve"> </w:t>
      </w:r>
      <w:r w:rsidRPr="00DC52EE">
        <w:rPr>
          <w:sz w:val="20"/>
          <w:szCs w:val="20"/>
        </w:rPr>
        <w:t>antihelminthic</w:t>
      </w:r>
      <w:r w:rsidR="00903A07" w:rsidRPr="00DC52EE">
        <w:rPr>
          <w:sz w:val="20"/>
          <w:szCs w:val="20"/>
        </w:rPr>
        <w:t xml:space="preserve"> </w:t>
      </w:r>
      <w:r w:rsidRPr="00DC52EE">
        <w:rPr>
          <w:sz w:val="20"/>
          <w:szCs w:val="20"/>
        </w:rPr>
        <w:t>resistance</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small</w:t>
      </w:r>
      <w:r w:rsidR="00903A07" w:rsidRPr="00DC52EE">
        <w:rPr>
          <w:sz w:val="20"/>
          <w:szCs w:val="20"/>
        </w:rPr>
        <w:t xml:space="preserve"> </w:t>
      </w:r>
      <w:r w:rsidRPr="00DC52EE">
        <w:rPr>
          <w:sz w:val="20"/>
          <w:szCs w:val="20"/>
        </w:rPr>
        <w:t>ruminant</w:t>
      </w:r>
      <w:r w:rsidR="00903A07" w:rsidRPr="00DC52EE">
        <w:rPr>
          <w:sz w:val="20"/>
          <w:szCs w:val="20"/>
        </w:rPr>
        <w:t xml:space="preserve"> </w:t>
      </w:r>
      <w:r w:rsidRPr="00DC52EE">
        <w:rPr>
          <w:sz w:val="20"/>
          <w:szCs w:val="20"/>
        </w:rPr>
        <w:t>livestock</w:t>
      </w:r>
      <w:r w:rsidR="00903A07" w:rsidRPr="00DC52EE">
        <w:rPr>
          <w:sz w:val="20"/>
          <w:szCs w:val="20"/>
        </w:rPr>
        <w:t xml:space="preserve"> </w:t>
      </w:r>
      <w:r w:rsidRPr="00DC52EE">
        <w:rPr>
          <w:sz w:val="20"/>
          <w:szCs w:val="20"/>
        </w:rPr>
        <w:t>resource</w:t>
      </w:r>
      <w:r w:rsidR="00903A07" w:rsidRPr="00DC52EE">
        <w:rPr>
          <w:sz w:val="20"/>
          <w:szCs w:val="20"/>
        </w:rPr>
        <w:t xml:space="preserve"> </w:t>
      </w:r>
      <w:r w:rsidRPr="00DC52EE">
        <w:rPr>
          <w:sz w:val="20"/>
          <w:szCs w:val="20"/>
        </w:rPr>
        <w:t>poor</w:t>
      </w:r>
      <w:r w:rsidR="00903A07" w:rsidRPr="00DC52EE">
        <w:rPr>
          <w:sz w:val="20"/>
          <w:szCs w:val="20"/>
        </w:rPr>
        <w:t xml:space="preserve"> </w:t>
      </w:r>
      <w:r w:rsidRPr="00DC52EE">
        <w:rPr>
          <w:sz w:val="20"/>
          <w:szCs w:val="20"/>
        </w:rPr>
        <w:t>farmers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South</w:t>
      </w:r>
      <w:r w:rsidR="00903A07" w:rsidRPr="00DC52EE">
        <w:rPr>
          <w:sz w:val="20"/>
          <w:szCs w:val="20"/>
        </w:rPr>
        <w:t xml:space="preserve"> </w:t>
      </w:r>
      <w:r w:rsidRPr="00DC52EE">
        <w:rPr>
          <w:sz w:val="20"/>
          <w:szCs w:val="20"/>
        </w:rPr>
        <w:t>Africa.</w:t>
      </w:r>
      <w:r w:rsidR="00903A07" w:rsidRPr="00DC52EE">
        <w:rPr>
          <w:sz w:val="20"/>
          <w:szCs w:val="20"/>
        </w:rPr>
        <w:t xml:space="preserve"> </w:t>
      </w:r>
      <w:r w:rsidR="00C13D3E" w:rsidRPr="00DC52EE">
        <w:rPr>
          <w:i/>
          <w:sz w:val="20"/>
          <w:szCs w:val="20"/>
        </w:rPr>
        <w:t>Jour.</w:t>
      </w:r>
      <w:r w:rsidR="00903A07" w:rsidRPr="00DC52EE">
        <w:rPr>
          <w:i/>
          <w:sz w:val="20"/>
          <w:szCs w:val="20"/>
        </w:rPr>
        <w:t xml:space="preserve"> </w:t>
      </w:r>
      <w:r w:rsidRPr="00DC52EE">
        <w:rPr>
          <w:i/>
          <w:sz w:val="20"/>
          <w:szCs w:val="20"/>
        </w:rPr>
        <w:t>of</w:t>
      </w:r>
      <w:r w:rsidR="00903A07" w:rsidRPr="00DC52EE">
        <w:rPr>
          <w:i/>
          <w:sz w:val="20"/>
          <w:szCs w:val="20"/>
        </w:rPr>
        <w:t xml:space="preserve"> </w:t>
      </w:r>
      <w:r w:rsidR="00C13D3E" w:rsidRPr="00DC52EE">
        <w:rPr>
          <w:i/>
          <w:sz w:val="20"/>
          <w:szCs w:val="20"/>
        </w:rPr>
        <w:t>Afr.</w:t>
      </w:r>
      <w:r w:rsidR="00903A07" w:rsidRPr="00DC52EE">
        <w:rPr>
          <w:i/>
          <w:sz w:val="20"/>
          <w:szCs w:val="20"/>
        </w:rPr>
        <w:t xml:space="preserve"> </w:t>
      </w:r>
      <w:r w:rsidR="00C13D3E" w:rsidRPr="00DC52EE">
        <w:rPr>
          <w:i/>
          <w:sz w:val="20"/>
          <w:szCs w:val="20"/>
        </w:rPr>
        <w:t>Veter</w:t>
      </w:r>
      <w:r w:rsidR="00BB7760" w:rsidRPr="00DC52EE">
        <w:rPr>
          <w:i/>
          <w:sz w:val="20"/>
          <w:szCs w:val="20"/>
        </w:rPr>
        <w:t>. A</w:t>
      </w:r>
      <w:r w:rsidRPr="00DC52EE">
        <w:rPr>
          <w:i/>
          <w:sz w:val="20"/>
          <w:szCs w:val="20"/>
        </w:rPr>
        <w:t>sso</w:t>
      </w:r>
      <w:r w:rsidRPr="00DC52EE">
        <w:rPr>
          <w:sz w:val="20"/>
          <w:szCs w:val="20"/>
        </w:rPr>
        <w:t>.77:</w:t>
      </w:r>
      <w:r w:rsidR="00903A07" w:rsidRPr="00DC52EE">
        <w:rPr>
          <w:sz w:val="20"/>
          <w:szCs w:val="20"/>
        </w:rPr>
        <w:t xml:space="preserve"> </w:t>
      </w:r>
      <w:r w:rsidRPr="00DC52EE">
        <w:rPr>
          <w:sz w:val="20"/>
          <w:szCs w:val="20"/>
        </w:rPr>
        <w:t>2-8.</w:t>
      </w:r>
    </w:p>
    <w:p w:rsidR="00903A07" w:rsidRPr="00DC52EE" w:rsidRDefault="00CC033C"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Vlassoff,</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(1998):</w:t>
      </w:r>
      <w:r w:rsidR="00903A07" w:rsidRPr="00DC52EE">
        <w:rPr>
          <w:sz w:val="20"/>
          <w:szCs w:val="20"/>
        </w:rPr>
        <w:t xml:space="preserve"> </w:t>
      </w:r>
      <w:r w:rsidRPr="00DC52EE">
        <w:rPr>
          <w:sz w:val="20"/>
          <w:szCs w:val="20"/>
        </w:rPr>
        <w:t>Important</w:t>
      </w:r>
      <w:r w:rsidR="00903A07" w:rsidRPr="00DC52EE">
        <w:rPr>
          <w:sz w:val="20"/>
          <w:szCs w:val="20"/>
        </w:rPr>
        <w:t xml:space="preserve"> </w:t>
      </w:r>
      <w:r w:rsidRPr="00DC52EE">
        <w:rPr>
          <w:sz w:val="20"/>
          <w:szCs w:val="20"/>
        </w:rPr>
        <w:t>round</w:t>
      </w:r>
      <w:r w:rsidR="00903A07" w:rsidRPr="00DC52EE">
        <w:rPr>
          <w:sz w:val="20"/>
          <w:szCs w:val="20"/>
        </w:rPr>
        <w:t xml:space="preserve"> </w:t>
      </w:r>
      <w:r w:rsidRPr="00DC52EE">
        <w:rPr>
          <w:sz w:val="20"/>
          <w:szCs w:val="20"/>
        </w:rPr>
        <w:t>worms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iCs/>
          <w:sz w:val="20"/>
          <w:szCs w:val="20"/>
        </w:rPr>
        <w:t>Parasite</w:t>
      </w:r>
      <w:r w:rsidR="00903A07" w:rsidRPr="00DC52EE">
        <w:rPr>
          <w:iCs/>
          <w:sz w:val="20"/>
          <w:szCs w:val="20"/>
        </w:rPr>
        <w:t xml:space="preserve"> </w:t>
      </w:r>
      <w:r w:rsidRPr="00DC52EE">
        <w:rPr>
          <w:iCs/>
          <w:sz w:val="20"/>
          <w:szCs w:val="20"/>
        </w:rPr>
        <w:t>Notes1</w:t>
      </w:r>
      <w:r w:rsidR="00FD1715" w:rsidRPr="00DC52EE">
        <w:rPr>
          <w:i/>
          <w:iCs/>
          <w:sz w:val="20"/>
          <w:szCs w:val="20"/>
        </w:rPr>
        <w:t>.</w:t>
      </w:r>
      <w:r w:rsidRPr="00DC52EE">
        <w:rPr>
          <w:iCs/>
          <w:sz w:val="20"/>
          <w:szCs w:val="20"/>
        </w:rPr>
        <w:t>A</w:t>
      </w:r>
      <w:r w:rsidR="00903A07" w:rsidRPr="00DC52EE">
        <w:rPr>
          <w:iCs/>
          <w:sz w:val="20"/>
          <w:szCs w:val="20"/>
        </w:rPr>
        <w:t xml:space="preserve"> </w:t>
      </w:r>
      <w:r w:rsidRPr="00DC52EE">
        <w:rPr>
          <w:iCs/>
          <w:sz w:val="20"/>
          <w:szCs w:val="20"/>
        </w:rPr>
        <w:t>NZ</w:t>
      </w:r>
      <w:r w:rsidR="00903A07" w:rsidRPr="00DC52EE">
        <w:rPr>
          <w:iCs/>
          <w:sz w:val="20"/>
          <w:szCs w:val="20"/>
        </w:rPr>
        <w:t xml:space="preserve"> </w:t>
      </w:r>
      <w:r w:rsidRPr="00DC52EE">
        <w:rPr>
          <w:iCs/>
          <w:sz w:val="20"/>
          <w:szCs w:val="20"/>
        </w:rPr>
        <w:t>Sheep</w:t>
      </w:r>
      <w:r w:rsidR="00903A07" w:rsidRPr="00DC52EE">
        <w:rPr>
          <w:iCs/>
          <w:sz w:val="20"/>
          <w:szCs w:val="20"/>
        </w:rPr>
        <w:t xml:space="preserve"> </w:t>
      </w:r>
      <w:r w:rsidRPr="00DC52EE">
        <w:rPr>
          <w:iCs/>
          <w:sz w:val="20"/>
          <w:szCs w:val="20"/>
        </w:rPr>
        <w:t>Counci</w:t>
      </w:r>
      <w:r w:rsidR="00FD1715" w:rsidRPr="00DC52EE">
        <w:rPr>
          <w:iCs/>
          <w:sz w:val="20"/>
          <w:szCs w:val="20"/>
        </w:rPr>
        <w:t>l</w:t>
      </w:r>
      <w:r w:rsidR="00903A07" w:rsidRPr="00DC52EE">
        <w:rPr>
          <w:iCs/>
          <w:sz w:val="20"/>
          <w:szCs w:val="20"/>
        </w:rPr>
        <w:t xml:space="preserve"> </w:t>
      </w:r>
      <w:r w:rsidR="00FD1715" w:rsidRPr="00DC52EE">
        <w:rPr>
          <w:iCs/>
          <w:sz w:val="20"/>
          <w:szCs w:val="20"/>
        </w:rPr>
        <w:t>and</w:t>
      </w:r>
      <w:r w:rsidR="00903A07" w:rsidRPr="00DC52EE">
        <w:rPr>
          <w:iCs/>
          <w:sz w:val="20"/>
          <w:szCs w:val="20"/>
        </w:rPr>
        <w:t xml:space="preserve"> </w:t>
      </w:r>
      <w:r w:rsidR="00FD1715" w:rsidRPr="00DC52EE">
        <w:rPr>
          <w:iCs/>
          <w:sz w:val="20"/>
          <w:szCs w:val="20"/>
        </w:rPr>
        <w:t>Merial</w:t>
      </w:r>
      <w:r w:rsidR="00903A07" w:rsidRPr="00DC52EE">
        <w:rPr>
          <w:iCs/>
          <w:sz w:val="20"/>
          <w:szCs w:val="20"/>
        </w:rPr>
        <w:t xml:space="preserve"> </w:t>
      </w:r>
      <w:r w:rsidR="00FD1715" w:rsidRPr="00DC52EE">
        <w:rPr>
          <w:iCs/>
          <w:sz w:val="20"/>
          <w:szCs w:val="20"/>
        </w:rPr>
        <w:t>NZ</w:t>
      </w:r>
      <w:r w:rsidR="00903A07" w:rsidRPr="00DC52EE">
        <w:rPr>
          <w:iCs/>
          <w:sz w:val="20"/>
          <w:szCs w:val="20"/>
        </w:rPr>
        <w:t xml:space="preserve"> </w:t>
      </w:r>
      <w:r w:rsidR="00FD1715" w:rsidRPr="00DC52EE">
        <w:rPr>
          <w:iCs/>
          <w:sz w:val="20"/>
          <w:szCs w:val="20"/>
        </w:rPr>
        <w:t>Ltd</w:t>
      </w:r>
      <w:r w:rsidR="00903A07" w:rsidRPr="00DC52EE">
        <w:rPr>
          <w:iCs/>
          <w:sz w:val="20"/>
          <w:szCs w:val="20"/>
        </w:rPr>
        <w:t xml:space="preserve"> </w:t>
      </w:r>
      <w:r w:rsidR="00FD1715" w:rsidRPr="00DC52EE">
        <w:rPr>
          <w:iCs/>
          <w:sz w:val="20"/>
          <w:szCs w:val="20"/>
        </w:rPr>
        <w:t>Publication.</w:t>
      </w:r>
      <w:r w:rsidR="00903A07" w:rsidRPr="00DC52EE">
        <w:rPr>
          <w:iCs/>
          <w:sz w:val="20"/>
          <w:szCs w:val="20"/>
        </w:rPr>
        <w:t xml:space="preserve"> </w:t>
      </w:r>
      <w:r w:rsidRPr="00DC52EE">
        <w:rPr>
          <w:iCs/>
          <w:sz w:val="20"/>
          <w:szCs w:val="20"/>
        </w:rPr>
        <w:t>Pp</w:t>
      </w:r>
      <w:r w:rsidRPr="00DC52EE">
        <w:rPr>
          <w:i/>
          <w:iCs/>
          <w:sz w:val="20"/>
          <w:szCs w:val="20"/>
        </w:rPr>
        <w:t>:</w:t>
      </w:r>
      <w:r w:rsidR="00903A07" w:rsidRPr="00DC52EE">
        <w:rPr>
          <w:i/>
          <w:iCs/>
          <w:sz w:val="20"/>
          <w:szCs w:val="20"/>
        </w:rPr>
        <w:t xml:space="preserve"> </w:t>
      </w:r>
      <w:r w:rsidRPr="00DC52EE">
        <w:rPr>
          <w:sz w:val="20"/>
          <w:szCs w:val="20"/>
        </w:rPr>
        <w:t>6-10.</w:t>
      </w:r>
    </w:p>
    <w:p w:rsidR="00903A07" w:rsidRPr="00DC52EE" w:rsidRDefault="001822AA"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lastRenderedPageBreak/>
        <w:t>Vlassoff,</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Leathwick,</w:t>
      </w:r>
      <w:r w:rsidR="00903A07" w:rsidRPr="00DC52EE">
        <w:rPr>
          <w:sz w:val="20"/>
          <w:szCs w:val="20"/>
        </w:rPr>
        <w:t xml:space="preserve"> </w:t>
      </w:r>
      <w:r w:rsidRPr="00DC52EE">
        <w:rPr>
          <w:sz w:val="20"/>
          <w:szCs w:val="20"/>
        </w:rPr>
        <w:t>D.M.</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Heath,</w:t>
      </w:r>
      <w:r w:rsidR="00903A07" w:rsidRPr="00DC52EE">
        <w:rPr>
          <w:sz w:val="20"/>
          <w:szCs w:val="20"/>
        </w:rPr>
        <w:t xml:space="preserve"> </w:t>
      </w:r>
      <w:r w:rsidRPr="00DC52EE">
        <w:rPr>
          <w:sz w:val="20"/>
          <w:szCs w:val="20"/>
        </w:rPr>
        <w:t>A.G.C.</w:t>
      </w:r>
      <w:r w:rsidR="00903A07" w:rsidRPr="00DC52EE">
        <w:rPr>
          <w:sz w:val="20"/>
          <w:szCs w:val="20"/>
        </w:rPr>
        <w:t xml:space="preserve"> </w:t>
      </w:r>
      <w:r w:rsidRPr="00DC52EE">
        <w:rPr>
          <w:sz w:val="20"/>
          <w:szCs w:val="20"/>
        </w:rPr>
        <w:t>(2001):</w:t>
      </w:r>
      <w:r w:rsidR="00903A07" w:rsidRPr="00DC52EE">
        <w:rPr>
          <w:sz w:val="20"/>
          <w:szCs w:val="20"/>
        </w:rPr>
        <w:t xml:space="preserve"> </w:t>
      </w:r>
      <w:r w:rsidRPr="00DC52EE">
        <w:rPr>
          <w:sz w:val="20"/>
          <w:szCs w:val="20"/>
        </w:rPr>
        <w:t>The</w:t>
      </w:r>
      <w:r w:rsidR="00903A07" w:rsidRPr="00DC52EE">
        <w:rPr>
          <w:sz w:val="20"/>
          <w:szCs w:val="20"/>
        </w:rPr>
        <w:t xml:space="preserve"> </w:t>
      </w:r>
      <w:r w:rsidRPr="00DC52EE">
        <w:rPr>
          <w:sz w:val="20"/>
          <w:szCs w:val="20"/>
        </w:rPr>
        <w:t>epidemiology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nematode</w:t>
      </w:r>
      <w:r w:rsidR="00903A07" w:rsidRPr="00DC52EE">
        <w:rPr>
          <w:sz w:val="20"/>
          <w:szCs w:val="20"/>
        </w:rPr>
        <w:t xml:space="preserve"> </w:t>
      </w:r>
      <w:r w:rsidRPr="00DC52EE">
        <w:rPr>
          <w:sz w:val="20"/>
          <w:szCs w:val="20"/>
        </w:rPr>
        <w:t>infections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00FD1715" w:rsidRPr="00DC52EE">
        <w:rPr>
          <w:i/>
          <w:iCs/>
          <w:sz w:val="20"/>
          <w:szCs w:val="20"/>
        </w:rPr>
        <w:t>NZ</w:t>
      </w:r>
      <w:r w:rsidR="00903A07" w:rsidRPr="00DC52EE">
        <w:rPr>
          <w:i/>
          <w:iCs/>
          <w:sz w:val="20"/>
          <w:szCs w:val="20"/>
        </w:rPr>
        <w:t xml:space="preserve"> </w:t>
      </w:r>
      <w:r w:rsidR="00FD1715" w:rsidRPr="00DC52EE">
        <w:rPr>
          <w:i/>
          <w:iCs/>
          <w:sz w:val="20"/>
          <w:szCs w:val="20"/>
        </w:rPr>
        <w:t>Veter.</w:t>
      </w:r>
      <w:r w:rsidR="00903A07" w:rsidRPr="00DC52EE">
        <w:rPr>
          <w:i/>
          <w:iCs/>
          <w:sz w:val="20"/>
          <w:szCs w:val="20"/>
        </w:rPr>
        <w:t xml:space="preserve"> </w:t>
      </w:r>
      <w:r w:rsidR="00FD1715" w:rsidRPr="00DC52EE">
        <w:rPr>
          <w:i/>
          <w:iCs/>
          <w:sz w:val="20"/>
          <w:szCs w:val="20"/>
        </w:rPr>
        <w:t>Jour.</w:t>
      </w:r>
      <w:r w:rsidR="005D2EB5" w:rsidRPr="00DC52EE">
        <w:rPr>
          <w:i/>
          <w:iCs/>
          <w:sz w:val="20"/>
          <w:szCs w:val="20"/>
        </w:rPr>
        <w:t>,</w:t>
      </w:r>
      <w:r w:rsidRPr="00DC52EE">
        <w:rPr>
          <w:i/>
          <w:iCs/>
          <w:sz w:val="20"/>
          <w:szCs w:val="20"/>
        </w:rPr>
        <w:t>49:</w:t>
      </w:r>
      <w:r w:rsidR="00347473" w:rsidRPr="00DC52EE">
        <w:rPr>
          <w:i/>
          <w:iCs/>
          <w:sz w:val="20"/>
          <w:szCs w:val="20"/>
        </w:rPr>
        <w:t>12-18.</w:t>
      </w:r>
    </w:p>
    <w:p w:rsidR="00903A07" w:rsidRPr="00DC52EE" w:rsidRDefault="009E6742" w:rsidP="00BB7760">
      <w:pPr>
        <w:pStyle w:val="ListParagraph"/>
        <w:numPr>
          <w:ilvl w:val="0"/>
          <w:numId w:val="21"/>
        </w:numPr>
        <w:autoSpaceDE w:val="0"/>
        <w:autoSpaceDN w:val="0"/>
        <w:adjustRightInd w:val="0"/>
        <w:snapToGrid w:val="0"/>
        <w:spacing w:after="0" w:line="240" w:lineRule="auto"/>
        <w:ind w:left="425" w:hanging="425"/>
        <w:jc w:val="both"/>
        <w:rPr>
          <w:sz w:val="20"/>
          <w:szCs w:val="20"/>
        </w:rPr>
      </w:pPr>
      <w:r w:rsidRPr="00DC52EE">
        <w:rPr>
          <w:sz w:val="20"/>
          <w:szCs w:val="20"/>
        </w:rPr>
        <w:t>Waruiru,</w:t>
      </w:r>
      <w:r w:rsidR="00903A07" w:rsidRPr="00DC52EE">
        <w:rPr>
          <w:sz w:val="20"/>
          <w:szCs w:val="20"/>
        </w:rPr>
        <w:t xml:space="preserve"> </w:t>
      </w:r>
      <w:r w:rsidRPr="00DC52EE">
        <w:rPr>
          <w:sz w:val="20"/>
          <w:szCs w:val="20"/>
        </w:rPr>
        <w:t>R.M.,</w:t>
      </w:r>
      <w:r w:rsidR="00903A07" w:rsidRPr="00DC52EE">
        <w:rPr>
          <w:sz w:val="20"/>
          <w:szCs w:val="20"/>
        </w:rPr>
        <w:t xml:space="preserve"> </w:t>
      </w:r>
      <w:r w:rsidRPr="00DC52EE">
        <w:rPr>
          <w:sz w:val="20"/>
          <w:szCs w:val="20"/>
        </w:rPr>
        <w:t>Mutune,</w:t>
      </w:r>
      <w:r w:rsidR="00903A07" w:rsidRPr="00DC52EE">
        <w:rPr>
          <w:sz w:val="20"/>
          <w:szCs w:val="20"/>
        </w:rPr>
        <w:t xml:space="preserve"> </w:t>
      </w:r>
      <w:r w:rsidRPr="00DC52EE">
        <w:rPr>
          <w:sz w:val="20"/>
          <w:szCs w:val="20"/>
        </w:rPr>
        <w:t>M.N.</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Otieno,</w:t>
      </w:r>
      <w:r w:rsidR="00903A07" w:rsidRPr="00DC52EE">
        <w:rPr>
          <w:sz w:val="20"/>
          <w:szCs w:val="20"/>
        </w:rPr>
        <w:t xml:space="preserve"> </w:t>
      </w:r>
      <w:r w:rsidRPr="00DC52EE">
        <w:rPr>
          <w:sz w:val="20"/>
          <w:szCs w:val="20"/>
        </w:rPr>
        <w:t>R.O.</w:t>
      </w:r>
      <w:r w:rsidR="00903A07" w:rsidRPr="00DC52EE">
        <w:rPr>
          <w:sz w:val="20"/>
          <w:szCs w:val="20"/>
        </w:rPr>
        <w:t xml:space="preserve"> </w:t>
      </w:r>
      <w:r w:rsidRPr="00DC52EE">
        <w:rPr>
          <w:sz w:val="20"/>
          <w:szCs w:val="20"/>
        </w:rPr>
        <w:t>(2005):</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infections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semi-arid</w:t>
      </w:r>
      <w:r w:rsidR="00903A07" w:rsidRPr="00DC52EE">
        <w:rPr>
          <w:sz w:val="20"/>
          <w:szCs w:val="20"/>
        </w:rPr>
        <w:t xml:space="preserve"> </w:t>
      </w:r>
      <w:r w:rsidRPr="00DC52EE">
        <w:rPr>
          <w:sz w:val="20"/>
          <w:szCs w:val="20"/>
        </w:rPr>
        <w:t>area</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Machakos</w:t>
      </w:r>
      <w:r w:rsidR="00903A07" w:rsidRPr="00DC52EE">
        <w:rPr>
          <w:sz w:val="20"/>
          <w:szCs w:val="20"/>
        </w:rPr>
        <w:t xml:space="preserve"> </w:t>
      </w:r>
      <w:r w:rsidRPr="00DC52EE">
        <w:rPr>
          <w:sz w:val="20"/>
          <w:szCs w:val="20"/>
        </w:rPr>
        <w:t>District,</w:t>
      </w:r>
      <w:r w:rsidR="00903A07" w:rsidRPr="00DC52EE">
        <w:rPr>
          <w:sz w:val="20"/>
          <w:szCs w:val="20"/>
        </w:rPr>
        <w:t xml:space="preserve"> </w:t>
      </w:r>
      <w:r w:rsidRPr="00DC52EE">
        <w:rPr>
          <w:sz w:val="20"/>
          <w:szCs w:val="20"/>
        </w:rPr>
        <w:t>Kenya.</w:t>
      </w:r>
      <w:r w:rsidR="00903A07" w:rsidRPr="00DC52EE">
        <w:rPr>
          <w:sz w:val="20"/>
          <w:szCs w:val="20"/>
        </w:rPr>
        <w:t xml:space="preserve"> </w:t>
      </w:r>
      <w:r w:rsidR="00FD1715" w:rsidRPr="00DC52EE">
        <w:rPr>
          <w:i/>
          <w:sz w:val="20"/>
          <w:szCs w:val="20"/>
        </w:rPr>
        <w:t>Bulle.</w:t>
      </w:r>
      <w:r w:rsidR="00903A07" w:rsidRPr="00DC52EE">
        <w:rPr>
          <w:i/>
          <w:sz w:val="20"/>
          <w:szCs w:val="20"/>
        </w:rPr>
        <w:t xml:space="preserve"> </w:t>
      </w:r>
      <w:r w:rsidR="00FD1715" w:rsidRPr="00DC52EE">
        <w:rPr>
          <w:i/>
          <w:sz w:val="20"/>
          <w:szCs w:val="20"/>
        </w:rPr>
        <w:t>of</w:t>
      </w:r>
      <w:r w:rsidR="00903A07" w:rsidRPr="00DC52EE">
        <w:rPr>
          <w:i/>
          <w:sz w:val="20"/>
          <w:szCs w:val="20"/>
        </w:rPr>
        <w:t xml:space="preserve"> </w:t>
      </w:r>
      <w:r w:rsidR="00FD1715" w:rsidRPr="00DC52EE">
        <w:rPr>
          <w:i/>
          <w:sz w:val="20"/>
          <w:szCs w:val="20"/>
        </w:rPr>
        <w:t>Anim.</w:t>
      </w:r>
      <w:r w:rsidR="00903A07" w:rsidRPr="00DC52EE">
        <w:rPr>
          <w:i/>
          <w:sz w:val="20"/>
          <w:szCs w:val="20"/>
        </w:rPr>
        <w:t xml:space="preserve"> </w:t>
      </w:r>
      <w:r w:rsidR="00FD1715" w:rsidRPr="00DC52EE">
        <w:rPr>
          <w:i/>
          <w:sz w:val="20"/>
          <w:szCs w:val="20"/>
        </w:rPr>
        <w:t>Health</w:t>
      </w:r>
      <w:r w:rsidR="00903A07" w:rsidRPr="00DC52EE">
        <w:rPr>
          <w:i/>
          <w:sz w:val="20"/>
          <w:szCs w:val="20"/>
        </w:rPr>
        <w:t xml:space="preserve"> </w:t>
      </w:r>
      <w:r w:rsidR="00FD1715" w:rsidRPr="00DC52EE">
        <w:rPr>
          <w:i/>
          <w:sz w:val="20"/>
          <w:szCs w:val="20"/>
        </w:rPr>
        <w:t>and</w:t>
      </w:r>
      <w:r w:rsidR="00903A07" w:rsidRPr="00DC52EE">
        <w:rPr>
          <w:i/>
          <w:sz w:val="20"/>
          <w:szCs w:val="20"/>
        </w:rPr>
        <w:t xml:space="preserve"> </w:t>
      </w:r>
      <w:r w:rsidR="00FD1715" w:rsidRPr="00DC52EE">
        <w:rPr>
          <w:i/>
          <w:sz w:val="20"/>
          <w:szCs w:val="20"/>
        </w:rPr>
        <w:t>Produ.</w:t>
      </w:r>
      <w:r w:rsidRPr="00DC52EE">
        <w:rPr>
          <w:i/>
          <w:sz w:val="20"/>
          <w:szCs w:val="20"/>
        </w:rPr>
        <w:t>in</w:t>
      </w:r>
      <w:r w:rsidR="00903A07" w:rsidRPr="00DC52EE">
        <w:rPr>
          <w:i/>
          <w:sz w:val="20"/>
          <w:szCs w:val="20"/>
        </w:rPr>
        <w:t xml:space="preserve"> </w:t>
      </w:r>
      <w:r w:rsidRPr="00DC52EE">
        <w:rPr>
          <w:i/>
          <w:sz w:val="20"/>
          <w:szCs w:val="20"/>
        </w:rPr>
        <w:t>Afri</w:t>
      </w:r>
      <w:r w:rsidR="00FD1715" w:rsidRPr="00DC52EE">
        <w:rPr>
          <w:i/>
          <w:sz w:val="20"/>
          <w:szCs w:val="20"/>
        </w:rPr>
        <w:t>.</w:t>
      </w:r>
      <w:r w:rsidR="005D2EB5" w:rsidRPr="00DC52EE">
        <w:rPr>
          <w:sz w:val="20"/>
          <w:szCs w:val="20"/>
        </w:rPr>
        <w:t>,</w:t>
      </w:r>
      <w:r w:rsidR="00903A07" w:rsidRPr="00DC52EE">
        <w:rPr>
          <w:sz w:val="20"/>
          <w:szCs w:val="20"/>
        </w:rPr>
        <w:t xml:space="preserve"> </w:t>
      </w:r>
      <w:r w:rsidRPr="00DC52EE">
        <w:rPr>
          <w:sz w:val="20"/>
          <w:szCs w:val="20"/>
        </w:rPr>
        <w:t>53(1):</w:t>
      </w:r>
      <w:r w:rsidR="00903A07" w:rsidRPr="00DC52EE">
        <w:rPr>
          <w:sz w:val="20"/>
          <w:szCs w:val="20"/>
        </w:rPr>
        <w:t xml:space="preserve"> </w:t>
      </w:r>
      <w:r w:rsidRPr="00DC52EE">
        <w:rPr>
          <w:sz w:val="20"/>
          <w:szCs w:val="20"/>
        </w:rPr>
        <w:t>25-34.</w:t>
      </w:r>
    </w:p>
    <w:p w:rsidR="00903A07" w:rsidRPr="00DC52EE" w:rsidRDefault="009E6742" w:rsidP="00BB7760">
      <w:pPr>
        <w:pStyle w:val="ListParagraph"/>
        <w:numPr>
          <w:ilvl w:val="0"/>
          <w:numId w:val="21"/>
        </w:numPr>
        <w:autoSpaceDE w:val="0"/>
        <w:autoSpaceDN w:val="0"/>
        <w:adjustRightInd w:val="0"/>
        <w:snapToGrid w:val="0"/>
        <w:spacing w:after="0" w:line="240" w:lineRule="auto"/>
        <w:ind w:left="425" w:hanging="425"/>
        <w:jc w:val="both"/>
        <w:rPr>
          <w:rStyle w:val="Strong"/>
          <w:b w:val="0"/>
          <w:bCs w:val="0"/>
          <w:sz w:val="20"/>
          <w:szCs w:val="20"/>
        </w:rPr>
      </w:pPr>
      <w:r w:rsidRPr="00DC52EE">
        <w:rPr>
          <w:sz w:val="20"/>
          <w:szCs w:val="20"/>
        </w:rPr>
        <w:t>Watson,</w:t>
      </w:r>
      <w:r w:rsidR="00903A07" w:rsidRPr="00DC52EE">
        <w:rPr>
          <w:sz w:val="20"/>
          <w:szCs w:val="20"/>
        </w:rPr>
        <w:t xml:space="preserve"> </w:t>
      </w:r>
      <w:r w:rsidRPr="00DC52EE">
        <w:rPr>
          <w:sz w:val="20"/>
          <w:szCs w:val="20"/>
        </w:rPr>
        <w:t>D.L.,</w:t>
      </w:r>
      <w:r w:rsidR="00903A07" w:rsidRPr="00DC52EE">
        <w:rPr>
          <w:sz w:val="20"/>
          <w:szCs w:val="20"/>
        </w:rPr>
        <w:t xml:space="preserve"> </w:t>
      </w:r>
      <w:r w:rsidRPr="00DC52EE">
        <w:rPr>
          <w:sz w:val="20"/>
          <w:szCs w:val="20"/>
        </w:rPr>
        <w:t>Colditiz,</w:t>
      </w:r>
      <w:r w:rsidR="00903A07" w:rsidRPr="00DC52EE">
        <w:rPr>
          <w:sz w:val="20"/>
          <w:szCs w:val="20"/>
        </w:rPr>
        <w:t xml:space="preserve"> </w:t>
      </w:r>
      <w:r w:rsidRPr="00DC52EE">
        <w:rPr>
          <w:sz w:val="20"/>
          <w:szCs w:val="20"/>
        </w:rPr>
        <w:t>I.G.,</w:t>
      </w:r>
      <w:r w:rsidR="00903A07" w:rsidRPr="00DC52EE">
        <w:rPr>
          <w:sz w:val="20"/>
          <w:szCs w:val="20"/>
        </w:rPr>
        <w:t xml:space="preserve"> </w:t>
      </w:r>
      <w:r w:rsidRPr="00DC52EE">
        <w:rPr>
          <w:sz w:val="20"/>
          <w:szCs w:val="20"/>
        </w:rPr>
        <w:t>Andrew,</w:t>
      </w:r>
      <w:r w:rsidR="00903A07" w:rsidRPr="00DC52EE">
        <w:rPr>
          <w:sz w:val="20"/>
          <w:szCs w:val="20"/>
        </w:rPr>
        <w:t xml:space="preserve"> </w:t>
      </w:r>
      <w:r w:rsidRPr="00DC52EE">
        <w:rPr>
          <w:sz w:val="20"/>
          <w:szCs w:val="20"/>
        </w:rPr>
        <w:t>M.,</w:t>
      </w:r>
      <w:r w:rsidR="00903A07" w:rsidRPr="00DC52EE">
        <w:rPr>
          <w:sz w:val="20"/>
          <w:szCs w:val="20"/>
        </w:rPr>
        <w:t xml:space="preserve"> </w:t>
      </w:r>
      <w:r w:rsidRPr="00DC52EE">
        <w:rPr>
          <w:sz w:val="20"/>
          <w:szCs w:val="20"/>
        </w:rPr>
        <w:t>Gill,</w:t>
      </w:r>
      <w:r w:rsidR="00903A07" w:rsidRPr="00DC52EE">
        <w:rPr>
          <w:sz w:val="20"/>
          <w:szCs w:val="20"/>
        </w:rPr>
        <w:t xml:space="preserve"> </w:t>
      </w:r>
      <w:r w:rsidRPr="00DC52EE">
        <w:rPr>
          <w:sz w:val="20"/>
          <w:szCs w:val="20"/>
        </w:rPr>
        <w:t>H.S.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Altmann,</w:t>
      </w:r>
      <w:r w:rsidR="00903A07" w:rsidRPr="00DC52EE">
        <w:rPr>
          <w:sz w:val="20"/>
          <w:szCs w:val="20"/>
        </w:rPr>
        <w:t xml:space="preserve"> </w:t>
      </w:r>
      <w:r w:rsidRPr="00DC52EE">
        <w:rPr>
          <w:sz w:val="20"/>
          <w:szCs w:val="20"/>
        </w:rPr>
        <w:t>K.G.</w:t>
      </w:r>
      <w:r w:rsidR="00903A07" w:rsidRPr="00DC52EE">
        <w:rPr>
          <w:sz w:val="20"/>
          <w:szCs w:val="20"/>
        </w:rPr>
        <w:t xml:space="preserve"> </w:t>
      </w:r>
      <w:r w:rsidRPr="00DC52EE">
        <w:rPr>
          <w:sz w:val="20"/>
          <w:szCs w:val="20"/>
        </w:rPr>
        <w:t>(1994):</w:t>
      </w:r>
      <w:r w:rsidR="00903A07" w:rsidRPr="00DC52EE">
        <w:rPr>
          <w:sz w:val="20"/>
          <w:szCs w:val="20"/>
        </w:rPr>
        <w:t xml:space="preserve"> </w:t>
      </w:r>
      <w:r w:rsidRPr="00DC52EE">
        <w:rPr>
          <w:sz w:val="20"/>
          <w:szCs w:val="20"/>
        </w:rPr>
        <w:t>Age</w:t>
      </w:r>
      <w:r w:rsidR="00903A07" w:rsidRPr="00DC52EE">
        <w:rPr>
          <w:sz w:val="20"/>
          <w:szCs w:val="20"/>
        </w:rPr>
        <w:t xml:space="preserve"> </w:t>
      </w:r>
      <w:r w:rsidRPr="00DC52EE">
        <w:rPr>
          <w:sz w:val="20"/>
          <w:szCs w:val="20"/>
        </w:rPr>
        <w:t>dependent</w:t>
      </w:r>
      <w:r w:rsidR="00903A07" w:rsidRPr="00DC52EE">
        <w:rPr>
          <w:sz w:val="20"/>
          <w:szCs w:val="20"/>
        </w:rPr>
        <w:t xml:space="preserve"> </w:t>
      </w:r>
      <w:r w:rsidRPr="00DC52EE">
        <w:rPr>
          <w:sz w:val="20"/>
          <w:szCs w:val="20"/>
        </w:rPr>
        <w:t>immune</w:t>
      </w:r>
      <w:r w:rsidR="00903A07" w:rsidRPr="00DC52EE">
        <w:rPr>
          <w:sz w:val="20"/>
          <w:szCs w:val="20"/>
        </w:rPr>
        <w:t xml:space="preserve"> </w:t>
      </w:r>
      <w:r w:rsidRPr="00DC52EE">
        <w:rPr>
          <w:sz w:val="20"/>
          <w:szCs w:val="20"/>
        </w:rPr>
        <w:t>response</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merino</w:t>
      </w:r>
      <w:r w:rsidR="00903A07" w:rsidRPr="00DC52EE">
        <w:rPr>
          <w:sz w:val="20"/>
          <w:szCs w:val="20"/>
        </w:rPr>
        <w:t xml:space="preserve"> </w:t>
      </w:r>
      <w:r w:rsidRPr="00DC52EE">
        <w:rPr>
          <w:sz w:val="20"/>
          <w:szCs w:val="20"/>
        </w:rPr>
        <w:t>sheep.</w:t>
      </w:r>
      <w:r w:rsidR="00903A07" w:rsidRPr="00DC52EE">
        <w:rPr>
          <w:sz w:val="20"/>
          <w:szCs w:val="20"/>
        </w:rPr>
        <w:t xml:space="preserve"> </w:t>
      </w:r>
      <w:r w:rsidR="00234296" w:rsidRPr="00DC52EE">
        <w:rPr>
          <w:i/>
          <w:sz w:val="20"/>
          <w:szCs w:val="20"/>
        </w:rPr>
        <w:t>Resea</w:t>
      </w:r>
      <w:r w:rsidR="00063902" w:rsidRPr="00DC52EE">
        <w:rPr>
          <w:i/>
          <w:sz w:val="20"/>
          <w:szCs w:val="20"/>
        </w:rPr>
        <w:t>r</w:t>
      </w:r>
      <w:r w:rsidR="00234296" w:rsidRPr="00DC52EE">
        <w:rPr>
          <w:i/>
          <w:sz w:val="20"/>
          <w:szCs w:val="20"/>
        </w:rPr>
        <w:t>.</w:t>
      </w:r>
      <w:r w:rsidR="00903A07" w:rsidRPr="00DC52EE">
        <w:rPr>
          <w:i/>
          <w:sz w:val="20"/>
          <w:szCs w:val="20"/>
        </w:rPr>
        <w:t xml:space="preserve"> </w:t>
      </w:r>
      <w:r w:rsidR="00234296" w:rsidRPr="00DC52EE">
        <w:rPr>
          <w:i/>
          <w:sz w:val="20"/>
          <w:szCs w:val="20"/>
        </w:rPr>
        <w:t>in</w:t>
      </w:r>
      <w:r w:rsidR="00903A07" w:rsidRPr="00DC52EE">
        <w:rPr>
          <w:i/>
          <w:sz w:val="20"/>
          <w:szCs w:val="20"/>
        </w:rPr>
        <w:t xml:space="preserve"> </w:t>
      </w:r>
      <w:r w:rsidR="00234296" w:rsidRPr="00DC52EE">
        <w:rPr>
          <w:i/>
          <w:sz w:val="20"/>
          <w:szCs w:val="20"/>
        </w:rPr>
        <w:t>Veter</w:t>
      </w:r>
      <w:r w:rsidR="00BB7760" w:rsidRPr="00DC52EE">
        <w:rPr>
          <w:i/>
          <w:sz w:val="20"/>
          <w:szCs w:val="20"/>
        </w:rPr>
        <w:t>. S</w:t>
      </w:r>
      <w:r w:rsidRPr="00DC52EE">
        <w:rPr>
          <w:i/>
          <w:sz w:val="20"/>
          <w:szCs w:val="20"/>
        </w:rPr>
        <w:t>cie</w:t>
      </w:r>
      <w:r w:rsidR="00234296" w:rsidRPr="00DC52EE">
        <w:rPr>
          <w:i/>
          <w:sz w:val="20"/>
          <w:szCs w:val="20"/>
        </w:rPr>
        <w:t>.</w:t>
      </w:r>
      <w:r w:rsidR="005D2EB5" w:rsidRPr="00DC52EE">
        <w:rPr>
          <w:i/>
          <w:sz w:val="20"/>
          <w:szCs w:val="20"/>
        </w:rPr>
        <w:t>,</w:t>
      </w:r>
      <w:r w:rsidRPr="00DC52EE">
        <w:rPr>
          <w:sz w:val="20"/>
          <w:szCs w:val="20"/>
        </w:rPr>
        <w:t>57:</w:t>
      </w:r>
      <w:r w:rsidR="00903A07" w:rsidRPr="00DC52EE">
        <w:rPr>
          <w:sz w:val="20"/>
          <w:szCs w:val="20"/>
        </w:rPr>
        <w:t xml:space="preserve"> </w:t>
      </w:r>
      <w:r w:rsidRPr="00DC52EE">
        <w:rPr>
          <w:sz w:val="20"/>
          <w:szCs w:val="20"/>
        </w:rPr>
        <w:t>52-158.</w:t>
      </w:r>
    </w:p>
    <w:p w:rsidR="00903A07" w:rsidRPr="00DC52EE" w:rsidRDefault="00E02EDD" w:rsidP="00BB7760">
      <w:pPr>
        <w:pStyle w:val="ListParagraph"/>
        <w:numPr>
          <w:ilvl w:val="0"/>
          <w:numId w:val="21"/>
        </w:numPr>
        <w:autoSpaceDE w:val="0"/>
        <w:autoSpaceDN w:val="0"/>
        <w:adjustRightInd w:val="0"/>
        <w:snapToGrid w:val="0"/>
        <w:spacing w:after="0" w:line="240" w:lineRule="auto"/>
        <w:ind w:left="425" w:hanging="425"/>
        <w:jc w:val="both"/>
        <w:rPr>
          <w:rStyle w:val="Strong"/>
          <w:b w:val="0"/>
          <w:bCs w:val="0"/>
          <w:sz w:val="20"/>
          <w:szCs w:val="20"/>
        </w:rPr>
      </w:pPr>
      <w:r w:rsidRPr="00DC52EE">
        <w:rPr>
          <w:sz w:val="20"/>
          <w:szCs w:val="20"/>
        </w:rPr>
        <w:t>Wells,</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(1999):</w:t>
      </w:r>
      <w:r w:rsidR="00903A07" w:rsidRPr="00DC52EE">
        <w:rPr>
          <w:sz w:val="20"/>
          <w:szCs w:val="20"/>
        </w:rPr>
        <w:t xml:space="preserve"> </w:t>
      </w:r>
      <w:r w:rsidRPr="00DC52EE">
        <w:rPr>
          <w:sz w:val="20"/>
          <w:szCs w:val="20"/>
        </w:rPr>
        <w:t>Integrated</w:t>
      </w:r>
      <w:r w:rsidR="00903A07" w:rsidRPr="00DC52EE">
        <w:rPr>
          <w:sz w:val="20"/>
          <w:szCs w:val="20"/>
        </w:rPr>
        <w:t xml:space="preserve"> </w:t>
      </w:r>
      <w:r w:rsidRPr="00DC52EE">
        <w:rPr>
          <w:sz w:val="20"/>
          <w:szCs w:val="20"/>
        </w:rPr>
        <w:t>parasite</w:t>
      </w:r>
      <w:r w:rsidR="00903A07" w:rsidRPr="00DC52EE">
        <w:rPr>
          <w:sz w:val="20"/>
          <w:szCs w:val="20"/>
        </w:rPr>
        <w:t xml:space="preserve"> </w:t>
      </w:r>
      <w:r w:rsidRPr="00DC52EE">
        <w:rPr>
          <w:sz w:val="20"/>
          <w:szCs w:val="20"/>
        </w:rPr>
        <w:t>Management</w:t>
      </w:r>
      <w:r w:rsidR="00903A07" w:rsidRPr="00DC52EE">
        <w:rPr>
          <w:sz w:val="20"/>
          <w:szCs w:val="20"/>
        </w:rPr>
        <w:t xml:space="preserve"> </w:t>
      </w:r>
      <w:r w:rsidRPr="00DC52EE">
        <w:rPr>
          <w:sz w:val="20"/>
          <w:szCs w:val="20"/>
        </w:rPr>
        <w:t>for</w:t>
      </w:r>
      <w:r w:rsidR="00903A07" w:rsidRPr="00DC52EE">
        <w:rPr>
          <w:sz w:val="20"/>
          <w:szCs w:val="20"/>
        </w:rPr>
        <w:t xml:space="preserve"> </w:t>
      </w:r>
      <w:r w:rsidRPr="00DC52EE">
        <w:rPr>
          <w:sz w:val="20"/>
          <w:szCs w:val="20"/>
        </w:rPr>
        <w:t>Livestock.</w:t>
      </w:r>
      <w:r w:rsidR="00903A07" w:rsidRPr="00DC52EE">
        <w:rPr>
          <w:sz w:val="20"/>
          <w:szCs w:val="20"/>
        </w:rPr>
        <w:t xml:space="preserve"> </w:t>
      </w:r>
      <w:r w:rsidR="00E6193F" w:rsidRPr="00DC52EE">
        <w:rPr>
          <w:iCs/>
          <w:sz w:val="20"/>
          <w:szCs w:val="20"/>
        </w:rPr>
        <w:t>Livestock</w:t>
      </w:r>
      <w:r w:rsidR="00903A07" w:rsidRPr="00DC52EE">
        <w:rPr>
          <w:iCs/>
          <w:sz w:val="20"/>
          <w:szCs w:val="20"/>
        </w:rPr>
        <w:t xml:space="preserve"> </w:t>
      </w:r>
      <w:r w:rsidR="00E6193F" w:rsidRPr="00DC52EE">
        <w:rPr>
          <w:iCs/>
          <w:sz w:val="20"/>
          <w:szCs w:val="20"/>
        </w:rPr>
        <w:t>s</w:t>
      </w:r>
      <w:r w:rsidRPr="00DC52EE">
        <w:rPr>
          <w:iCs/>
          <w:sz w:val="20"/>
          <w:szCs w:val="20"/>
        </w:rPr>
        <w:t>ystems</w:t>
      </w:r>
      <w:r w:rsidR="00903A07" w:rsidRPr="00DC52EE">
        <w:rPr>
          <w:iCs/>
          <w:sz w:val="20"/>
          <w:szCs w:val="20"/>
        </w:rPr>
        <w:t xml:space="preserve"> </w:t>
      </w:r>
      <w:r w:rsidR="00E6193F" w:rsidRPr="00DC52EE">
        <w:rPr>
          <w:iCs/>
          <w:sz w:val="20"/>
          <w:szCs w:val="20"/>
        </w:rPr>
        <w:t>g</w:t>
      </w:r>
      <w:r w:rsidRPr="00DC52EE">
        <w:rPr>
          <w:iCs/>
          <w:sz w:val="20"/>
          <w:szCs w:val="20"/>
        </w:rPr>
        <w:t>uide</w:t>
      </w:r>
      <w:r w:rsidRPr="00DC52EE">
        <w:rPr>
          <w:i/>
          <w:iCs/>
          <w:sz w:val="20"/>
          <w:szCs w:val="20"/>
        </w:rPr>
        <w:t>.</w:t>
      </w:r>
    </w:p>
    <w:p w:rsidR="00903A07" w:rsidRPr="00DC52EE" w:rsidRDefault="00094DB7" w:rsidP="00BB7760">
      <w:pPr>
        <w:pStyle w:val="ListParagraph"/>
        <w:numPr>
          <w:ilvl w:val="0"/>
          <w:numId w:val="21"/>
        </w:numPr>
        <w:snapToGrid w:val="0"/>
        <w:spacing w:after="0" w:line="240" w:lineRule="auto"/>
        <w:ind w:left="425" w:hanging="425"/>
        <w:jc w:val="both"/>
        <w:rPr>
          <w:sz w:val="20"/>
          <w:szCs w:val="20"/>
        </w:rPr>
      </w:pPr>
      <w:r w:rsidRPr="00DC52EE">
        <w:rPr>
          <w:sz w:val="20"/>
          <w:szCs w:val="20"/>
        </w:rPr>
        <w:t>Wesongah,</w:t>
      </w:r>
      <w:r w:rsidR="00903A07" w:rsidRPr="00DC52EE">
        <w:rPr>
          <w:sz w:val="20"/>
          <w:szCs w:val="20"/>
        </w:rPr>
        <w:t xml:space="preserve"> </w:t>
      </w:r>
      <w:r w:rsidRPr="00DC52EE">
        <w:rPr>
          <w:sz w:val="20"/>
          <w:szCs w:val="20"/>
        </w:rPr>
        <w:t>J.,</w:t>
      </w:r>
      <w:r w:rsidR="00903A07" w:rsidRPr="00DC52EE">
        <w:rPr>
          <w:sz w:val="20"/>
          <w:szCs w:val="20"/>
        </w:rPr>
        <w:t xml:space="preserve"> </w:t>
      </w:r>
      <w:r w:rsidRPr="00DC52EE">
        <w:rPr>
          <w:sz w:val="20"/>
          <w:szCs w:val="20"/>
        </w:rPr>
        <w:t>Chemulitti,</w:t>
      </w:r>
      <w:r w:rsidR="00903A07" w:rsidRPr="00DC52EE">
        <w:rPr>
          <w:sz w:val="20"/>
          <w:szCs w:val="20"/>
        </w:rPr>
        <w:t xml:space="preserve"> </w:t>
      </w:r>
      <w:r w:rsidRPr="00DC52EE">
        <w:rPr>
          <w:sz w:val="20"/>
          <w:szCs w:val="20"/>
        </w:rPr>
        <w:t>F.,</w:t>
      </w:r>
      <w:r w:rsidR="00903A07" w:rsidRPr="00DC52EE">
        <w:rPr>
          <w:sz w:val="20"/>
          <w:szCs w:val="20"/>
        </w:rPr>
        <w:t xml:space="preserve"> </w:t>
      </w:r>
      <w:r w:rsidRPr="00DC52EE">
        <w:rPr>
          <w:sz w:val="20"/>
          <w:szCs w:val="20"/>
        </w:rPr>
        <w:t>Wesonga,</w:t>
      </w:r>
      <w:r w:rsidR="00903A07" w:rsidRPr="00DC52EE">
        <w:rPr>
          <w:sz w:val="20"/>
          <w:szCs w:val="20"/>
        </w:rPr>
        <w:t xml:space="preserve"> </w:t>
      </w:r>
      <w:r w:rsidRPr="00DC52EE">
        <w:rPr>
          <w:sz w:val="20"/>
          <w:szCs w:val="20"/>
        </w:rPr>
        <w:t>L.,</w:t>
      </w:r>
      <w:r w:rsidR="00903A07" w:rsidRPr="00DC52EE">
        <w:rPr>
          <w:sz w:val="20"/>
          <w:szCs w:val="20"/>
        </w:rPr>
        <w:t xml:space="preserve"> </w:t>
      </w:r>
      <w:r w:rsidRPr="00DC52EE">
        <w:rPr>
          <w:sz w:val="20"/>
          <w:szCs w:val="20"/>
        </w:rPr>
        <w:t>Munga,</w:t>
      </w:r>
      <w:r w:rsidR="00903A07" w:rsidRPr="00DC52EE">
        <w:rPr>
          <w:sz w:val="20"/>
          <w:szCs w:val="20"/>
        </w:rPr>
        <w:t xml:space="preserve"> </w:t>
      </w:r>
      <w:r w:rsidRPr="00DC52EE">
        <w:rPr>
          <w:sz w:val="20"/>
          <w:szCs w:val="20"/>
        </w:rPr>
        <w:t>P.,</w:t>
      </w:r>
      <w:r w:rsidR="00903A07" w:rsidRPr="00DC52EE">
        <w:rPr>
          <w:sz w:val="20"/>
          <w:szCs w:val="20"/>
        </w:rPr>
        <w:t xml:space="preserve"> </w:t>
      </w:r>
      <w:r w:rsidRPr="00DC52EE">
        <w:rPr>
          <w:sz w:val="20"/>
          <w:szCs w:val="20"/>
        </w:rPr>
        <w:t>Ngare,</w:t>
      </w:r>
      <w:r w:rsidR="00903A07" w:rsidRPr="00DC52EE">
        <w:rPr>
          <w:sz w:val="20"/>
          <w:szCs w:val="20"/>
        </w:rPr>
        <w:t xml:space="preserve"> </w:t>
      </w:r>
      <w:r w:rsidRPr="00DC52EE">
        <w:rPr>
          <w:sz w:val="20"/>
          <w:szCs w:val="20"/>
        </w:rPr>
        <w:t>R.</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Murilla,</w:t>
      </w:r>
      <w:r w:rsidR="00903A07" w:rsidRPr="00DC52EE">
        <w:rPr>
          <w:sz w:val="20"/>
          <w:szCs w:val="20"/>
        </w:rPr>
        <w:t xml:space="preserve"> </w:t>
      </w:r>
      <w:r w:rsidRPr="00DC52EE">
        <w:rPr>
          <w:sz w:val="20"/>
          <w:szCs w:val="20"/>
        </w:rPr>
        <w:t>G.</w:t>
      </w:r>
      <w:r w:rsidR="00903A07" w:rsidRPr="00DC52EE">
        <w:rPr>
          <w:sz w:val="20"/>
          <w:szCs w:val="20"/>
        </w:rPr>
        <w:t xml:space="preserve"> </w:t>
      </w:r>
      <w:r w:rsidRPr="00DC52EE">
        <w:rPr>
          <w:sz w:val="20"/>
          <w:szCs w:val="20"/>
        </w:rPr>
        <w:t>(2003):</w:t>
      </w:r>
      <w:r w:rsidR="00903A07" w:rsidRPr="00DC52EE">
        <w:rPr>
          <w:sz w:val="20"/>
          <w:szCs w:val="20"/>
        </w:rPr>
        <w:t xml:space="preserve"> </w:t>
      </w:r>
      <w:r w:rsidRPr="00DC52EE">
        <w:rPr>
          <w:sz w:val="20"/>
          <w:szCs w:val="20"/>
        </w:rPr>
        <w:t>Trypanosomosis</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other</w:t>
      </w:r>
      <w:r w:rsidR="00903A07" w:rsidRPr="00DC52EE">
        <w:rPr>
          <w:sz w:val="20"/>
          <w:szCs w:val="20"/>
        </w:rPr>
        <w:t xml:space="preserve"> </w:t>
      </w:r>
      <w:r w:rsidRPr="00DC52EE">
        <w:rPr>
          <w:sz w:val="20"/>
          <w:szCs w:val="20"/>
        </w:rPr>
        <w:t>parasitic</w:t>
      </w:r>
      <w:r w:rsidR="00903A07" w:rsidRPr="00DC52EE">
        <w:rPr>
          <w:sz w:val="20"/>
          <w:szCs w:val="20"/>
        </w:rPr>
        <w:t xml:space="preserve"> </w:t>
      </w:r>
      <w:r w:rsidRPr="00DC52EE">
        <w:rPr>
          <w:sz w:val="20"/>
          <w:szCs w:val="20"/>
        </w:rPr>
        <w:t>diseases</w:t>
      </w:r>
      <w:r w:rsidR="00903A07" w:rsidRPr="00DC52EE">
        <w:rPr>
          <w:sz w:val="20"/>
          <w:szCs w:val="20"/>
        </w:rPr>
        <w:t xml:space="preserve"> </w:t>
      </w:r>
      <w:r w:rsidRPr="00DC52EE">
        <w:rPr>
          <w:sz w:val="20"/>
          <w:szCs w:val="20"/>
        </w:rPr>
        <w:lastRenderedPageBreak/>
        <w:t>affecting</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goats</w:t>
      </w:r>
      <w:r w:rsidR="00903A07" w:rsidRPr="00DC52EE">
        <w:rPr>
          <w:sz w:val="20"/>
          <w:szCs w:val="20"/>
        </w:rPr>
        <w:t xml:space="preserve"> </w:t>
      </w:r>
      <w:r w:rsidRPr="00DC52EE">
        <w:rPr>
          <w:sz w:val="20"/>
          <w:szCs w:val="20"/>
        </w:rPr>
        <w:t>production</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two</w:t>
      </w:r>
      <w:r w:rsidR="00903A07" w:rsidRPr="00DC52EE">
        <w:rPr>
          <w:sz w:val="20"/>
          <w:szCs w:val="20"/>
        </w:rPr>
        <w:t xml:space="preserve"> </w:t>
      </w:r>
      <w:r w:rsidRPr="00DC52EE">
        <w:rPr>
          <w:sz w:val="20"/>
          <w:szCs w:val="20"/>
        </w:rPr>
        <w:t>group</w:t>
      </w:r>
      <w:r w:rsidR="00903A07" w:rsidRPr="00DC52EE">
        <w:rPr>
          <w:sz w:val="20"/>
          <w:szCs w:val="20"/>
        </w:rPr>
        <w:t xml:space="preserve"> </w:t>
      </w:r>
      <w:r w:rsidRPr="00DC52EE">
        <w:rPr>
          <w:sz w:val="20"/>
          <w:szCs w:val="20"/>
        </w:rPr>
        <w:t>ranches,</w:t>
      </w:r>
      <w:r w:rsidR="00903A07" w:rsidRPr="00DC52EE">
        <w:rPr>
          <w:sz w:val="20"/>
          <w:szCs w:val="20"/>
        </w:rPr>
        <w:t xml:space="preserve"> </w:t>
      </w:r>
      <w:r w:rsidRPr="00DC52EE">
        <w:rPr>
          <w:sz w:val="20"/>
          <w:szCs w:val="20"/>
        </w:rPr>
        <w:t>Narok</w:t>
      </w:r>
      <w:r w:rsidR="00903A07" w:rsidRPr="00DC52EE">
        <w:rPr>
          <w:sz w:val="20"/>
          <w:szCs w:val="20"/>
        </w:rPr>
        <w:t xml:space="preserve"> </w:t>
      </w:r>
      <w:r w:rsidRPr="00DC52EE">
        <w:rPr>
          <w:sz w:val="20"/>
          <w:szCs w:val="20"/>
        </w:rPr>
        <w:t>district,</w:t>
      </w:r>
      <w:r w:rsidR="00903A07" w:rsidRPr="00DC52EE">
        <w:rPr>
          <w:sz w:val="20"/>
          <w:szCs w:val="20"/>
        </w:rPr>
        <w:t xml:space="preserve"> </w:t>
      </w:r>
      <w:r w:rsidRPr="00DC52EE">
        <w:rPr>
          <w:sz w:val="20"/>
          <w:szCs w:val="20"/>
        </w:rPr>
        <w:t>Kenya.</w:t>
      </w:r>
      <w:r w:rsidR="00903A07" w:rsidRPr="00DC52EE">
        <w:rPr>
          <w:sz w:val="20"/>
          <w:szCs w:val="20"/>
        </w:rPr>
        <w:t xml:space="preserve"> </w:t>
      </w:r>
    </w:p>
    <w:p w:rsidR="00903A07" w:rsidRPr="00DC52EE" w:rsidRDefault="001B35DB" w:rsidP="00BB7760">
      <w:pPr>
        <w:pStyle w:val="ListParagraph"/>
        <w:numPr>
          <w:ilvl w:val="0"/>
          <w:numId w:val="21"/>
        </w:numPr>
        <w:snapToGrid w:val="0"/>
        <w:spacing w:after="0" w:line="240" w:lineRule="auto"/>
        <w:ind w:left="425" w:hanging="425"/>
        <w:jc w:val="both"/>
        <w:rPr>
          <w:sz w:val="20"/>
          <w:szCs w:val="20"/>
        </w:rPr>
      </w:pPr>
      <w:r w:rsidRPr="00DC52EE">
        <w:rPr>
          <w:rFonts w:eastAsia="Times New Roman"/>
          <w:sz w:val="20"/>
          <w:szCs w:val="20"/>
        </w:rPr>
        <w:t>WHO</w:t>
      </w:r>
      <w:r w:rsidR="00903A07" w:rsidRPr="00DC52EE">
        <w:rPr>
          <w:rFonts w:eastAsia="Times New Roman"/>
          <w:sz w:val="20"/>
          <w:szCs w:val="20"/>
        </w:rPr>
        <w:t xml:space="preserve"> </w:t>
      </w:r>
      <w:r w:rsidR="00582A3F" w:rsidRPr="00DC52EE">
        <w:rPr>
          <w:rFonts w:eastAsia="Times New Roman"/>
          <w:sz w:val="20"/>
          <w:szCs w:val="20"/>
        </w:rPr>
        <w:t>(</w:t>
      </w:r>
      <w:r w:rsidRPr="00DC52EE">
        <w:rPr>
          <w:rFonts w:eastAsia="Times New Roman"/>
          <w:sz w:val="20"/>
          <w:szCs w:val="20"/>
        </w:rPr>
        <w:t>1995</w:t>
      </w:r>
      <w:r w:rsidR="00582A3F" w:rsidRPr="00DC52EE">
        <w:rPr>
          <w:rFonts w:eastAsia="Times New Roman"/>
          <w:sz w:val="20"/>
          <w:szCs w:val="20"/>
        </w:rPr>
        <w:t>):</w:t>
      </w:r>
      <w:r w:rsidR="00903A07" w:rsidRPr="00DC52EE">
        <w:rPr>
          <w:rFonts w:eastAsia="Times New Roman"/>
          <w:sz w:val="20"/>
          <w:szCs w:val="20"/>
        </w:rPr>
        <w:t xml:space="preserve"> </w:t>
      </w:r>
      <w:r w:rsidRPr="00DC52EE">
        <w:rPr>
          <w:rFonts w:eastAsia="Times New Roman"/>
          <w:sz w:val="20"/>
          <w:szCs w:val="20"/>
        </w:rPr>
        <w:t>Control</w:t>
      </w:r>
      <w:r w:rsidR="00903A07" w:rsidRPr="00DC52EE">
        <w:rPr>
          <w:rFonts w:eastAsia="Times New Roman"/>
          <w:sz w:val="20"/>
          <w:szCs w:val="20"/>
        </w:rPr>
        <w:t xml:space="preserve"> </w:t>
      </w:r>
      <w:r w:rsidRPr="00DC52EE">
        <w:rPr>
          <w:rFonts w:eastAsia="Times New Roman"/>
          <w:sz w:val="20"/>
          <w:szCs w:val="20"/>
        </w:rPr>
        <w:t>of</w:t>
      </w:r>
      <w:r w:rsidR="00903A07" w:rsidRPr="00DC52EE">
        <w:rPr>
          <w:rFonts w:eastAsia="Times New Roman"/>
          <w:sz w:val="20"/>
          <w:szCs w:val="20"/>
        </w:rPr>
        <w:t xml:space="preserve"> </w:t>
      </w:r>
      <w:r w:rsidRPr="00DC52EE">
        <w:rPr>
          <w:rFonts w:eastAsia="Times New Roman"/>
          <w:sz w:val="20"/>
          <w:szCs w:val="20"/>
        </w:rPr>
        <w:t>food</w:t>
      </w:r>
      <w:r w:rsidR="00903A07" w:rsidRPr="00DC52EE">
        <w:rPr>
          <w:rFonts w:eastAsia="Times New Roman"/>
          <w:sz w:val="20"/>
          <w:szCs w:val="20"/>
        </w:rPr>
        <w:t xml:space="preserve"> </w:t>
      </w:r>
      <w:r w:rsidRPr="00DC52EE">
        <w:rPr>
          <w:rFonts w:eastAsia="Times New Roman"/>
          <w:sz w:val="20"/>
          <w:szCs w:val="20"/>
        </w:rPr>
        <w:t>borne</w:t>
      </w:r>
      <w:r w:rsidR="00903A07" w:rsidRPr="00DC52EE">
        <w:rPr>
          <w:rFonts w:eastAsia="Times New Roman"/>
          <w:sz w:val="20"/>
          <w:szCs w:val="20"/>
        </w:rPr>
        <w:t xml:space="preserve"> </w:t>
      </w:r>
      <w:r w:rsidRPr="00DC52EE">
        <w:rPr>
          <w:rFonts w:eastAsia="Times New Roman"/>
          <w:sz w:val="20"/>
          <w:szCs w:val="20"/>
        </w:rPr>
        <w:t>Trematodes</w:t>
      </w:r>
      <w:r w:rsidR="00903A07" w:rsidRPr="00DC52EE">
        <w:rPr>
          <w:rFonts w:eastAsia="Times New Roman"/>
          <w:sz w:val="20"/>
          <w:szCs w:val="20"/>
        </w:rPr>
        <w:t xml:space="preserve"> </w:t>
      </w:r>
      <w:r w:rsidRPr="00DC52EE">
        <w:rPr>
          <w:rFonts w:eastAsia="Times New Roman"/>
          <w:sz w:val="20"/>
          <w:szCs w:val="20"/>
        </w:rPr>
        <w:t>infections,</w:t>
      </w:r>
      <w:r w:rsidR="00903A07" w:rsidRPr="00DC52EE">
        <w:rPr>
          <w:rFonts w:eastAsia="Times New Roman"/>
          <w:sz w:val="20"/>
          <w:szCs w:val="20"/>
        </w:rPr>
        <w:t xml:space="preserve"> </w:t>
      </w:r>
      <w:r w:rsidRPr="00DC52EE">
        <w:rPr>
          <w:rFonts w:eastAsia="Times New Roman"/>
          <w:sz w:val="20"/>
          <w:szCs w:val="20"/>
        </w:rPr>
        <w:t>Technical</w:t>
      </w:r>
      <w:r w:rsidR="00903A07" w:rsidRPr="00DC52EE">
        <w:rPr>
          <w:rFonts w:eastAsia="Times New Roman"/>
          <w:sz w:val="20"/>
          <w:szCs w:val="20"/>
        </w:rPr>
        <w:t xml:space="preserve"> </w:t>
      </w:r>
      <w:r w:rsidRPr="00DC52EE">
        <w:rPr>
          <w:rFonts w:eastAsia="Times New Roman"/>
          <w:sz w:val="20"/>
          <w:szCs w:val="20"/>
        </w:rPr>
        <w:t>Report</w:t>
      </w:r>
      <w:r w:rsidR="00903A07" w:rsidRPr="00DC52EE">
        <w:rPr>
          <w:rFonts w:eastAsia="Times New Roman"/>
          <w:sz w:val="20"/>
          <w:szCs w:val="20"/>
        </w:rPr>
        <w:t xml:space="preserve"> </w:t>
      </w:r>
      <w:r w:rsidRPr="00DC52EE">
        <w:rPr>
          <w:rFonts w:eastAsia="Times New Roman"/>
          <w:sz w:val="20"/>
          <w:szCs w:val="20"/>
        </w:rPr>
        <w:t>Series</w:t>
      </w:r>
      <w:r w:rsidR="00903A07" w:rsidRPr="00DC52EE">
        <w:rPr>
          <w:rFonts w:eastAsia="Times New Roman"/>
          <w:sz w:val="20"/>
          <w:szCs w:val="20"/>
        </w:rPr>
        <w:t xml:space="preserve"> </w:t>
      </w:r>
      <w:r w:rsidRPr="00DC52EE">
        <w:rPr>
          <w:rFonts w:eastAsia="Times New Roman"/>
          <w:sz w:val="20"/>
          <w:szCs w:val="20"/>
        </w:rPr>
        <w:t>849:61-63</w:t>
      </w:r>
      <w:r w:rsidRPr="00DC52EE">
        <w:rPr>
          <w:rFonts w:eastAsia="Times New Roman"/>
          <w:color w:val="FF0000"/>
          <w:sz w:val="20"/>
          <w:szCs w:val="20"/>
        </w:rPr>
        <w:t>.</w:t>
      </w:r>
    </w:p>
    <w:p w:rsidR="00903A07" w:rsidRPr="00DC52EE" w:rsidRDefault="00C42E6D" w:rsidP="00BB7760">
      <w:pPr>
        <w:pStyle w:val="ListParagraph"/>
        <w:numPr>
          <w:ilvl w:val="0"/>
          <w:numId w:val="21"/>
        </w:numPr>
        <w:snapToGrid w:val="0"/>
        <w:spacing w:after="0" w:line="240" w:lineRule="auto"/>
        <w:ind w:left="425" w:hanging="425"/>
        <w:jc w:val="both"/>
        <w:rPr>
          <w:sz w:val="20"/>
          <w:szCs w:val="20"/>
        </w:rPr>
      </w:pPr>
      <w:r w:rsidRPr="00DC52EE">
        <w:rPr>
          <w:sz w:val="20"/>
          <w:szCs w:val="20"/>
        </w:rPr>
        <w:t>Yoseph,</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(1993):</w:t>
      </w:r>
      <w:r w:rsidR="00903A07" w:rsidRPr="00DC52EE">
        <w:rPr>
          <w:sz w:val="20"/>
          <w:szCs w:val="20"/>
        </w:rPr>
        <w:t xml:space="preserve"> </w:t>
      </w:r>
      <w:r w:rsidRPr="00DC52EE">
        <w:rPr>
          <w:sz w:val="20"/>
          <w:szCs w:val="20"/>
        </w:rPr>
        <w:t>Prevalence</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ovine</w:t>
      </w:r>
      <w:r w:rsidR="00903A07" w:rsidRPr="00DC52EE">
        <w:rPr>
          <w:sz w:val="20"/>
          <w:szCs w:val="20"/>
        </w:rPr>
        <w:t xml:space="preserve"> </w:t>
      </w:r>
      <w:r w:rsidRPr="00DC52EE">
        <w:rPr>
          <w:sz w:val="20"/>
          <w:szCs w:val="20"/>
        </w:rPr>
        <w:t>gastrointestinal</w:t>
      </w:r>
      <w:r w:rsidR="00903A07" w:rsidRPr="00DC52EE">
        <w:rPr>
          <w:sz w:val="20"/>
          <w:szCs w:val="20"/>
        </w:rPr>
        <w:t xml:space="preserve"> </w:t>
      </w:r>
      <w:r w:rsidRPr="00DC52EE">
        <w:rPr>
          <w:sz w:val="20"/>
          <w:szCs w:val="20"/>
        </w:rPr>
        <w:t>helmin</w:t>
      </w:r>
      <w:r w:rsidR="007646F9" w:rsidRPr="00DC52EE">
        <w:rPr>
          <w:sz w:val="20"/>
          <w:szCs w:val="20"/>
        </w:rPr>
        <w:t>thes</w:t>
      </w:r>
      <w:r w:rsidR="00903A07" w:rsidRPr="00DC52EE">
        <w:rPr>
          <w:sz w:val="20"/>
          <w:szCs w:val="20"/>
        </w:rPr>
        <w:t xml:space="preserve"> </w:t>
      </w:r>
      <w:r w:rsidR="007646F9" w:rsidRPr="00DC52EE">
        <w:rPr>
          <w:sz w:val="20"/>
          <w:szCs w:val="20"/>
        </w:rPr>
        <w:t>in</w:t>
      </w:r>
      <w:r w:rsidR="00903A07" w:rsidRPr="00DC52EE">
        <w:rPr>
          <w:sz w:val="20"/>
          <w:szCs w:val="20"/>
        </w:rPr>
        <w:t xml:space="preserve"> </w:t>
      </w:r>
      <w:r w:rsidR="007646F9" w:rsidRPr="00DC52EE">
        <w:rPr>
          <w:sz w:val="20"/>
          <w:szCs w:val="20"/>
        </w:rPr>
        <w:t>and</w:t>
      </w:r>
      <w:r w:rsidR="00903A07" w:rsidRPr="00DC52EE">
        <w:rPr>
          <w:sz w:val="20"/>
          <w:szCs w:val="20"/>
        </w:rPr>
        <w:t xml:space="preserve"> </w:t>
      </w:r>
      <w:r w:rsidR="007646F9" w:rsidRPr="00DC52EE">
        <w:rPr>
          <w:sz w:val="20"/>
          <w:szCs w:val="20"/>
        </w:rPr>
        <w:t>around</w:t>
      </w:r>
      <w:r w:rsidR="00903A07" w:rsidRPr="00DC52EE">
        <w:rPr>
          <w:sz w:val="20"/>
          <w:szCs w:val="20"/>
        </w:rPr>
        <w:t xml:space="preserve"> </w:t>
      </w:r>
      <w:r w:rsidR="007646F9" w:rsidRPr="00DC52EE">
        <w:rPr>
          <w:sz w:val="20"/>
          <w:szCs w:val="20"/>
        </w:rPr>
        <w:t>Asella.</w:t>
      </w:r>
      <w:r w:rsidR="00903A07" w:rsidRPr="00DC52EE">
        <w:rPr>
          <w:sz w:val="20"/>
          <w:szCs w:val="20"/>
        </w:rPr>
        <w:t xml:space="preserve"> </w:t>
      </w:r>
      <w:r w:rsidR="007646F9" w:rsidRPr="00DC52EE">
        <w:rPr>
          <w:sz w:val="20"/>
          <w:szCs w:val="20"/>
        </w:rPr>
        <w:t>DVM</w:t>
      </w:r>
      <w:r w:rsidR="00903A07" w:rsidRPr="00DC52EE">
        <w:rPr>
          <w:sz w:val="20"/>
          <w:szCs w:val="20"/>
        </w:rPr>
        <w:t xml:space="preserve"> </w:t>
      </w:r>
      <w:r w:rsidR="007646F9" w:rsidRPr="00DC52EE">
        <w:rPr>
          <w:sz w:val="20"/>
          <w:szCs w:val="20"/>
        </w:rPr>
        <w:t>t</w:t>
      </w:r>
      <w:r w:rsidR="00752420" w:rsidRPr="00DC52EE">
        <w:rPr>
          <w:sz w:val="20"/>
          <w:szCs w:val="20"/>
        </w:rPr>
        <w:t>hesis.</w:t>
      </w:r>
      <w:r w:rsidR="00903A07" w:rsidRPr="00DC52EE">
        <w:rPr>
          <w:sz w:val="20"/>
          <w:szCs w:val="20"/>
        </w:rPr>
        <w:t xml:space="preserve"> </w:t>
      </w:r>
      <w:r w:rsidRPr="00DC52EE">
        <w:rPr>
          <w:sz w:val="20"/>
          <w:szCs w:val="20"/>
        </w:rPr>
        <w:t>Faculty</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Veterinary</w:t>
      </w:r>
      <w:r w:rsidR="00903A07" w:rsidRPr="00DC52EE">
        <w:rPr>
          <w:sz w:val="20"/>
          <w:szCs w:val="20"/>
        </w:rPr>
        <w:t xml:space="preserve"> </w:t>
      </w:r>
      <w:r w:rsidRPr="00DC52EE">
        <w:rPr>
          <w:sz w:val="20"/>
          <w:szCs w:val="20"/>
        </w:rPr>
        <w:t>Medicine,</w:t>
      </w:r>
      <w:r w:rsidR="00903A07" w:rsidRPr="00DC52EE">
        <w:rPr>
          <w:sz w:val="20"/>
          <w:szCs w:val="20"/>
        </w:rPr>
        <w:t xml:space="preserve"> </w:t>
      </w:r>
      <w:r w:rsidRPr="00DC52EE">
        <w:rPr>
          <w:sz w:val="20"/>
          <w:szCs w:val="20"/>
        </w:rPr>
        <w:t>Addis</w:t>
      </w:r>
      <w:r w:rsidR="00903A07" w:rsidRPr="00DC52EE">
        <w:rPr>
          <w:sz w:val="20"/>
          <w:szCs w:val="20"/>
        </w:rPr>
        <w:t xml:space="preserve"> </w:t>
      </w:r>
      <w:r w:rsidRPr="00DC52EE">
        <w:rPr>
          <w:sz w:val="20"/>
          <w:szCs w:val="20"/>
        </w:rPr>
        <w:t>Ababa</w:t>
      </w:r>
      <w:r w:rsidR="00903A07" w:rsidRPr="00DC52EE">
        <w:rPr>
          <w:sz w:val="20"/>
          <w:szCs w:val="20"/>
        </w:rPr>
        <w:t xml:space="preserve"> </w:t>
      </w:r>
      <w:r w:rsidRPr="00DC52EE">
        <w:rPr>
          <w:sz w:val="20"/>
          <w:szCs w:val="20"/>
        </w:rPr>
        <w:t>University,</w:t>
      </w:r>
      <w:r w:rsidR="00903A07" w:rsidRPr="00DC52EE">
        <w:rPr>
          <w:sz w:val="20"/>
          <w:szCs w:val="20"/>
        </w:rPr>
        <w:t xml:space="preserve"> </w:t>
      </w:r>
      <w:r w:rsidRPr="00DC52EE">
        <w:rPr>
          <w:sz w:val="20"/>
          <w:szCs w:val="20"/>
        </w:rPr>
        <w:t>Debre</w:t>
      </w:r>
      <w:r w:rsidR="00903A07" w:rsidRPr="00DC52EE">
        <w:rPr>
          <w:sz w:val="20"/>
          <w:szCs w:val="20"/>
        </w:rPr>
        <w:t xml:space="preserve"> </w:t>
      </w:r>
      <w:r w:rsidRPr="00DC52EE">
        <w:rPr>
          <w:sz w:val="20"/>
          <w:szCs w:val="20"/>
        </w:rPr>
        <w:t>Zeit.</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Pp:</w:t>
      </w:r>
      <w:r w:rsidR="00903A07" w:rsidRPr="00DC52EE">
        <w:rPr>
          <w:sz w:val="20"/>
          <w:szCs w:val="20"/>
        </w:rPr>
        <w:t xml:space="preserve"> </w:t>
      </w:r>
      <w:r w:rsidRPr="00DC52EE">
        <w:rPr>
          <w:sz w:val="20"/>
          <w:szCs w:val="20"/>
        </w:rPr>
        <w:t>170.</w:t>
      </w:r>
      <w:r w:rsidR="00903A07" w:rsidRPr="00DC52EE">
        <w:rPr>
          <w:sz w:val="20"/>
          <w:szCs w:val="20"/>
        </w:rPr>
        <w:t xml:space="preserve"> </w:t>
      </w:r>
    </w:p>
    <w:p w:rsidR="00903A07" w:rsidRPr="00DC52EE" w:rsidRDefault="000D12CC" w:rsidP="00BB7760">
      <w:pPr>
        <w:pStyle w:val="ListParagraph"/>
        <w:numPr>
          <w:ilvl w:val="0"/>
          <w:numId w:val="21"/>
        </w:numPr>
        <w:snapToGrid w:val="0"/>
        <w:spacing w:after="0" w:line="240" w:lineRule="auto"/>
        <w:ind w:left="425" w:hanging="425"/>
        <w:jc w:val="both"/>
        <w:rPr>
          <w:sz w:val="20"/>
          <w:szCs w:val="20"/>
        </w:rPr>
      </w:pPr>
      <w:r w:rsidRPr="00DC52EE">
        <w:rPr>
          <w:sz w:val="20"/>
          <w:szCs w:val="20"/>
        </w:rPr>
        <w:t>Zajac,</w:t>
      </w:r>
      <w:r w:rsidR="00903A07" w:rsidRPr="00DC52EE">
        <w:rPr>
          <w:sz w:val="20"/>
          <w:szCs w:val="20"/>
        </w:rPr>
        <w:t xml:space="preserve"> </w:t>
      </w:r>
      <w:r w:rsidRPr="00DC52EE">
        <w:rPr>
          <w:sz w:val="20"/>
          <w:szCs w:val="20"/>
        </w:rPr>
        <w:t>A.</w:t>
      </w:r>
      <w:r w:rsidR="00903A07" w:rsidRPr="00DC52EE">
        <w:rPr>
          <w:sz w:val="20"/>
          <w:szCs w:val="20"/>
        </w:rPr>
        <w:t xml:space="preserve"> </w:t>
      </w:r>
      <w:r w:rsidRPr="00DC52EE">
        <w:rPr>
          <w:sz w:val="20"/>
          <w:szCs w:val="20"/>
        </w:rPr>
        <w:t>M.</w:t>
      </w:r>
      <w:r w:rsidR="00903A07" w:rsidRPr="00DC52EE">
        <w:rPr>
          <w:sz w:val="20"/>
          <w:szCs w:val="20"/>
        </w:rPr>
        <w:t xml:space="preserve"> </w:t>
      </w:r>
      <w:r w:rsidR="0013686A" w:rsidRPr="00DC52EE">
        <w:rPr>
          <w:sz w:val="20"/>
          <w:szCs w:val="20"/>
        </w:rPr>
        <w:t>and</w:t>
      </w:r>
      <w:r w:rsidR="00903A07" w:rsidRPr="00DC52EE">
        <w:rPr>
          <w:sz w:val="20"/>
          <w:szCs w:val="20"/>
        </w:rPr>
        <w:t xml:space="preserve"> </w:t>
      </w:r>
      <w:r w:rsidR="00752420" w:rsidRPr="00DC52EE">
        <w:rPr>
          <w:sz w:val="20"/>
          <w:szCs w:val="20"/>
        </w:rPr>
        <w:t>T.A.</w:t>
      </w:r>
      <w:r w:rsidR="00903A07" w:rsidRPr="00DC52EE">
        <w:rPr>
          <w:sz w:val="20"/>
          <w:szCs w:val="20"/>
        </w:rPr>
        <w:t xml:space="preserve"> </w:t>
      </w:r>
      <w:r w:rsidR="00752420" w:rsidRPr="00DC52EE">
        <w:rPr>
          <w:sz w:val="20"/>
          <w:szCs w:val="20"/>
        </w:rPr>
        <w:t>Gipson</w:t>
      </w:r>
      <w:r w:rsidR="00903A07" w:rsidRPr="00DC52EE">
        <w:rPr>
          <w:sz w:val="20"/>
          <w:szCs w:val="20"/>
        </w:rPr>
        <w:t xml:space="preserve"> </w:t>
      </w:r>
      <w:r w:rsidR="00752420" w:rsidRPr="00DC52EE">
        <w:rPr>
          <w:sz w:val="20"/>
          <w:szCs w:val="20"/>
        </w:rPr>
        <w:t>(2000)</w:t>
      </w:r>
      <w:r w:rsidR="00BB7760" w:rsidRPr="00DC52EE">
        <w:rPr>
          <w:sz w:val="20"/>
          <w:szCs w:val="20"/>
        </w:rPr>
        <w:t>. M</w:t>
      </w:r>
      <w:r w:rsidRPr="00DC52EE">
        <w:rPr>
          <w:sz w:val="20"/>
          <w:szCs w:val="20"/>
        </w:rPr>
        <w:t>ultiple</w:t>
      </w:r>
      <w:r w:rsidR="00903A07" w:rsidRPr="00DC52EE">
        <w:rPr>
          <w:sz w:val="20"/>
          <w:szCs w:val="20"/>
        </w:rPr>
        <w:t xml:space="preserve"> </w:t>
      </w:r>
      <w:r w:rsidRPr="00DC52EE">
        <w:rPr>
          <w:sz w:val="20"/>
          <w:szCs w:val="20"/>
        </w:rPr>
        <w:t>anthelmintic</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goat</w:t>
      </w:r>
      <w:r w:rsidR="00903A07" w:rsidRPr="00DC52EE">
        <w:rPr>
          <w:sz w:val="20"/>
          <w:szCs w:val="20"/>
        </w:rPr>
        <w:t xml:space="preserve"> </w:t>
      </w:r>
      <w:r w:rsidRPr="00DC52EE">
        <w:rPr>
          <w:sz w:val="20"/>
          <w:szCs w:val="20"/>
        </w:rPr>
        <w:t>herd.</w:t>
      </w:r>
      <w:r w:rsidR="00903A07" w:rsidRPr="00DC52EE">
        <w:rPr>
          <w:sz w:val="20"/>
          <w:szCs w:val="20"/>
        </w:rPr>
        <w:t xml:space="preserve"> </w:t>
      </w:r>
      <w:r w:rsidRPr="00DC52EE">
        <w:rPr>
          <w:i/>
          <w:sz w:val="20"/>
          <w:szCs w:val="20"/>
        </w:rPr>
        <w:t>Vet.</w:t>
      </w:r>
      <w:r w:rsidR="00903A07" w:rsidRPr="00DC52EE">
        <w:rPr>
          <w:i/>
          <w:sz w:val="20"/>
          <w:szCs w:val="20"/>
        </w:rPr>
        <w:t xml:space="preserve"> </w:t>
      </w:r>
      <w:r w:rsidRPr="00DC52EE">
        <w:rPr>
          <w:i/>
          <w:sz w:val="20"/>
          <w:szCs w:val="20"/>
        </w:rPr>
        <w:t>parasitol.,</w:t>
      </w:r>
      <w:r w:rsidR="00903A07" w:rsidRPr="00DC52EE">
        <w:rPr>
          <w:sz w:val="20"/>
          <w:szCs w:val="20"/>
        </w:rPr>
        <w:t xml:space="preserve"> </w:t>
      </w:r>
      <w:r w:rsidRPr="00DC52EE">
        <w:rPr>
          <w:sz w:val="20"/>
          <w:szCs w:val="20"/>
        </w:rPr>
        <w:t>87</w:t>
      </w:r>
      <w:r w:rsidR="00794A55" w:rsidRPr="00DC52EE">
        <w:rPr>
          <w:sz w:val="20"/>
          <w:szCs w:val="20"/>
        </w:rPr>
        <w:t>.</w:t>
      </w:r>
      <w:r w:rsidR="00903A07" w:rsidRPr="00DC52EE">
        <w:rPr>
          <w:sz w:val="20"/>
          <w:szCs w:val="20"/>
        </w:rPr>
        <w:t xml:space="preserve"> </w:t>
      </w:r>
      <w:r w:rsidR="00794A55" w:rsidRPr="00DC52EE">
        <w:rPr>
          <w:sz w:val="20"/>
          <w:szCs w:val="20"/>
        </w:rPr>
        <w:t>Pp</w:t>
      </w:r>
      <w:r w:rsidR="00903A07" w:rsidRPr="00DC52EE">
        <w:rPr>
          <w:sz w:val="20"/>
          <w:szCs w:val="20"/>
        </w:rPr>
        <w:t xml:space="preserve"> </w:t>
      </w:r>
      <w:r w:rsidRPr="00DC52EE">
        <w:rPr>
          <w:sz w:val="20"/>
          <w:szCs w:val="20"/>
        </w:rPr>
        <w:t>163-172</w:t>
      </w:r>
      <w:r w:rsidR="00F816C3" w:rsidRPr="00DC52EE">
        <w:rPr>
          <w:sz w:val="20"/>
          <w:szCs w:val="20"/>
        </w:rPr>
        <w:t>.</w:t>
      </w:r>
      <w:r w:rsidR="00903A07" w:rsidRPr="00DC52EE">
        <w:rPr>
          <w:sz w:val="20"/>
          <w:szCs w:val="20"/>
        </w:rPr>
        <w:t xml:space="preserve"> </w:t>
      </w:r>
    </w:p>
    <w:p w:rsidR="00BB7760" w:rsidRPr="00DC52EE" w:rsidRDefault="00D756E7" w:rsidP="00BB7760">
      <w:pPr>
        <w:pStyle w:val="ListParagraph"/>
        <w:numPr>
          <w:ilvl w:val="0"/>
          <w:numId w:val="21"/>
        </w:numPr>
        <w:snapToGrid w:val="0"/>
        <w:spacing w:after="0" w:line="240" w:lineRule="auto"/>
        <w:ind w:left="425" w:hanging="425"/>
        <w:jc w:val="both"/>
        <w:rPr>
          <w:sz w:val="20"/>
          <w:szCs w:val="20"/>
        </w:rPr>
      </w:pPr>
      <w:r w:rsidRPr="00DC52EE">
        <w:rPr>
          <w:sz w:val="20"/>
          <w:szCs w:val="20"/>
        </w:rPr>
        <w:t>Zajac</w:t>
      </w:r>
      <w:r w:rsidR="00BB7760" w:rsidRPr="00DC52EE">
        <w:rPr>
          <w:sz w:val="20"/>
          <w:szCs w:val="20"/>
        </w:rPr>
        <w:t>. A</w:t>
      </w:r>
      <w:r w:rsidRPr="00DC52EE">
        <w:rPr>
          <w:sz w:val="20"/>
          <w:szCs w:val="20"/>
        </w:rPr>
        <w:t>.</w:t>
      </w:r>
      <w:r w:rsidR="00275B7B" w:rsidRPr="00DC52EE">
        <w:rPr>
          <w:sz w:val="20"/>
          <w:szCs w:val="20"/>
        </w:rPr>
        <w:t>M</w:t>
      </w:r>
      <w:r w:rsidR="00903A07" w:rsidRPr="00DC52EE">
        <w:rPr>
          <w:sz w:val="20"/>
          <w:szCs w:val="20"/>
        </w:rPr>
        <w:t xml:space="preserve"> </w:t>
      </w:r>
      <w:r w:rsidR="00275B7B" w:rsidRPr="00DC52EE">
        <w:rPr>
          <w:sz w:val="20"/>
          <w:szCs w:val="20"/>
        </w:rPr>
        <w:t>and</w:t>
      </w:r>
      <w:r w:rsidR="00903A07" w:rsidRPr="00DC52EE">
        <w:rPr>
          <w:sz w:val="20"/>
          <w:szCs w:val="20"/>
        </w:rPr>
        <w:t xml:space="preserve"> </w:t>
      </w:r>
      <w:r w:rsidR="00275B7B" w:rsidRPr="00DC52EE">
        <w:rPr>
          <w:sz w:val="20"/>
          <w:szCs w:val="20"/>
        </w:rPr>
        <w:t>Conboy</w:t>
      </w:r>
      <w:r w:rsidR="00903A07" w:rsidRPr="00DC52EE">
        <w:rPr>
          <w:sz w:val="20"/>
          <w:szCs w:val="20"/>
        </w:rPr>
        <w:t xml:space="preserve"> </w:t>
      </w:r>
      <w:r w:rsidR="00752420" w:rsidRPr="00DC52EE">
        <w:rPr>
          <w:sz w:val="20"/>
          <w:szCs w:val="20"/>
        </w:rPr>
        <w:t>G.A</w:t>
      </w:r>
      <w:r w:rsidR="00903A07" w:rsidRPr="00DC52EE">
        <w:rPr>
          <w:sz w:val="20"/>
          <w:szCs w:val="20"/>
        </w:rPr>
        <w:t xml:space="preserve"> </w:t>
      </w:r>
      <w:r w:rsidR="00752420" w:rsidRPr="00DC52EE">
        <w:rPr>
          <w:sz w:val="20"/>
          <w:szCs w:val="20"/>
        </w:rPr>
        <w:t>(2006)</w:t>
      </w:r>
      <w:r w:rsidR="00BB7760" w:rsidRPr="00DC52EE">
        <w:rPr>
          <w:sz w:val="20"/>
          <w:szCs w:val="20"/>
        </w:rPr>
        <w:t>: V</w:t>
      </w:r>
      <w:r w:rsidR="00275B7B" w:rsidRPr="00DC52EE">
        <w:rPr>
          <w:sz w:val="20"/>
          <w:szCs w:val="20"/>
        </w:rPr>
        <w:t>eterinary</w:t>
      </w:r>
      <w:r w:rsidR="00903A07" w:rsidRPr="00DC52EE">
        <w:rPr>
          <w:sz w:val="20"/>
          <w:szCs w:val="20"/>
        </w:rPr>
        <w:t xml:space="preserve"> </w:t>
      </w:r>
      <w:r w:rsidR="00275B7B" w:rsidRPr="00DC52EE">
        <w:rPr>
          <w:sz w:val="20"/>
          <w:szCs w:val="20"/>
        </w:rPr>
        <w:t>Clinical</w:t>
      </w:r>
      <w:r w:rsidR="00903A07" w:rsidRPr="00DC52EE">
        <w:rPr>
          <w:sz w:val="20"/>
          <w:szCs w:val="20"/>
        </w:rPr>
        <w:t xml:space="preserve"> </w:t>
      </w:r>
      <w:r w:rsidR="00275B7B" w:rsidRPr="00DC52EE">
        <w:rPr>
          <w:sz w:val="20"/>
          <w:szCs w:val="20"/>
        </w:rPr>
        <w:t>Parasitology</w:t>
      </w:r>
      <w:r w:rsidR="00903A07" w:rsidRPr="00DC52EE">
        <w:rPr>
          <w:sz w:val="20"/>
          <w:szCs w:val="20"/>
        </w:rPr>
        <w:t xml:space="preserve"> </w:t>
      </w:r>
      <w:r w:rsidR="00275B7B" w:rsidRPr="00DC52EE">
        <w:rPr>
          <w:sz w:val="20"/>
          <w:szCs w:val="20"/>
        </w:rPr>
        <w:t>7</w:t>
      </w:r>
      <w:r w:rsidR="00275B7B" w:rsidRPr="00DC52EE">
        <w:rPr>
          <w:sz w:val="20"/>
          <w:szCs w:val="20"/>
          <w:vertAlign w:val="superscript"/>
        </w:rPr>
        <w:t>th</w:t>
      </w:r>
      <w:r w:rsidR="00903A07" w:rsidRPr="00DC52EE">
        <w:rPr>
          <w:sz w:val="20"/>
          <w:szCs w:val="20"/>
        </w:rPr>
        <w:t xml:space="preserve"> </w:t>
      </w:r>
      <w:r w:rsidR="00275B7B" w:rsidRPr="00DC52EE">
        <w:rPr>
          <w:sz w:val="20"/>
          <w:szCs w:val="20"/>
        </w:rPr>
        <w:t>ed</w:t>
      </w:r>
      <w:r w:rsidR="00752420" w:rsidRPr="00DC52EE">
        <w:rPr>
          <w:sz w:val="20"/>
          <w:szCs w:val="20"/>
        </w:rPr>
        <w:t>,</w:t>
      </w:r>
      <w:r w:rsidR="00903A07" w:rsidRPr="00DC52EE">
        <w:rPr>
          <w:sz w:val="20"/>
          <w:szCs w:val="20"/>
        </w:rPr>
        <w:t xml:space="preserve"> </w:t>
      </w:r>
      <w:r w:rsidR="00752420" w:rsidRPr="00DC52EE">
        <w:rPr>
          <w:sz w:val="20"/>
          <w:szCs w:val="20"/>
        </w:rPr>
        <w:t>Blackwell,</w:t>
      </w:r>
      <w:r w:rsidR="00903A07" w:rsidRPr="00DC52EE">
        <w:rPr>
          <w:sz w:val="20"/>
          <w:szCs w:val="20"/>
        </w:rPr>
        <w:t xml:space="preserve"> </w:t>
      </w:r>
      <w:r w:rsidR="00EC7839" w:rsidRPr="00DC52EE">
        <w:rPr>
          <w:sz w:val="20"/>
          <w:szCs w:val="20"/>
        </w:rPr>
        <w:t>USA</w:t>
      </w:r>
      <w:r w:rsidR="00903A07" w:rsidRPr="00DC52EE">
        <w:rPr>
          <w:sz w:val="20"/>
          <w:szCs w:val="20"/>
        </w:rPr>
        <w:t xml:space="preserve"> </w:t>
      </w:r>
      <w:r w:rsidR="00EC7839" w:rsidRPr="00DC52EE">
        <w:rPr>
          <w:sz w:val="20"/>
          <w:szCs w:val="20"/>
        </w:rPr>
        <w:t>Pp</w:t>
      </w:r>
      <w:r w:rsidR="00D626D7" w:rsidRPr="00DC52EE">
        <w:rPr>
          <w:sz w:val="20"/>
          <w:szCs w:val="20"/>
        </w:rPr>
        <w:t>:</w:t>
      </w:r>
      <w:r w:rsidR="00903A07" w:rsidRPr="00DC52EE">
        <w:rPr>
          <w:sz w:val="20"/>
          <w:szCs w:val="20"/>
        </w:rPr>
        <w:t xml:space="preserve"> </w:t>
      </w:r>
      <w:r w:rsidR="00D626D7" w:rsidRPr="00DC52EE">
        <w:rPr>
          <w:sz w:val="20"/>
          <w:szCs w:val="20"/>
        </w:rPr>
        <w:t>18-2</w:t>
      </w:r>
      <w:r w:rsidR="00BB7760" w:rsidRPr="00DC52EE">
        <w:rPr>
          <w:sz w:val="20"/>
          <w:szCs w:val="20"/>
        </w:rPr>
        <w:t>7.</w:t>
      </w:r>
    </w:p>
    <w:p w:rsidR="00E96B32" w:rsidRPr="00DC52EE" w:rsidRDefault="00E96B32" w:rsidP="00BB7760">
      <w:pPr>
        <w:pStyle w:val="ListParagraph"/>
        <w:numPr>
          <w:ilvl w:val="0"/>
          <w:numId w:val="21"/>
        </w:numPr>
        <w:autoSpaceDE w:val="0"/>
        <w:autoSpaceDN w:val="0"/>
        <w:adjustRightInd w:val="0"/>
        <w:snapToGrid w:val="0"/>
        <w:spacing w:after="0" w:line="240" w:lineRule="auto"/>
        <w:ind w:left="425" w:hanging="425"/>
        <w:jc w:val="both"/>
        <w:rPr>
          <w:color w:val="231F20"/>
          <w:sz w:val="20"/>
          <w:szCs w:val="20"/>
        </w:rPr>
      </w:pPr>
      <w:r w:rsidRPr="00DC52EE">
        <w:rPr>
          <w:sz w:val="20"/>
          <w:szCs w:val="20"/>
        </w:rPr>
        <w:t>Zeleke</w:t>
      </w:r>
      <w:r w:rsidR="00903A07" w:rsidRPr="00DC52EE">
        <w:rPr>
          <w:sz w:val="20"/>
          <w:szCs w:val="20"/>
        </w:rPr>
        <w:t xml:space="preserve"> </w:t>
      </w:r>
      <w:r w:rsidRPr="00DC52EE">
        <w:rPr>
          <w:sz w:val="20"/>
          <w:szCs w:val="20"/>
        </w:rPr>
        <w:t>T</w:t>
      </w:r>
      <w:r w:rsidR="00903A07" w:rsidRPr="00DC52EE">
        <w:rPr>
          <w:sz w:val="20"/>
          <w:szCs w:val="20"/>
        </w:rPr>
        <w:t xml:space="preserve"> </w:t>
      </w:r>
      <w:r w:rsidRPr="00DC52EE">
        <w:rPr>
          <w:sz w:val="20"/>
          <w:szCs w:val="20"/>
        </w:rPr>
        <w:t>(2009):</w:t>
      </w:r>
      <w:r w:rsidR="00903A07" w:rsidRPr="00DC52EE">
        <w:rPr>
          <w:sz w:val="20"/>
          <w:szCs w:val="20"/>
        </w:rPr>
        <w:t xml:space="preserve"> </w:t>
      </w:r>
      <w:r w:rsidRPr="00DC52EE">
        <w:rPr>
          <w:sz w:val="20"/>
          <w:szCs w:val="20"/>
        </w:rPr>
        <w:t>Common</w:t>
      </w:r>
      <w:r w:rsidR="00903A07" w:rsidRPr="00DC52EE">
        <w:rPr>
          <w:sz w:val="20"/>
          <w:szCs w:val="20"/>
        </w:rPr>
        <w:t xml:space="preserve"> </w:t>
      </w:r>
      <w:r w:rsidRPr="00DC52EE">
        <w:rPr>
          <w:sz w:val="20"/>
          <w:szCs w:val="20"/>
        </w:rPr>
        <w:t>defects</w:t>
      </w:r>
      <w:r w:rsidR="00903A07" w:rsidRPr="00DC52EE">
        <w:rPr>
          <w:sz w:val="20"/>
          <w:szCs w:val="20"/>
        </w:rPr>
        <w:t xml:space="preserve"> </w:t>
      </w:r>
      <w:r w:rsidRPr="00DC52EE">
        <w:rPr>
          <w:sz w:val="20"/>
          <w:szCs w:val="20"/>
        </w:rPr>
        <w:t>of</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w:t>
      </w:r>
      <w:r w:rsidR="00903A07" w:rsidRPr="00DC52EE">
        <w:rPr>
          <w:sz w:val="20"/>
          <w:szCs w:val="20"/>
        </w:rPr>
        <w:t xml:space="preserve"> </w:t>
      </w:r>
      <w:r w:rsidRPr="00DC52EE">
        <w:rPr>
          <w:sz w:val="20"/>
          <w:szCs w:val="20"/>
        </w:rPr>
        <w:t>skin</w:t>
      </w:r>
      <w:r w:rsidR="00903A07" w:rsidRPr="00DC52EE">
        <w:rPr>
          <w:sz w:val="20"/>
          <w:szCs w:val="20"/>
        </w:rPr>
        <w:t xml:space="preserve"> </w:t>
      </w:r>
      <w:r w:rsidRPr="00DC52EE">
        <w:rPr>
          <w:sz w:val="20"/>
          <w:szCs w:val="20"/>
        </w:rPr>
        <w:t>in</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causes,</w:t>
      </w:r>
      <w:r w:rsidR="00903A07" w:rsidRPr="00DC52EE">
        <w:rPr>
          <w:sz w:val="20"/>
          <w:szCs w:val="20"/>
        </w:rPr>
        <w:t xml:space="preserve"> </w:t>
      </w:r>
      <w:r w:rsidRPr="00DC52EE">
        <w:rPr>
          <w:sz w:val="20"/>
          <w:szCs w:val="20"/>
        </w:rPr>
        <w:t>Ethiopia</w:t>
      </w:r>
      <w:r w:rsidR="00903A07" w:rsidRPr="00DC52EE">
        <w:rPr>
          <w:sz w:val="20"/>
          <w:szCs w:val="20"/>
        </w:rPr>
        <w:t xml:space="preserve"> </w:t>
      </w:r>
      <w:r w:rsidRPr="00DC52EE">
        <w:rPr>
          <w:sz w:val="20"/>
          <w:szCs w:val="20"/>
        </w:rPr>
        <w:t>sheep</w:t>
      </w:r>
      <w:r w:rsidR="00903A07" w:rsidRPr="00DC52EE">
        <w:rPr>
          <w:sz w:val="20"/>
          <w:szCs w:val="20"/>
        </w:rPr>
        <w:t xml:space="preserve"> </w:t>
      </w:r>
      <w:r w:rsidRPr="00DC52EE">
        <w:rPr>
          <w:sz w:val="20"/>
          <w:szCs w:val="20"/>
        </w:rPr>
        <w:t>and</w:t>
      </w:r>
      <w:r w:rsidR="00903A07" w:rsidRPr="00DC52EE">
        <w:rPr>
          <w:sz w:val="20"/>
          <w:szCs w:val="20"/>
        </w:rPr>
        <w:t xml:space="preserve"> </w:t>
      </w:r>
      <w:r w:rsidRPr="00DC52EE">
        <w:rPr>
          <w:sz w:val="20"/>
          <w:szCs w:val="20"/>
        </w:rPr>
        <w:t>goat</w:t>
      </w:r>
      <w:r w:rsidR="00903A07" w:rsidRPr="00DC52EE">
        <w:rPr>
          <w:sz w:val="20"/>
          <w:szCs w:val="20"/>
        </w:rPr>
        <w:t xml:space="preserve"> </w:t>
      </w:r>
      <w:r w:rsidRPr="00DC52EE">
        <w:rPr>
          <w:sz w:val="20"/>
          <w:szCs w:val="20"/>
        </w:rPr>
        <w:t>productivity.</w:t>
      </w:r>
      <w:r w:rsidR="00903A07" w:rsidRPr="00DC52EE">
        <w:rPr>
          <w:sz w:val="20"/>
          <w:szCs w:val="20"/>
        </w:rPr>
        <w:t xml:space="preserve"> </w:t>
      </w:r>
      <w:r w:rsidRPr="00DC52EE">
        <w:rPr>
          <w:sz w:val="20"/>
          <w:szCs w:val="20"/>
        </w:rPr>
        <w:t>Technical</w:t>
      </w:r>
      <w:r w:rsidR="00903A07" w:rsidRPr="00DC52EE">
        <w:rPr>
          <w:sz w:val="20"/>
          <w:szCs w:val="20"/>
        </w:rPr>
        <w:t xml:space="preserve"> </w:t>
      </w:r>
      <w:r w:rsidRPr="00DC52EE">
        <w:rPr>
          <w:sz w:val="20"/>
          <w:szCs w:val="20"/>
        </w:rPr>
        <w:t>Bulletin</w:t>
      </w:r>
      <w:r w:rsidR="00903A07" w:rsidRPr="00DC52EE">
        <w:rPr>
          <w:sz w:val="20"/>
          <w:szCs w:val="20"/>
        </w:rPr>
        <w:t xml:space="preserve"> </w:t>
      </w:r>
      <w:r w:rsidRPr="00DC52EE">
        <w:rPr>
          <w:sz w:val="20"/>
          <w:szCs w:val="20"/>
        </w:rPr>
        <w:t>No.</w:t>
      </w:r>
      <w:r w:rsidR="00903A07" w:rsidRPr="00DC52EE">
        <w:rPr>
          <w:sz w:val="20"/>
          <w:szCs w:val="20"/>
        </w:rPr>
        <w:t xml:space="preserve"> </w:t>
      </w:r>
      <w:r w:rsidRPr="00DC52EE">
        <w:rPr>
          <w:sz w:val="20"/>
          <w:szCs w:val="20"/>
        </w:rPr>
        <w:t>19:1-15.</w:t>
      </w:r>
      <w:r w:rsidR="00903A07" w:rsidRPr="00DC52EE">
        <w:rPr>
          <w:color w:val="231F20"/>
          <w:sz w:val="20"/>
          <w:szCs w:val="20"/>
        </w:rPr>
        <w:t xml:space="preserve"> </w:t>
      </w:r>
    </w:p>
    <w:p w:rsidR="00BB7760" w:rsidRPr="00DC52EE" w:rsidRDefault="00BB7760" w:rsidP="00BB7760">
      <w:pPr>
        <w:snapToGrid w:val="0"/>
        <w:spacing w:after="0" w:line="240" w:lineRule="auto"/>
        <w:ind w:left="425" w:hanging="425"/>
        <w:jc w:val="both"/>
        <w:rPr>
          <w:color w:val="231F20"/>
          <w:sz w:val="20"/>
          <w:szCs w:val="20"/>
        </w:rPr>
        <w:sectPr w:rsidR="00BB7760" w:rsidRPr="00DC52EE" w:rsidSect="00BB7760">
          <w:type w:val="continuous"/>
          <w:pgSz w:w="12240" w:h="15840"/>
          <w:pgMar w:top="1440" w:right="1440" w:bottom="1440" w:left="1440" w:header="720" w:footer="720" w:gutter="0"/>
          <w:cols w:num="2" w:space="600"/>
          <w:noEndnote/>
          <w:docGrid w:linePitch="326"/>
        </w:sectPr>
      </w:pPr>
    </w:p>
    <w:p w:rsidR="004D4673" w:rsidRPr="00DC52EE" w:rsidRDefault="004D4673" w:rsidP="00BB7760">
      <w:pPr>
        <w:snapToGrid w:val="0"/>
        <w:spacing w:after="0" w:line="240" w:lineRule="auto"/>
        <w:ind w:left="425" w:hanging="425"/>
        <w:jc w:val="both"/>
        <w:rPr>
          <w:color w:val="231F20"/>
          <w:sz w:val="20"/>
          <w:szCs w:val="20"/>
        </w:rPr>
      </w:pPr>
    </w:p>
    <w:p w:rsidR="00903A07" w:rsidRPr="00DC52EE" w:rsidRDefault="00903A07" w:rsidP="00BB7760">
      <w:pPr>
        <w:snapToGrid w:val="0"/>
        <w:spacing w:after="0" w:line="240" w:lineRule="auto"/>
        <w:ind w:left="425" w:hanging="425"/>
        <w:jc w:val="both"/>
        <w:rPr>
          <w:sz w:val="20"/>
          <w:szCs w:val="20"/>
          <w:lang w:eastAsia="zh-CN"/>
        </w:rPr>
      </w:pPr>
    </w:p>
    <w:p w:rsidR="00BB7760" w:rsidRPr="00DC52EE" w:rsidRDefault="00BB7760" w:rsidP="00BB7760">
      <w:pPr>
        <w:snapToGrid w:val="0"/>
        <w:spacing w:after="0" w:line="240" w:lineRule="auto"/>
        <w:jc w:val="both"/>
        <w:rPr>
          <w:b/>
          <w:sz w:val="20"/>
          <w:szCs w:val="20"/>
          <w:lang w:eastAsia="zh-CN"/>
        </w:rPr>
      </w:pPr>
    </w:p>
    <w:p w:rsidR="00C16521" w:rsidRPr="00DC52EE" w:rsidRDefault="00903A07" w:rsidP="00BB7760">
      <w:pPr>
        <w:snapToGrid w:val="0"/>
        <w:spacing w:after="0" w:line="240" w:lineRule="auto"/>
        <w:jc w:val="both"/>
        <w:rPr>
          <w:sz w:val="20"/>
          <w:szCs w:val="20"/>
        </w:rPr>
      </w:pPr>
      <w:r w:rsidRPr="00DC52EE">
        <w:rPr>
          <w:sz w:val="20"/>
          <w:szCs w:val="20"/>
        </w:rPr>
        <w:t>8/2</w:t>
      </w:r>
      <w:r w:rsidR="00B16A7B" w:rsidRPr="00DC52EE">
        <w:rPr>
          <w:rFonts w:hint="eastAsia"/>
          <w:sz w:val="20"/>
          <w:szCs w:val="20"/>
          <w:lang w:eastAsia="zh-CN"/>
        </w:rPr>
        <w:t>6</w:t>
      </w:r>
      <w:r w:rsidRPr="00DC52EE">
        <w:rPr>
          <w:sz w:val="20"/>
          <w:szCs w:val="20"/>
        </w:rPr>
        <w:t>/2020</w:t>
      </w:r>
    </w:p>
    <w:sectPr w:rsidR="00C16521" w:rsidRPr="00DC52EE" w:rsidSect="00903A07">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8C" w:rsidRDefault="000C258C" w:rsidP="0022217C">
      <w:pPr>
        <w:spacing w:after="0" w:line="240" w:lineRule="auto"/>
      </w:pPr>
      <w:r>
        <w:separator/>
      </w:r>
    </w:p>
  </w:endnote>
  <w:endnote w:type="continuationSeparator" w:id="0">
    <w:p w:rsidR="000C258C" w:rsidRDefault="000C258C" w:rsidP="00222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EE" w:rsidRPr="002E43A1" w:rsidRDefault="005601D3" w:rsidP="002E43A1">
    <w:pPr>
      <w:spacing w:after="0" w:line="240" w:lineRule="auto"/>
      <w:jc w:val="center"/>
      <w:rPr>
        <w:sz w:val="20"/>
      </w:rPr>
    </w:pPr>
    <w:r w:rsidRPr="002E43A1">
      <w:rPr>
        <w:sz w:val="20"/>
      </w:rPr>
      <w:fldChar w:fldCharType="begin"/>
    </w:r>
    <w:r w:rsidR="00DC52EE" w:rsidRPr="002E43A1">
      <w:rPr>
        <w:sz w:val="20"/>
      </w:rPr>
      <w:instrText xml:space="preserve"> page </w:instrText>
    </w:r>
    <w:r w:rsidRPr="002E43A1">
      <w:rPr>
        <w:sz w:val="20"/>
      </w:rPr>
      <w:fldChar w:fldCharType="separate"/>
    </w:r>
    <w:r w:rsidR="002A6608">
      <w:rPr>
        <w:noProof/>
        <w:sz w:val="20"/>
      </w:rPr>
      <w:t>7</w:t>
    </w:r>
    <w:r w:rsidRPr="002E43A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8C" w:rsidRDefault="000C258C" w:rsidP="0022217C">
      <w:pPr>
        <w:spacing w:after="0" w:line="240" w:lineRule="auto"/>
      </w:pPr>
      <w:r>
        <w:separator/>
      </w:r>
    </w:p>
  </w:footnote>
  <w:footnote w:type="continuationSeparator" w:id="0">
    <w:p w:rsidR="000C258C" w:rsidRDefault="000C258C" w:rsidP="002221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EE" w:rsidRPr="006B1F54" w:rsidRDefault="00DC52EE" w:rsidP="006B1F54">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EE" w:rsidRPr="002E43A1" w:rsidRDefault="00DC52EE" w:rsidP="002E43A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E43A1">
      <w:rPr>
        <w:rFonts w:hint="eastAsia"/>
        <w:iCs/>
        <w:color w:val="000000"/>
        <w:sz w:val="20"/>
        <w:szCs w:val="20"/>
      </w:rPr>
      <w:tab/>
    </w:r>
    <w:r w:rsidRPr="002E43A1">
      <w:rPr>
        <w:iCs/>
        <w:color w:val="000000"/>
        <w:sz w:val="20"/>
        <w:szCs w:val="20"/>
      </w:rPr>
      <w:t xml:space="preserve">Researcher </w:t>
    </w:r>
    <w:r w:rsidRPr="002E43A1">
      <w:rPr>
        <w:iCs/>
        <w:sz w:val="20"/>
        <w:szCs w:val="20"/>
      </w:rPr>
      <w:t>20</w:t>
    </w:r>
    <w:r w:rsidRPr="002E43A1">
      <w:rPr>
        <w:rFonts w:hint="eastAsia"/>
        <w:iCs/>
        <w:sz w:val="20"/>
        <w:szCs w:val="20"/>
      </w:rPr>
      <w:t>20</w:t>
    </w:r>
    <w:r w:rsidRPr="002E43A1">
      <w:rPr>
        <w:iCs/>
        <w:sz w:val="20"/>
        <w:szCs w:val="20"/>
      </w:rPr>
      <w:t>;</w:t>
    </w:r>
    <w:r w:rsidRPr="002E43A1">
      <w:rPr>
        <w:rFonts w:hint="eastAsia"/>
        <w:iCs/>
        <w:sz w:val="20"/>
        <w:szCs w:val="20"/>
      </w:rPr>
      <w:t>12</w:t>
    </w:r>
    <w:r w:rsidRPr="002E43A1">
      <w:rPr>
        <w:iCs/>
        <w:sz w:val="20"/>
        <w:szCs w:val="20"/>
      </w:rPr>
      <w:t>(</w:t>
    </w:r>
    <w:r w:rsidRPr="002E43A1">
      <w:rPr>
        <w:rFonts w:hint="eastAsia"/>
        <w:iCs/>
        <w:sz w:val="20"/>
        <w:szCs w:val="20"/>
      </w:rPr>
      <w:t>9</w:t>
    </w:r>
    <w:r w:rsidRPr="002E43A1">
      <w:rPr>
        <w:iCs/>
        <w:sz w:val="20"/>
        <w:szCs w:val="20"/>
      </w:rPr>
      <w:t xml:space="preserve">)  </w:t>
    </w:r>
    <w:r w:rsidRPr="002E43A1">
      <w:rPr>
        <w:rFonts w:hint="eastAsia"/>
        <w:iCs/>
        <w:sz w:val="20"/>
        <w:szCs w:val="20"/>
      </w:rPr>
      <w:t xml:space="preserve"> </w:t>
    </w:r>
    <w:r w:rsidRPr="002E43A1">
      <w:rPr>
        <w:iCs/>
        <w:sz w:val="20"/>
        <w:szCs w:val="20"/>
      </w:rPr>
      <w:t xml:space="preserve"> </w:t>
    </w:r>
    <w:r w:rsidRPr="002E43A1">
      <w:rPr>
        <w:rFonts w:hint="eastAsia"/>
        <w:iCs/>
        <w:sz w:val="20"/>
        <w:szCs w:val="20"/>
      </w:rPr>
      <w:tab/>
    </w:r>
    <w:r w:rsidRPr="002E43A1">
      <w:rPr>
        <w:iCs/>
        <w:sz w:val="20"/>
        <w:szCs w:val="20"/>
      </w:rPr>
      <w:t xml:space="preserve">    </w:t>
    </w:r>
    <w:r w:rsidRPr="002E43A1">
      <w:rPr>
        <w:sz w:val="20"/>
        <w:szCs w:val="20"/>
      </w:rPr>
      <w:t xml:space="preserve"> </w:t>
    </w:r>
    <w:hyperlink r:id="rId1" w:history="1">
      <w:r w:rsidRPr="002E43A1">
        <w:rPr>
          <w:rStyle w:val="Hyperlink"/>
          <w:sz w:val="20"/>
          <w:szCs w:val="20"/>
        </w:rPr>
        <w:t>http://www.sciencepub.net/researcher</w:t>
      </w:r>
    </w:hyperlink>
    <w:r w:rsidRPr="002E43A1">
      <w:rPr>
        <w:rFonts w:hint="eastAsia"/>
        <w:sz w:val="20"/>
      </w:rPr>
      <w:t xml:space="preserve">   </w:t>
    </w:r>
    <w:r w:rsidRPr="002E43A1">
      <w:rPr>
        <w:rFonts w:hint="eastAsia"/>
        <w:b/>
        <w:i/>
        <w:color w:val="FF0000"/>
        <w:sz w:val="20"/>
        <w:szCs w:val="20"/>
        <w:bdr w:val="single" w:sz="4" w:space="0" w:color="FF0000"/>
      </w:rPr>
      <w:t>RSJ</w:t>
    </w:r>
  </w:p>
  <w:p w:rsidR="00DC52EE" w:rsidRPr="002E43A1" w:rsidRDefault="00DC52EE" w:rsidP="002E43A1">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822"/>
    <w:multiLevelType w:val="multilevel"/>
    <w:tmpl w:val="652227E8"/>
    <w:lvl w:ilvl="0">
      <w:start w:val="2"/>
      <w:numFmt w:val="decimal"/>
      <w:lvlText w:val="%1."/>
      <w:lvlJc w:val="left"/>
      <w:pPr>
        <w:ind w:left="540" w:hanging="540"/>
      </w:pPr>
      <w:rPr>
        <w:rFonts w:hint="default"/>
        <w:i/>
      </w:rPr>
    </w:lvl>
    <w:lvl w:ilvl="1">
      <w:start w:val="4"/>
      <w:numFmt w:val="decimal"/>
      <w:lvlText w:val="%1.%2."/>
      <w:lvlJc w:val="left"/>
      <w:pPr>
        <w:ind w:left="1080"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1">
    <w:nsid w:val="09792B23"/>
    <w:multiLevelType w:val="multilevel"/>
    <w:tmpl w:val="4A68EDF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B795126"/>
    <w:multiLevelType w:val="multilevel"/>
    <w:tmpl w:val="C330B0B6"/>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6F31B2"/>
    <w:multiLevelType w:val="hybridMultilevel"/>
    <w:tmpl w:val="95182738"/>
    <w:lvl w:ilvl="0" w:tplc="02688C4C">
      <w:start w:val="1"/>
      <w:numFmt w:val="decimal"/>
      <w:lvlText w:val="%1."/>
      <w:lvlJc w:val="left"/>
      <w:pPr>
        <w:ind w:left="81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2495C"/>
    <w:multiLevelType w:val="hybridMultilevel"/>
    <w:tmpl w:val="3D70671E"/>
    <w:lvl w:ilvl="0" w:tplc="5E02F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520EBB"/>
    <w:multiLevelType w:val="multilevel"/>
    <w:tmpl w:val="B34620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0FB66E9"/>
    <w:multiLevelType w:val="hybridMultilevel"/>
    <w:tmpl w:val="080AC458"/>
    <w:lvl w:ilvl="0" w:tplc="04B0248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70B6F"/>
    <w:multiLevelType w:val="hybridMultilevel"/>
    <w:tmpl w:val="B1BE38C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D961148"/>
    <w:multiLevelType w:val="hybridMultilevel"/>
    <w:tmpl w:val="EC727480"/>
    <w:lvl w:ilvl="0" w:tplc="F1BA31A2">
      <w:start w:val="1"/>
      <w:numFmt w:val="decimal"/>
      <w:lvlText w:val="%1."/>
      <w:lvlJc w:val="left"/>
      <w:pPr>
        <w:ind w:left="90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02CDF"/>
    <w:multiLevelType w:val="multilevel"/>
    <w:tmpl w:val="3F3E84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743670"/>
    <w:multiLevelType w:val="hybridMultilevel"/>
    <w:tmpl w:val="E9C24980"/>
    <w:lvl w:ilvl="0" w:tplc="EFC88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F4C88"/>
    <w:multiLevelType w:val="hybridMultilevel"/>
    <w:tmpl w:val="BDD4E3E4"/>
    <w:lvl w:ilvl="0" w:tplc="159C54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41AF9"/>
    <w:multiLevelType w:val="hybridMultilevel"/>
    <w:tmpl w:val="314ED994"/>
    <w:lvl w:ilvl="0" w:tplc="5E02F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16B43"/>
    <w:multiLevelType w:val="multilevel"/>
    <w:tmpl w:val="8E90C1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DE0B7A"/>
    <w:multiLevelType w:val="hybridMultilevel"/>
    <w:tmpl w:val="263C1B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974FCE"/>
    <w:multiLevelType w:val="hybridMultilevel"/>
    <w:tmpl w:val="C1D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8232A1"/>
    <w:multiLevelType w:val="multilevel"/>
    <w:tmpl w:val="20AA7AD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8E6BB1"/>
    <w:multiLevelType w:val="hybridMultilevel"/>
    <w:tmpl w:val="771E5E28"/>
    <w:lvl w:ilvl="0" w:tplc="97365FA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AC2344"/>
    <w:multiLevelType w:val="hybridMultilevel"/>
    <w:tmpl w:val="9858FA04"/>
    <w:lvl w:ilvl="0" w:tplc="0D36462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4747E"/>
    <w:multiLevelType w:val="hybridMultilevel"/>
    <w:tmpl w:val="A74A458C"/>
    <w:lvl w:ilvl="0" w:tplc="3EDCE9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126BAC"/>
    <w:multiLevelType w:val="hybridMultilevel"/>
    <w:tmpl w:val="E9587BB2"/>
    <w:lvl w:ilvl="0" w:tplc="F01891E8">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20"/>
  </w:num>
  <w:num w:numId="6">
    <w:abstractNumId w:val="8"/>
  </w:num>
  <w:num w:numId="7">
    <w:abstractNumId w:val="18"/>
  </w:num>
  <w:num w:numId="8">
    <w:abstractNumId w:val="6"/>
  </w:num>
  <w:num w:numId="9">
    <w:abstractNumId w:val="17"/>
  </w:num>
  <w:num w:numId="10">
    <w:abstractNumId w:val="2"/>
  </w:num>
  <w:num w:numId="11">
    <w:abstractNumId w:val="19"/>
  </w:num>
  <w:num w:numId="12">
    <w:abstractNumId w:val="16"/>
  </w:num>
  <w:num w:numId="13">
    <w:abstractNumId w:val="11"/>
  </w:num>
  <w:num w:numId="14">
    <w:abstractNumId w:val="10"/>
  </w:num>
  <w:num w:numId="15">
    <w:abstractNumId w:val="14"/>
  </w:num>
  <w:num w:numId="16">
    <w:abstractNumId w:val="5"/>
  </w:num>
  <w:num w:numId="17">
    <w:abstractNumId w:val="0"/>
  </w:num>
  <w:num w:numId="18">
    <w:abstractNumId w:val="13"/>
  </w:num>
  <w:num w:numId="19">
    <w:abstractNumId w:val="15"/>
  </w:num>
  <w:num w:numId="20">
    <w:abstractNumId w:val="12"/>
  </w:num>
  <w:num w:numId="21">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useFELayout/>
  </w:compat>
  <w:rsids>
    <w:rsidRoot w:val="00B61CDD"/>
    <w:rsid w:val="00000185"/>
    <w:rsid w:val="000011B7"/>
    <w:rsid w:val="00001FAA"/>
    <w:rsid w:val="0000321F"/>
    <w:rsid w:val="00003310"/>
    <w:rsid w:val="000038B3"/>
    <w:rsid w:val="00004769"/>
    <w:rsid w:val="00004ECA"/>
    <w:rsid w:val="00005707"/>
    <w:rsid w:val="00005DFD"/>
    <w:rsid w:val="00007676"/>
    <w:rsid w:val="00007EAD"/>
    <w:rsid w:val="00010970"/>
    <w:rsid w:val="00012634"/>
    <w:rsid w:val="00012F08"/>
    <w:rsid w:val="000134D2"/>
    <w:rsid w:val="00013F37"/>
    <w:rsid w:val="0001440E"/>
    <w:rsid w:val="000158B4"/>
    <w:rsid w:val="000162E5"/>
    <w:rsid w:val="0001737A"/>
    <w:rsid w:val="0002127B"/>
    <w:rsid w:val="000215CD"/>
    <w:rsid w:val="0002182B"/>
    <w:rsid w:val="00022186"/>
    <w:rsid w:val="00022B7A"/>
    <w:rsid w:val="000237BF"/>
    <w:rsid w:val="00023A10"/>
    <w:rsid w:val="00023BFE"/>
    <w:rsid w:val="00023D23"/>
    <w:rsid w:val="0002487F"/>
    <w:rsid w:val="00025691"/>
    <w:rsid w:val="00025894"/>
    <w:rsid w:val="000268E4"/>
    <w:rsid w:val="00027FDA"/>
    <w:rsid w:val="000304E3"/>
    <w:rsid w:val="00030AD2"/>
    <w:rsid w:val="00031EB1"/>
    <w:rsid w:val="00035222"/>
    <w:rsid w:val="000375A8"/>
    <w:rsid w:val="00037BAC"/>
    <w:rsid w:val="00040145"/>
    <w:rsid w:val="0004061D"/>
    <w:rsid w:val="000406E0"/>
    <w:rsid w:val="00041E95"/>
    <w:rsid w:val="00042599"/>
    <w:rsid w:val="00042AB2"/>
    <w:rsid w:val="00044ABA"/>
    <w:rsid w:val="00044F57"/>
    <w:rsid w:val="00045729"/>
    <w:rsid w:val="00045DDB"/>
    <w:rsid w:val="000461D5"/>
    <w:rsid w:val="0004719B"/>
    <w:rsid w:val="00047216"/>
    <w:rsid w:val="0004792E"/>
    <w:rsid w:val="00050455"/>
    <w:rsid w:val="00051CAF"/>
    <w:rsid w:val="000522F6"/>
    <w:rsid w:val="00052E7B"/>
    <w:rsid w:val="000534B1"/>
    <w:rsid w:val="000541BF"/>
    <w:rsid w:val="00054C67"/>
    <w:rsid w:val="00054D34"/>
    <w:rsid w:val="000551CC"/>
    <w:rsid w:val="000553CC"/>
    <w:rsid w:val="000559C9"/>
    <w:rsid w:val="00055BA8"/>
    <w:rsid w:val="00056327"/>
    <w:rsid w:val="000564BC"/>
    <w:rsid w:val="00056AF7"/>
    <w:rsid w:val="00057C08"/>
    <w:rsid w:val="00060A59"/>
    <w:rsid w:val="0006224B"/>
    <w:rsid w:val="000623E9"/>
    <w:rsid w:val="00062EE3"/>
    <w:rsid w:val="00063902"/>
    <w:rsid w:val="00063A08"/>
    <w:rsid w:val="00063E71"/>
    <w:rsid w:val="0006431B"/>
    <w:rsid w:val="00065AF2"/>
    <w:rsid w:val="0006619D"/>
    <w:rsid w:val="0006659F"/>
    <w:rsid w:val="00066A1C"/>
    <w:rsid w:val="00067DEE"/>
    <w:rsid w:val="0007082E"/>
    <w:rsid w:val="00070D7A"/>
    <w:rsid w:val="00071079"/>
    <w:rsid w:val="000717D2"/>
    <w:rsid w:val="00071A1D"/>
    <w:rsid w:val="000732D2"/>
    <w:rsid w:val="0007347E"/>
    <w:rsid w:val="0007374A"/>
    <w:rsid w:val="00073BD2"/>
    <w:rsid w:val="00073F3F"/>
    <w:rsid w:val="00074794"/>
    <w:rsid w:val="000748FC"/>
    <w:rsid w:val="00075046"/>
    <w:rsid w:val="00075BA6"/>
    <w:rsid w:val="000771F7"/>
    <w:rsid w:val="00077322"/>
    <w:rsid w:val="00077DC8"/>
    <w:rsid w:val="00077F11"/>
    <w:rsid w:val="00080961"/>
    <w:rsid w:val="00081634"/>
    <w:rsid w:val="00081B21"/>
    <w:rsid w:val="00082EDC"/>
    <w:rsid w:val="000839C8"/>
    <w:rsid w:val="00084954"/>
    <w:rsid w:val="000853FD"/>
    <w:rsid w:val="000866FC"/>
    <w:rsid w:val="00086AC0"/>
    <w:rsid w:val="00086BAB"/>
    <w:rsid w:val="00086D74"/>
    <w:rsid w:val="00086FB7"/>
    <w:rsid w:val="00087068"/>
    <w:rsid w:val="00087204"/>
    <w:rsid w:val="00087975"/>
    <w:rsid w:val="00087A75"/>
    <w:rsid w:val="00087E9E"/>
    <w:rsid w:val="00090917"/>
    <w:rsid w:val="00091D70"/>
    <w:rsid w:val="00091FBD"/>
    <w:rsid w:val="0009200C"/>
    <w:rsid w:val="000924E0"/>
    <w:rsid w:val="000934E1"/>
    <w:rsid w:val="000938A2"/>
    <w:rsid w:val="00093FA7"/>
    <w:rsid w:val="00094DB7"/>
    <w:rsid w:val="00094E82"/>
    <w:rsid w:val="000956B8"/>
    <w:rsid w:val="00096463"/>
    <w:rsid w:val="000968FA"/>
    <w:rsid w:val="00097306"/>
    <w:rsid w:val="00097451"/>
    <w:rsid w:val="0009780A"/>
    <w:rsid w:val="00097A4A"/>
    <w:rsid w:val="000A0D55"/>
    <w:rsid w:val="000A1577"/>
    <w:rsid w:val="000A1C2B"/>
    <w:rsid w:val="000A2A0D"/>
    <w:rsid w:val="000A2E32"/>
    <w:rsid w:val="000A3506"/>
    <w:rsid w:val="000A3BFA"/>
    <w:rsid w:val="000A3E35"/>
    <w:rsid w:val="000A469E"/>
    <w:rsid w:val="000A4B04"/>
    <w:rsid w:val="000A5611"/>
    <w:rsid w:val="000A5A93"/>
    <w:rsid w:val="000A6CB9"/>
    <w:rsid w:val="000A707E"/>
    <w:rsid w:val="000A70B5"/>
    <w:rsid w:val="000A7756"/>
    <w:rsid w:val="000A788C"/>
    <w:rsid w:val="000A7CE6"/>
    <w:rsid w:val="000B00D6"/>
    <w:rsid w:val="000B0365"/>
    <w:rsid w:val="000B0606"/>
    <w:rsid w:val="000B1D04"/>
    <w:rsid w:val="000B237C"/>
    <w:rsid w:val="000B245A"/>
    <w:rsid w:val="000B3599"/>
    <w:rsid w:val="000B425C"/>
    <w:rsid w:val="000B441F"/>
    <w:rsid w:val="000B49F9"/>
    <w:rsid w:val="000B4A5C"/>
    <w:rsid w:val="000B5BD8"/>
    <w:rsid w:val="000B7384"/>
    <w:rsid w:val="000B76D7"/>
    <w:rsid w:val="000C0566"/>
    <w:rsid w:val="000C0A6A"/>
    <w:rsid w:val="000C0CEB"/>
    <w:rsid w:val="000C258C"/>
    <w:rsid w:val="000C2A62"/>
    <w:rsid w:val="000C2B7E"/>
    <w:rsid w:val="000C305E"/>
    <w:rsid w:val="000C40A5"/>
    <w:rsid w:val="000C4659"/>
    <w:rsid w:val="000C4677"/>
    <w:rsid w:val="000C4761"/>
    <w:rsid w:val="000C4BB8"/>
    <w:rsid w:val="000C5071"/>
    <w:rsid w:val="000C5523"/>
    <w:rsid w:val="000C6820"/>
    <w:rsid w:val="000C6BE1"/>
    <w:rsid w:val="000C718C"/>
    <w:rsid w:val="000C75C3"/>
    <w:rsid w:val="000C7DD8"/>
    <w:rsid w:val="000D0973"/>
    <w:rsid w:val="000D0B64"/>
    <w:rsid w:val="000D12CC"/>
    <w:rsid w:val="000D25CF"/>
    <w:rsid w:val="000D5235"/>
    <w:rsid w:val="000D63CA"/>
    <w:rsid w:val="000D69A1"/>
    <w:rsid w:val="000D7BA0"/>
    <w:rsid w:val="000D7EA8"/>
    <w:rsid w:val="000E002C"/>
    <w:rsid w:val="000E034C"/>
    <w:rsid w:val="000E0FA5"/>
    <w:rsid w:val="000E1C97"/>
    <w:rsid w:val="000E412F"/>
    <w:rsid w:val="000E567E"/>
    <w:rsid w:val="000E7BE4"/>
    <w:rsid w:val="000E7F80"/>
    <w:rsid w:val="000F26FA"/>
    <w:rsid w:val="000F3E69"/>
    <w:rsid w:val="000F4F4E"/>
    <w:rsid w:val="000F5E0C"/>
    <w:rsid w:val="000F622D"/>
    <w:rsid w:val="000F76A9"/>
    <w:rsid w:val="000F7D94"/>
    <w:rsid w:val="001006F8"/>
    <w:rsid w:val="00100712"/>
    <w:rsid w:val="00100D6B"/>
    <w:rsid w:val="001011E9"/>
    <w:rsid w:val="00103807"/>
    <w:rsid w:val="00103826"/>
    <w:rsid w:val="00103A43"/>
    <w:rsid w:val="00103D85"/>
    <w:rsid w:val="001049A4"/>
    <w:rsid w:val="001049DB"/>
    <w:rsid w:val="0010538D"/>
    <w:rsid w:val="00106FCC"/>
    <w:rsid w:val="00107F38"/>
    <w:rsid w:val="001113F5"/>
    <w:rsid w:val="00111424"/>
    <w:rsid w:val="001116A5"/>
    <w:rsid w:val="00111701"/>
    <w:rsid w:val="001124FE"/>
    <w:rsid w:val="00115208"/>
    <w:rsid w:val="0011540C"/>
    <w:rsid w:val="00116C00"/>
    <w:rsid w:val="00116D08"/>
    <w:rsid w:val="00117412"/>
    <w:rsid w:val="001179F8"/>
    <w:rsid w:val="00120274"/>
    <w:rsid w:val="00120C63"/>
    <w:rsid w:val="001210C2"/>
    <w:rsid w:val="001220CE"/>
    <w:rsid w:val="00122A8D"/>
    <w:rsid w:val="00122B15"/>
    <w:rsid w:val="00123C32"/>
    <w:rsid w:val="00124E97"/>
    <w:rsid w:val="001253BC"/>
    <w:rsid w:val="0012569F"/>
    <w:rsid w:val="00125873"/>
    <w:rsid w:val="00125CBF"/>
    <w:rsid w:val="001279D4"/>
    <w:rsid w:val="00127AED"/>
    <w:rsid w:val="00127E7E"/>
    <w:rsid w:val="00127F22"/>
    <w:rsid w:val="00131228"/>
    <w:rsid w:val="00131FE7"/>
    <w:rsid w:val="00132A52"/>
    <w:rsid w:val="00134266"/>
    <w:rsid w:val="001348E0"/>
    <w:rsid w:val="00134A17"/>
    <w:rsid w:val="0013686A"/>
    <w:rsid w:val="0013789A"/>
    <w:rsid w:val="0014044A"/>
    <w:rsid w:val="00142CC6"/>
    <w:rsid w:val="00144507"/>
    <w:rsid w:val="00145627"/>
    <w:rsid w:val="00146016"/>
    <w:rsid w:val="00146400"/>
    <w:rsid w:val="0015028A"/>
    <w:rsid w:val="00150DC1"/>
    <w:rsid w:val="001514C2"/>
    <w:rsid w:val="00151986"/>
    <w:rsid w:val="00151FC4"/>
    <w:rsid w:val="001525BD"/>
    <w:rsid w:val="0015272F"/>
    <w:rsid w:val="00154D69"/>
    <w:rsid w:val="00155586"/>
    <w:rsid w:val="00155E1B"/>
    <w:rsid w:val="00156510"/>
    <w:rsid w:val="0015698F"/>
    <w:rsid w:val="00156A5B"/>
    <w:rsid w:val="00160234"/>
    <w:rsid w:val="001616AE"/>
    <w:rsid w:val="0016289A"/>
    <w:rsid w:val="001638BF"/>
    <w:rsid w:val="001640E1"/>
    <w:rsid w:val="00164162"/>
    <w:rsid w:val="00164DFB"/>
    <w:rsid w:val="00165943"/>
    <w:rsid w:val="00165BAA"/>
    <w:rsid w:val="001664F3"/>
    <w:rsid w:val="00166D52"/>
    <w:rsid w:val="00166EE8"/>
    <w:rsid w:val="00167226"/>
    <w:rsid w:val="00167D21"/>
    <w:rsid w:val="00167ED8"/>
    <w:rsid w:val="001701A4"/>
    <w:rsid w:val="0017036E"/>
    <w:rsid w:val="001703FE"/>
    <w:rsid w:val="001705DD"/>
    <w:rsid w:val="001727FF"/>
    <w:rsid w:val="001729E2"/>
    <w:rsid w:val="00172DDA"/>
    <w:rsid w:val="00173684"/>
    <w:rsid w:val="001739DC"/>
    <w:rsid w:val="00174D7F"/>
    <w:rsid w:val="0017582B"/>
    <w:rsid w:val="0017674F"/>
    <w:rsid w:val="00181449"/>
    <w:rsid w:val="0018199C"/>
    <w:rsid w:val="001822AA"/>
    <w:rsid w:val="0018269F"/>
    <w:rsid w:val="00185007"/>
    <w:rsid w:val="001856C8"/>
    <w:rsid w:val="00185C6D"/>
    <w:rsid w:val="00185F10"/>
    <w:rsid w:val="00186647"/>
    <w:rsid w:val="001868FB"/>
    <w:rsid w:val="001915D6"/>
    <w:rsid w:val="00191BF2"/>
    <w:rsid w:val="00191DE2"/>
    <w:rsid w:val="00192246"/>
    <w:rsid w:val="00192AB7"/>
    <w:rsid w:val="00193318"/>
    <w:rsid w:val="00193F33"/>
    <w:rsid w:val="0019521B"/>
    <w:rsid w:val="001962CB"/>
    <w:rsid w:val="00196607"/>
    <w:rsid w:val="00197D7A"/>
    <w:rsid w:val="00197E91"/>
    <w:rsid w:val="001A0BC7"/>
    <w:rsid w:val="001A1B71"/>
    <w:rsid w:val="001A226B"/>
    <w:rsid w:val="001A2699"/>
    <w:rsid w:val="001A41E3"/>
    <w:rsid w:val="001A4429"/>
    <w:rsid w:val="001A45D0"/>
    <w:rsid w:val="001A4751"/>
    <w:rsid w:val="001A48EF"/>
    <w:rsid w:val="001A4EAB"/>
    <w:rsid w:val="001A4EFD"/>
    <w:rsid w:val="001A5B1D"/>
    <w:rsid w:val="001A6986"/>
    <w:rsid w:val="001B014E"/>
    <w:rsid w:val="001B039E"/>
    <w:rsid w:val="001B04DD"/>
    <w:rsid w:val="001B081A"/>
    <w:rsid w:val="001B0CCC"/>
    <w:rsid w:val="001B1779"/>
    <w:rsid w:val="001B2450"/>
    <w:rsid w:val="001B267E"/>
    <w:rsid w:val="001B26F0"/>
    <w:rsid w:val="001B35DB"/>
    <w:rsid w:val="001B377B"/>
    <w:rsid w:val="001B37BB"/>
    <w:rsid w:val="001B3ADE"/>
    <w:rsid w:val="001B4ABD"/>
    <w:rsid w:val="001B4F37"/>
    <w:rsid w:val="001B5688"/>
    <w:rsid w:val="001B56D4"/>
    <w:rsid w:val="001B5B4D"/>
    <w:rsid w:val="001B6488"/>
    <w:rsid w:val="001B6662"/>
    <w:rsid w:val="001B6FDB"/>
    <w:rsid w:val="001B770A"/>
    <w:rsid w:val="001C1DD3"/>
    <w:rsid w:val="001C2155"/>
    <w:rsid w:val="001C222E"/>
    <w:rsid w:val="001C297D"/>
    <w:rsid w:val="001C2A4C"/>
    <w:rsid w:val="001C3355"/>
    <w:rsid w:val="001C3749"/>
    <w:rsid w:val="001C394F"/>
    <w:rsid w:val="001C3C4B"/>
    <w:rsid w:val="001C4330"/>
    <w:rsid w:val="001C4408"/>
    <w:rsid w:val="001C44AC"/>
    <w:rsid w:val="001C4BA7"/>
    <w:rsid w:val="001C4ED6"/>
    <w:rsid w:val="001C6B98"/>
    <w:rsid w:val="001C79C5"/>
    <w:rsid w:val="001D037B"/>
    <w:rsid w:val="001D07BF"/>
    <w:rsid w:val="001D11E5"/>
    <w:rsid w:val="001D2566"/>
    <w:rsid w:val="001D323A"/>
    <w:rsid w:val="001D4B02"/>
    <w:rsid w:val="001D542D"/>
    <w:rsid w:val="001D55C7"/>
    <w:rsid w:val="001D5708"/>
    <w:rsid w:val="001D5E96"/>
    <w:rsid w:val="001D63FB"/>
    <w:rsid w:val="001D6CF4"/>
    <w:rsid w:val="001D7B65"/>
    <w:rsid w:val="001E078C"/>
    <w:rsid w:val="001E0F13"/>
    <w:rsid w:val="001E1096"/>
    <w:rsid w:val="001E1D5C"/>
    <w:rsid w:val="001E356B"/>
    <w:rsid w:val="001E6C5D"/>
    <w:rsid w:val="001E73A6"/>
    <w:rsid w:val="001F0629"/>
    <w:rsid w:val="001F10AA"/>
    <w:rsid w:val="001F1D83"/>
    <w:rsid w:val="001F2678"/>
    <w:rsid w:val="001F278E"/>
    <w:rsid w:val="001F29D2"/>
    <w:rsid w:val="001F43AF"/>
    <w:rsid w:val="001F43C3"/>
    <w:rsid w:val="001F464C"/>
    <w:rsid w:val="001F47A0"/>
    <w:rsid w:val="001F4947"/>
    <w:rsid w:val="001F514C"/>
    <w:rsid w:val="001F540B"/>
    <w:rsid w:val="001F65BA"/>
    <w:rsid w:val="001F68E3"/>
    <w:rsid w:val="001F710A"/>
    <w:rsid w:val="001F7291"/>
    <w:rsid w:val="0020018B"/>
    <w:rsid w:val="0020057D"/>
    <w:rsid w:val="002009ED"/>
    <w:rsid w:val="00200C15"/>
    <w:rsid w:val="00200D38"/>
    <w:rsid w:val="00202113"/>
    <w:rsid w:val="002023F8"/>
    <w:rsid w:val="00202990"/>
    <w:rsid w:val="00202FD4"/>
    <w:rsid w:val="00203D79"/>
    <w:rsid w:val="002040C7"/>
    <w:rsid w:val="002046A2"/>
    <w:rsid w:val="002051EA"/>
    <w:rsid w:val="00205D43"/>
    <w:rsid w:val="00206334"/>
    <w:rsid w:val="00206C76"/>
    <w:rsid w:val="0020777C"/>
    <w:rsid w:val="00211011"/>
    <w:rsid w:val="002121AD"/>
    <w:rsid w:val="00212656"/>
    <w:rsid w:val="00212D6A"/>
    <w:rsid w:val="00216B98"/>
    <w:rsid w:val="00217342"/>
    <w:rsid w:val="002200E4"/>
    <w:rsid w:val="0022058D"/>
    <w:rsid w:val="0022217C"/>
    <w:rsid w:val="00222188"/>
    <w:rsid w:val="0022225C"/>
    <w:rsid w:val="0022245A"/>
    <w:rsid w:val="00222DE9"/>
    <w:rsid w:val="00222FEF"/>
    <w:rsid w:val="00223069"/>
    <w:rsid w:val="002234C2"/>
    <w:rsid w:val="00224A9B"/>
    <w:rsid w:val="0022546B"/>
    <w:rsid w:val="0022559A"/>
    <w:rsid w:val="002259D1"/>
    <w:rsid w:val="002261E2"/>
    <w:rsid w:val="0022732F"/>
    <w:rsid w:val="00227B1C"/>
    <w:rsid w:val="00227CAA"/>
    <w:rsid w:val="002311ED"/>
    <w:rsid w:val="002316E9"/>
    <w:rsid w:val="00231F87"/>
    <w:rsid w:val="00232888"/>
    <w:rsid w:val="002337A5"/>
    <w:rsid w:val="002339F1"/>
    <w:rsid w:val="00234296"/>
    <w:rsid w:val="0023580E"/>
    <w:rsid w:val="00235F26"/>
    <w:rsid w:val="0023642B"/>
    <w:rsid w:val="002366B8"/>
    <w:rsid w:val="0023766D"/>
    <w:rsid w:val="002415B0"/>
    <w:rsid w:val="002425F9"/>
    <w:rsid w:val="002426C5"/>
    <w:rsid w:val="0024280C"/>
    <w:rsid w:val="00246CD6"/>
    <w:rsid w:val="00247AA4"/>
    <w:rsid w:val="00247B16"/>
    <w:rsid w:val="0025077C"/>
    <w:rsid w:val="00251090"/>
    <w:rsid w:val="00251099"/>
    <w:rsid w:val="00251303"/>
    <w:rsid w:val="00251379"/>
    <w:rsid w:val="00252088"/>
    <w:rsid w:val="002521A4"/>
    <w:rsid w:val="00252D57"/>
    <w:rsid w:val="00252E08"/>
    <w:rsid w:val="0025303F"/>
    <w:rsid w:val="002535FE"/>
    <w:rsid w:val="00253CA2"/>
    <w:rsid w:val="0025416D"/>
    <w:rsid w:val="002561A2"/>
    <w:rsid w:val="00256722"/>
    <w:rsid w:val="00256A70"/>
    <w:rsid w:val="00260710"/>
    <w:rsid w:val="00260828"/>
    <w:rsid w:val="00261179"/>
    <w:rsid w:val="002611E0"/>
    <w:rsid w:val="002629C5"/>
    <w:rsid w:val="00262B26"/>
    <w:rsid w:val="00262FC7"/>
    <w:rsid w:val="0026339A"/>
    <w:rsid w:val="00263CC9"/>
    <w:rsid w:val="00263FDE"/>
    <w:rsid w:val="0026438E"/>
    <w:rsid w:val="00264449"/>
    <w:rsid w:val="0026460B"/>
    <w:rsid w:val="0026539E"/>
    <w:rsid w:val="00265A74"/>
    <w:rsid w:val="00265DB8"/>
    <w:rsid w:val="0026619E"/>
    <w:rsid w:val="00266EE9"/>
    <w:rsid w:val="00270304"/>
    <w:rsid w:val="00270478"/>
    <w:rsid w:val="002708FE"/>
    <w:rsid w:val="00270BC2"/>
    <w:rsid w:val="00270C59"/>
    <w:rsid w:val="00271312"/>
    <w:rsid w:val="0027147D"/>
    <w:rsid w:val="00272140"/>
    <w:rsid w:val="00272BA7"/>
    <w:rsid w:val="00273260"/>
    <w:rsid w:val="0027428B"/>
    <w:rsid w:val="002742B6"/>
    <w:rsid w:val="002745BC"/>
    <w:rsid w:val="00274C0C"/>
    <w:rsid w:val="00275307"/>
    <w:rsid w:val="00275556"/>
    <w:rsid w:val="00275B7B"/>
    <w:rsid w:val="00275DEF"/>
    <w:rsid w:val="00277FFE"/>
    <w:rsid w:val="00282AE4"/>
    <w:rsid w:val="002834D1"/>
    <w:rsid w:val="00283B75"/>
    <w:rsid w:val="00283C08"/>
    <w:rsid w:val="00283DE5"/>
    <w:rsid w:val="00284654"/>
    <w:rsid w:val="002847DB"/>
    <w:rsid w:val="00284B23"/>
    <w:rsid w:val="002857E2"/>
    <w:rsid w:val="00286E43"/>
    <w:rsid w:val="00287031"/>
    <w:rsid w:val="0028755E"/>
    <w:rsid w:val="0028778D"/>
    <w:rsid w:val="00287A6F"/>
    <w:rsid w:val="00287C12"/>
    <w:rsid w:val="00287D7E"/>
    <w:rsid w:val="0029040E"/>
    <w:rsid w:val="0029068F"/>
    <w:rsid w:val="002909A8"/>
    <w:rsid w:val="00290D8C"/>
    <w:rsid w:val="002914B1"/>
    <w:rsid w:val="00292397"/>
    <w:rsid w:val="002927D8"/>
    <w:rsid w:val="00293D1C"/>
    <w:rsid w:val="002974B9"/>
    <w:rsid w:val="002974CA"/>
    <w:rsid w:val="00297633"/>
    <w:rsid w:val="002A096B"/>
    <w:rsid w:val="002A1DD9"/>
    <w:rsid w:val="002A2518"/>
    <w:rsid w:val="002A3304"/>
    <w:rsid w:val="002A3549"/>
    <w:rsid w:val="002A36CE"/>
    <w:rsid w:val="002A466A"/>
    <w:rsid w:val="002A4889"/>
    <w:rsid w:val="002A4B77"/>
    <w:rsid w:val="002A4CBA"/>
    <w:rsid w:val="002A6608"/>
    <w:rsid w:val="002A78CD"/>
    <w:rsid w:val="002A7A59"/>
    <w:rsid w:val="002A7D30"/>
    <w:rsid w:val="002B0933"/>
    <w:rsid w:val="002B1674"/>
    <w:rsid w:val="002B17F3"/>
    <w:rsid w:val="002B199B"/>
    <w:rsid w:val="002B1BF2"/>
    <w:rsid w:val="002B5222"/>
    <w:rsid w:val="002B5AA4"/>
    <w:rsid w:val="002B63C1"/>
    <w:rsid w:val="002B6F78"/>
    <w:rsid w:val="002B6F82"/>
    <w:rsid w:val="002B7EA7"/>
    <w:rsid w:val="002C0502"/>
    <w:rsid w:val="002C0575"/>
    <w:rsid w:val="002C12AD"/>
    <w:rsid w:val="002C2B35"/>
    <w:rsid w:val="002C2D14"/>
    <w:rsid w:val="002C3105"/>
    <w:rsid w:val="002C37B1"/>
    <w:rsid w:val="002C3D0B"/>
    <w:rsid w:val="002C42E4"/>
    <w:rsid w:val="002C53DC"/>
    <w:rsid w:val="002C563F"/>
    <w:rsid w:val="002C6D07"/>
    <w:rsid w:val="002D05ED"/>
    <w:rsid w:val="002D09A9"/>
    <w:rsid w:val="002D1806"/>
    <w:rsid w:val="002D1BC8"/>
    <w:rsid w:val="002D1EBE"/>
    <w:rsid w:val="002D2323"/>
    <w:rsid w:val="002D2E97"/>
    <w:rsid w:val="002D3068"/>
    <w:rsid w:val="002D3978"/>
    <w:rsid w:val="002D4067"/>
    <w:rsid w:val="002D4114"/>
    <w:rsid w:val="002D4610"/>
    <w:rsid w:val="002D686C"/>
    <w:rsid w:val="002D6C5C"/>
    <w:rsid w:val="002D77AA"/>
    <w:rsid w:val="002E0931"/>
    <w:rsid w:val="002E0A92"/>
    <w:rsid w:val="002E1370"/>
    <w:rsid w:val="002E18E2"/>
    <w:rsid w:val="002E1940"/>
    <w:rsid w:val="002E1F59"/>
    <w:rsid w:val="002E2115"/>
    <w:rsid w:val="002E3935"/>
    <w:rsid w:val="002E3B50"/>
    <w:rsid w:val="002E41FB"/>
    <w:rsid w:val="002E43A1"/>
    <w:rsid w:val="002E487B"/>
    <w:rsid w:val="002E53AE"/>
    <w:rsid w:val="002E5924"/>
    <w:rsid w:val="002E6253"/>
    <w:rsid w:val="002E692F"/>
    <w:rsid w:val="002E7992"/>
    <w:rsid w:val="002F015D"/>
    <w:rsid w:val="002F0380"/>
    <w:rsid w:val="002F0FF0"/>
    <w:rsid w:val="002F1BF7"/>
    <w:rsid w:val="002F206C"/>
    <w:rsid w:val="002F2B47"/>
    <w:rsid w:val="002F376F"/>
    <w:rsid w:val="002F3BF1"/>
    <w:rsid w:val="002F3D1B"/>
    <w:rsid w:val="002F415B"/>
    <w:rsid w:val="002F4A80"/>
    <w:rsid w:val="002F57DC"/>
    <w:rsid w:val="002F7210"/>
    <w:rsid w:val="002F7243"/>
    <w:rsid w:val="002F74D8"/>
    <w:rsid w:val="002F7A3C"/>
    <w:rsid w:val="003009E1"/>
    <w:rsid w:val="00300FED"/>
    <w:rsid w:val="00303417"/>
    <w:rsid w:val="00303A2A"/>
    <w:rsid w:val="00303D3D"/>
    <w:rsid w:val="00303F21"/>
    <w:rsid w:val="0030441E"/>
    <w:rsid w:val="003052A8"/>
    <w:rsid w:val="00305351"/>
    <w:rsid w:val="00305B74"/>
    <w:rsid w:val="0030692B"/>
    <w:rsid w:val="00306F8F"/>
    <w:rsid w:val="0030750B"/>
    <w:rsid w:val="0030792D"/>
    <w:rsid w:val="00310678"/>
    <w:rsid w:val="00310A79"/>
    <w:rsid w:val="00310D71"/>
    <w:rsid w:val="003124E6"/>
    <w:rsid w:val="00312D2C"/>
    <w:rsid w:val="003132D9"/>
    <w:rsid w:val="003136E4"/>
    <w:rsid w:val="0031386A"/>
    <w:rsid w:val="00313E9B"/>
    <w:rsid w:val="00314026"/>
    <w:rsid w:val="003147FF"/>
    <w:rsid w:val="00315393"/>
    <w:rsid w:val="00315F34"/>
    <w:rsid w:val="003168EE"/>
    <w:rsid w:val="003173A0"/>
    <w:rsid w:val="00317C27"/>
    <w:rsid w:val="00317D67"/>
    <w:rsid w:val="00317F6D"/>
    <w:rsid w:val="0032014E"/>
    <w:rsid w:val="003201B2"/>
    <w:rsid w:val="003209DF"/>
    <w:rsid w:val="0032108E"/>
    <w:rsid w:val="003212FC"/>
    <w:rsid w:val="003222E7"/>
    <w:rsid w:val="00322DD1"/>
    <w:rsid w:val="00324E71"/>
    <w:rsid w:val="00324FFA"/>
    <w:rsid w:val="00325111"/>
    <w:rsid w:val="003270AB"/>
    <w:rsid w:val="00327C39"/>
    <w:rsid w:val="00330366"/>
    <w:rsid w:val="00330746"/>
    <w:rsid w:val="00330FE1"/>
    <w:rsid w:val="003317FB"/>
    <w:rsid w:val="003323DA"/>
    <w:rsid w:val="0033254E"/>
    <w:rsid w:val="00333303"/>
    <w:rsid w:val="00335833"/>
    <w:rsid w:val="00336752"/>
    <w:rsid w:val="00337ECA"/>
    <w:rsid w:val="0034012F"/>
    <w:rsid w:val="00340708"/>
    <w:rsid w:val="0034193A"/>
    <w:rsid w:val="00341D4D"/>
    <w:rsid w:val="003438FD"/>
    <w:rsid w:val="00343B88"/>
    <w:rsid w:val="00344550"/>
    <w:rsid w:val="00344A4B"/>
    <w:rsid w:val="00344B66"/>
    <w:rsid w:val="003452D9"/>
    <w:rsid w:val="00345728"/>
    <w:rsid w:val="00345A51"/>
    <w:rsid w:val="00346B01"/>
    <w:rsid w:val="00347473"/>
    <w:rsid w:val="003479CA"/>
    <w:rsid w:val="00347C12"/>
    <w:rsid w:val="00350FF2"/>
    <w:rsid w:val="00352144"/>
    <w:rsid w:val="00354503"/>
    <w:rsid w:val="00354A08"/>
    <w:rsid w:val="003552E9"/>
    <w:rsid w:val="0035552B"/>
    <w:rsid w:val="00356172"/>
    <w:rsid w:val="00356793"/>
    <w:rsid w:val="003570EA"/>
    <w:rsid w:val="00360731"/>
    <w:rsid w:val="003610DB"/>
    <w:rsid w:val="0036128B"/>
    <w:rsid w:val="00361632"/>
    <w:rsid w:val="003617CD"/>
    <w:rsid w:val="00362AF0"/>
    <w:rsid w:val="00363539"/>
    <w:rsid w:val="003637F0"/>
    <w:rsid w:val="0036523C"/>
    <w:rsid w:val="00365D25"/>
    <w:rsid w:val="00366019"/>
    <w:rsid w:val="003668CD"/>
    <w:rsid w:val="00366D3B"/>
    <w:rsid w:val="00367716"/>
    <w:rsid w:val="00370B4F"/>
    <w:rsid w:val="00370BE5"/>
    <w:rsid w:val="003714E2"/>
    <w:rsid w:val="0037156A"/>
    <w:rsid w:val="003715D0"/>
    <w:rsid w:val="00372707"/>
    <w:rsid w:val="00372C2A"/>
    <w:rsid w:val="00372CE5"/>
    <w:rsid w:val="003733EA"/>
    <w:rsid w:val="00373C2A"/>
    <w:rsid w:val="00374B9A"/>
    <w:rsid w:val="0037617C"/>
    <w:rsid w:val="00376B50"/>
    <w:rsid w:val="00376DFB"/>
    <w:rsid w:val="0037720C"/>
    <w:rsid w:val="00377CDD"/>
    <w:rsid w:val="00380847"/>
    <w:rsid w:val="003808A5"/>
    <w:rsid w:val="00380FDF"/>
    <w:rsid w:val="00381074"/>
    <w:rsid w:val="00381822"/>
    <w:rsid w:val="00381C96"/>
    <w:rsid w:val="00382DC7"/>
    <w:rsid w:val="00384A52"/>
    <w:rsid w:val="00384DBF"/>
    <w:rsid w:val="003861E1"/>
    <w:rsid w:val="00386632"/>
    <w:rsid w:val="00390FE6"/>
    <w:rsid w:val="00391258"/>
    <w:rsid w:val="00391441"/>
    <w:rsid w:val="003916FE"/>
    <w:rsid w:val="0039415D"/>
    <w:rsid w:val="00394770"/>
    <w:rsid w:val="00395233"/>
    <w:rsid w:val="003954EE"/>
    <w:rsid w:val="0039577A"/>
    <w:rsid w:val="00395DCF"/>
    <w:rsid w:val="0039633A"/>
    <w:rsid w:val="0039650C"/>
    <w:rsid w:val="003965F5"/>
    <w:rsid w:val="003967A2"/>
    <w:rsid w:val="00397976"/>
    <w:rsid w:val="00397B13"/>
    <w:rsid w:val="00397B99"/>
    <w:rsid w:val="00397DA4"/>
    <w:rsid w:val="00397FC0"/>
    <w:rsid w:val="003A08E1"/>
    <w:rsid w:val="003A0D03"/>
    <w:rsid w:val="003A0DC9"/>
    <w:rsid w:val="003A1949"/>
    <w:rsid w:val="003A1C3E"/>
    <w:rsid w:val="003A2DC0"/>
    <w:rsid w:val="003A3211"/>
    <w:rsid w:val="003A4C14"/>
    <w:rsid w:val="003A4D0A"/>
    <w:rsid w:val="003A55E0"/>
    <w:rsid w:val="003A63BD"/>
    <w:rsid w:val="003A6E25"/>
    <w:rsid w:val="003A7142"/>
    <w:rsid w:val="003B023A"/>
    <w:rsid w:val="003B0F7E"/>
    <w:rsid w:val="003B1326"/>
    <w:rsid w:val="003B1997"/>
    <w:rsid w:val="003B1B6D"/>
    <w:rsid w:val="003B1ECC"/>
    <w:rsid w:val="003B4453"/>
    <w:rsid w:val="003B4A64"/>
    <w:rsid w:val="003B522D"/>
    <w:rsid w:val="003B61FE"/>
    <w:rsid w:val="003B7356"/>
    <w:rsid w:val="003B7FD6"/>
    <w:rsid w:val="003C151E"/>
    <w:rsid w:val="003C2458"/>
    <w:rsid w:val="003C272A"/>
    <w:rsid w:val="003C2769"/>
    <w:rsid w:val="003C2C86"/>
    <w:rsid w:val="003C2E91"/>
    <w:rsid w:val="003C32AC"/>
    <w:rsid w:val="003C4343"/>
    <w:rsid w:val="003C4521"/>
    <w:rsid w:val="003C4A2B"/>
    <w:rsid w:val="003C5156"/>
    <w:rsid w:val="003C58B4"/>
    <w:rsid w:val="003C6611"/>
    <w:rsid w:val="003C6D73"/>
    <w:rsid w:val="003C6D8E"/>
    <w:rsid w:val="003C77A0"/>
    <w:rsid w:val="003C7C64"/>
    <w:rsid w:val="003D037D"/>
    <w:rsid w:val="003D12E6"/>
    <w:rsid w:val="003D19B7"/>
    <w:rsid w:val="003D21BF"/>
    <w:rsid w:val="003D2245"/>
    <w:rsid w:val="003D2CE9"/>
    <w:rsid w:val="003D39D7"/>
    <w:rsid w:val="003D3D2E"/>
    <w:rsid w:val="003D4579"/>
    <w:rsid w:val="003D4AE2"/>
    <w:rsid w:val="003D56F6"/>
    <w:rsid w:val="003D6F1D"/>
    <w:rsid w:val="003E061B"/>
    <w:rsid w:val="003E1C04"/>
    <w:rsid w:val="003E1C3E"/>
    <w:rsid w:val="003E204F"/>
    <w:rsid w:val="003E221C"/>
    <w:rsid w:val="003E2610"/>
    <w:rsid w:val="003E3447"/>
    <w:rsid w:val="003E3B7C"/>
    <w:rsid w:val="003E3C65"/>
    <w:rsid w:val="003E5729"/>
    <w:rsid w:val="003E5981"/>
    <w:rsid w:val="003E6DA3"/>
    <w:rsid w:val="003E6FA4"/>
    <w:rsid w:val="003E739E"/>
    <w:rsid w:val="003E7BF4"/>
    <w:rsid w:val="003E7BF9"/>
    <w:rsid w:val="003F0215"/>
    <w:rsid w:val="003F1B8F"/>
    <w:rsid w:val="003F2399"/>
    <w:rsid w:val="003F357E"/>
    <w:rsid w:val="003F398D"/>
    <w:rsid w:val="003F484A"/>
    <w:rsid w:val="003F553D"/>
    <w:rsid w:val="003F56CF"/>
    <w:rsid w:val="003F59A0"/>
    <w:rsid w:val="003F5BD0"/>
    <w:rsid w:val="003F6714"/>
    <w:rsid w:val="003F6B0C"/>
    <w:rsid w:val="003F74EE"/>
    <w:rsid w:val="003F7C0C"/>
    <w:rsid w:val="00401724"/>
    <w:rsid w:val="00401EA5"/>
    <w:rsid w:val="00402D88"/>
    <w:rsid w:val="0040563C"/>
    <w:rsid w:val="0040592B"/>
    <w:rsid w:val="00405FCE"/>
    <w:rsid w:val="00407A23"/>
    <w:rsid w:val="00410269"/>
    <w:rsid w:val="0041122A"/>
    <w:rsid w:val="0041196A"/>
    <w:rsid w:val="00415DE4"/>
    <w:rsid w:val="0041646D"/>
    <w:rsid w:val="00416F04"/>
    <w:rsid w:val="004179D8"/>
    <w:rsid w:val="00420F05"/>
    <w:rsid w:val="0042338B"/>
    <w:rsid w:val="00424AF3"/>
    <w:rsid w:val="0042571A"/>
    <w:rsid w:val="004270E0"/>
    <w:rsid w:val="004271A2"/>
    <w:rsid w:val="004277C8"/>
    <w:rsid w:val="00427CD8"/>
    <w:rsid w:val="00432989"/>
    <w:rsid w:val="00432BD1"/>
    <w:rsid w:val="0043344A"/>
    <w:rsid w:val="004335ED"/>
    <w:rsid w:val="00433C47"/>
    <w:rsid w:val="004347F6"/>
    <w:rsid w:val="004353A4"/>
    <w:rsid w:val="00435DE6"/>
    <w:rsid w:val="00436679"/>
    <w:rsid w:val="00437218"/>
    <w:rsid w:val="004374AF"/>
    <w:rsid w:val="00437A8B"/>
    <w:rsid w:val="00437E94"/>
    <w:rsid w:val="00440459"/>
    <w:rsid w:val="00440D63"/>
    <w:rsid w:val="00441322"/>
    <w:rsid w:val="004417B6"/>
    <w:rsid w:val="004428E7"/>
    <w:rsid w:val="00442D4D"/>
    <w:rsid w:val="00444F4E"/>
    <w:rsid w:val="00445A11"/>
    <w:rsid w:val="004461BF"/>
    <w:rsid w:val="0044635C"/>
    <w:rsid w:val="0044745B"/>
    <w:rsid w:val="00447D3F"/>
    <w:rsid w:val="00450C09"/>
    <w:rsid w:val="00450FF0"/>
    <w:rsid w:val="0045164F"/>
    <w:rsid w:val="004523C9"/>
    <w:rsid w:val="00452579"/>
    <w:rsid w:val="00452879"/>
    <w:rsid w:val="004531BF"/>
    <w:rsid w:val="00454960"/>
    <w:rsid w:val="00455313"/>
    <w:rsid w:val="0045592B"/>
    <w:rsid w:val="004561B7"/>
    <w:rsid w:val="00457115"/>
    <w:rsid w:val="00457271"/>
    <w:rsid w:val="0045743C"/>
    <w:rsid w:val="00457E11"/>
    <w:rsid w:val="00457F34"/>
    <w:rsid w:val="004604C9"/>
    <w:rsid w:val="00460627"/>
    <w:rsid w:val="00460FFC"/>
    <w:rsid w:val="0046129B"/>
    <w:rsid w:val="004613F9"/>
    <w:rsid w:val="00461FB5"/>
    <w:rsid w:val="00462FCA"/>
    <w:rsid w:val="0046351B"/>
    <w:rsid w:val="00463A15"/>
    <w:rsid w:val="00463D93"/>
    <w:rsid w:val="00464AD0"/>
    <w:rsid w:val="00465890"/>
    <w:rsid w:val="004667AE"/>
    <w:rsid w:val="00466DC3"/>
    <w:rsid w:val="0046708D"/>
    <w:rsid w:val="004672C3"/>
    <w:rsid w:val="004676EF"/>
    <w:rsid w:val="004678FF"/>
    <w:rsid w:val="00470DDA"/>
    <w:rsid w:val="00470EB2"/>
    <w:rsid w:val="004714EE"/>
    <w:rsid w:val="004720A0"/>
    <w:rsid w:val="004724B8"/>
    <w:rsid w:val="0047370C"/>
    <w:rsid w:val="00474BEE"/>
    <w:rsid w:val="00474C1A"/>
    <w:rsid w:val="004751C6"/>
    <w:rsid w:val="00476706"/>
    <w:rsid w:val="004779E1"/>
    <w:rsid w:val="00481107"/>
    <w:rsid w:val="00483D02"/>
    <w:rsid w:val="00485758"/>
    <w:rsid w:val="00485B8A"/>
    <w:rsid w:val="0048716C"/>
    <w:rsid w:val="00487C32"/>
    <w:rsid w:val="004900F0"/>
    <w:rsid w:val="004903AF"/>
    <w:rsid w:val="004903BC"/>
    <w:rsid w:val="00491C3F"/>
    <w:rsid w:val="00493183"/>
    <w:rsid w:val="004935EA"/>
    <w:rsid w:val="00493EC0"/>
    <w:rsid w:val="0049412C"/>
    <w:rsid w:val="00494BC0"/>
    <w:rsid w:val="0049688C"/>
    <w:rsid w:val="00497115"/>
    <w:rsid w:val="00497363"/>
    <w:rsid w:val="00497404"/>
    <w:rsid w:val="00497E7C"/>
    <w:rsid w:val="004A0DB3"/>
    <w:rsid w:val="004A194B"/>
    <w:rsid w:val="004A2008"/>
    <w:rsid w:val="004A2C9C"/>
    <w:rsid w:val="004A48FA"/>
    <w:rsid w:val="004A4BE3"/>
    <w:rsid w:val="004A52DC"/>
    <w:rsid w:val="004A5940"/>
    <w:rsid w:val="004A612E"/>
    <w:rsid w:val="004A6931"/>
    <w:rsid w:val="004A6A01"/>
    <w:rsid w:val="004A6C3F"/>
    <w:rsid w:val="004A6E1B"/>
    <w:rsid w:val="004A6E37"/>
    <w:rsid w:val="004A70B8"/>
    <w:rsid w:val="004B0015"/>
    <w:rsid w:val="004B006F"/>
    <w:rsid w:val="004B1543"/>
    <w:rsid w:val="004B21B9"/>
    <w:rsid w:val="004B26BC"/>
    <w:rsid w:val="004B37F3"/>
    <w:rsid w:val="004B3914"/>
    <w:rsid w:val="004B3CC0"/>
    <w:rsid w:val="004B4F84"/>
    <w:rsid w:val="004B5A6D"/>
    <w:rsid w:val="004B6057"/>
    <w:rsid w:val="004B69F6"/>
    <w:rsid w:val="004B71C7"/>
    <w:rsid w:val="004B7748"/>
    <w:rsid w:val="004C00F8"/>
    <w:rsid w:val="004C168A"/>
    <w:rsid w:val="004C20D5"/>
    <w:rsid w:val="004C5142"/>
    <w:rsid w:val="004C5B1E"/>
    <w:rsid w:val="004C5D0F"/>
    <w:rsid w:val="004C61EC"/>
    <w:rsid w:val="004D0017"/>
    <w:rsid w:val="004D07C9"/>
    <w:rsid w:val="004D0F3E"/>
    <w:rsid w:val="004D1110"/>
    <w:rsid w:val="004D1AB2"/>
    <w:rsid w:val="004D2A38"/>
    <w:rsid w:val="004D35E4"/>
    <w:rsid w:val="004D4673"/>
    <w:rsid w:val="004D48BC"/>
    <w:rsid w:val="004D4E63"/>
    <w:rsid w:val="004D4EC7"/>
    <w:rsid w:val="004D582E"/>
    <w:rsid w:val="004D647A"/>
    <w:rsid w:val="004D6544"/>
    <w:rsid w:val="004D65C9"/>
    <w:rsid w:val="004D71F9"/>
    <w:rsid w:val="004D775D"/>
    <w:rsid w:val="004E0085"/>
    <w:rsid w:val="004E0939"/>
    <w:rsid w:val="004E3B82"/>
    <w:rsid w:val="004F01F2"/>
    <w:rsid w:val="004F0289"/>
    <w:rsid w:val="004F0351"/>
    <w:rsid w:val="004F11C0"/>
    <w:rsid w:val="004F1FD4"/>
    <w:rsid w:val="004F3475"/>
    <w:rsid w:val="004F4420"/>
    <w:rsid w:val="004F5E04"/>
    <w:rsid w:val="004F5E42"/>
    <w:rsid w:val="004F701F"/>
    <w:rsid w:val="004F7862"/>
    <w:rsid w:val="0050115B"/>
    <w:rsid w:val="00501504"/>
    <w:rsid w:val="00503BD9"/>
    <w:rsid w:val="00504415"/>
    <w:rsid w:val="00506F15"/>
    <w:rsid w:val="00506FA8"/>
    <w:rsid w:val="00507A7E"/>
    <w:rsid w:val="00507AAD"/>
    <w:rsid w:val="00510E5B"/>
    <w:rsid w:val="0051113B"/>
    <w:rsid w:val="00511CA0"/>
    <w:rsid w:val="005122C8"/>
    <w:rsid w:val="0051336F"/>
    <w:rsid w:val="0051421C"/>
    <w:rsid w:val="00514E6D"/>
    <w:rsid w:val="00516460"/>
    <w:rsid w:val="00521A69"/>
    <w:rsid w:val="00521D3A"/>
    <w:rsid w:val="00521DFD"/>
    <w:rsid w:val="00522F25"/>
    <w:rsid w:val="005233B4"/>
    <w:rsid w:val="0052369D"/>
    <w:rsid w:val="00524133"/>
    <w:rsid w:val="00524680"/>
    <w:rsid w:val="0052490C"/>
    <w:rsid w:val="00524A92"/>
    <w:rsid w:val="005271CF"/>
    <w:rsid w:val="00527A99"/>
    <w:rsid w:val="005300C5"/>
    <w:rsid w:val="00530EE6"/>
    <w:rsid w:val="00533A72"/>
    <w:rsid w:val="005345FC"/>
    <w:rsid w:val="0053499E"/>
    <w:rsid w:val="005354D7"/>
    <w:rsid w:val="0054044C"/>
    <w:rsid w:val="0054341F"/>
    <w:rsid w:val="00543F81"/>
    <w:rsid w:val="00544036"/>
    <w:rsid w:val="00544583"/>
    <w:rsid w:val="005452B2"/>
    <w:rsid w:val="0054561A"/>
    <w:rsid w:val="00547CBF"/>
    <w:rsid w:val="00550906"/>
    <w:rsid w:val="00550F21"/>
    <w:rsid w:val="00551579"/>
    <w:rsid w:val="0055175C"/>
    <w:rsid w:val="0055179B"/>
    <w:rsid w:val="00552110"/>
    <w:rsid w:val="0055218B"/>
    <w:rsid w:val="0055347E"/>
    <w:rsid w:val="00554B9C"/>
    <w:rsid w:val="0055516C"/>
    <w:rsid w:val="00555D54"/>
    <w:rsid w:val="005565D9"/>
    <w:rsid w:val="00556766"/>
    <w:rsid w:val="005570E2"/>
    <w:rsid w:val="0055727A"/>
    <w:rsid w:val="00557DD9"/>
    <w:rsid w:val="005601D3"/>
    <w:rsid w:val="00561315"/>
    <w:rsid w:val="00562395"/>
    <w:rsid w:val="005637F0"/>
    <w:rsid w:val="00564C22"/>
    <w:rsid w:val="005652EE"/>
    <w:rsid w:val="00565565"/>
    <w:rsid w:val="005658AF"/>
    <w:rsid w:val="00565E6D"/>
    <w:rsid w:val="005660B3"/>
    <w:rsid w:val="00566B5E"/>
    <w:rsid w:val="00566F30"/>
    <w:rsid w:val="0057084E"/>
    <w:rsid w:val="00570E62"/>
    <w:rsid w:val="00571281"/>
    <w:rsid w:val="00571454"/>
    <w:rsid w:val="0057156E"/>
    <w:rsid w:val="00571B7F"/>
    <w:rsid w:val="00573D66"/>
    <w:rsid w:val="0057627E"/>
    <w:rsid w:val="0057634F"/>
    <w:rsid w:val="0057768D"/>
    <w:rsid w:val="005777B9"/>
    <w:rsid w:val="00577CF0"/>
    <w:rsid w:val="0058019E"/>
    <w:rsid w:val="005803F6"/>
    <w:rsid w:val="00580D43"/>
    <w:rsid w:val="0058119C"/>
    <w:rsid w:val="00581715"/>
    <w:rsid w:val="00581CA1"/>
    <w:rsid w:val="00581F78"/>
    <w:rsid w:val="0058241C"/>
    <w:rsid w:val="00582A3F"/>
    <w:rsid w:val="005831B2"/>
    <w:rsid w:val="00583CFA"/>
    <w:rsid w:val="005849AF"/>
    <w:rsid w:val="00584A0A"/>
    <w:rsid w:val="00585AA9"/>
    <w:rsid w:val="005874CB"/>
    <w:rsid w:val="00587CFD"/>
    <w:rsid w:val="0059036A"/>
    <w:rsid w:val="0059138F"/>
    <w:rsid w:val="00591499"/>
    <w:rsid w:val="00591B3E"/>
    <w:rsid w:val="00592638"/>
    <w:rsid w:val="0059312B"/>
    <w:rsid w:val="00593C62"/>
    <w:rsid w:val="00593E49"/>
    <w:rsid w:val="00595F48"/>
    <w:rsid w:val="00596789"/>
    <w:rsid w:val="00597658"/>
    <w:rsid w:val="005A07E9"/>
    <w:rsid w:val="005A0B84"/>
    <w:rsid w:val="005A0E67"/>
    <w:rsid w:val="005A0F70"/>
    <w:rsid w:val="005A4B4D"/>
    <w:rsid w:val="005A4CB8"/>
    <w:rsid w:val="005A52B9"/>
    <w:rsid w:val="005B055E"/>
    <w:rsid w:val="005B1D42"/>
    <w:rsid w:val="005B1FEA"/>
    <w:rsid w:val="005B2194"/>
    <w:rsid w:val="005B399D"/>
    <w:rsid w:val="005B4E45"/>
    <w:rsid w:val="005B5769"/>
    <w:rsid w:val="005B5C60"/>
    <w:rsid w:val="005B60B9"/>
    <w:rsid w:val="005B65D2"/>
    <w:rsid w:val="005B677E"/>
    <w:rsid w:val="005B6F8C"/>
    <w:rsid w:val="005B7291"/>
    <w:rsid w:val="005B7394"/>
    <w:rsid w:val="005B79FF"/>
    <w:rsid w:val="005B7E6A"/>
    <w:rsid w:val="005C04A2"/>
    <w:rsid w:val="005C12BA"/>
    <w:rsid w:val="005C211B"/>
    <w:rsid w:val="005C294F"/>
    <w:rsid w:val="005C4F28"/>
    <w:rsid w:val="005C61EE"/>
    <w:rsid w:val="005C6245"/>
    <w:rsid w:val="005C62A7"/>
    <w:rsid w:val="005C670D"/>
    <w:rsid w:val="005C7ADF"/>
    <w:rsid w:val="005C7C81"/>
    <w:rsid w:val="005D156D"/>
    <w:rsid w:val="005D215C"/>
    <w:rsid w:val="005D2B50"/>
    <w:rsid w:val="005D2EB5"/>
    <w:rsid w:val="005D32B8"/>
    <w:rsid w:val="005D4E81"/>
    <w:rsid w:val="005D4FF4"/>
    <w:rsid w:val="005D5937"/>
    <w:rsid w:val="005D71A9"/>
    <w:rsid w:val="005D7593"/>
    <w:rsid w:val="005D7F7D"/>
    <w:rsid w:val="005E0CD0"/>
    <w:rsid w:val="005E127F"/>
    <w:rsid w:val="005E1B53"/>
    <w:rsid w:val="005E2AFC"/>
    <w:rsid w:val="005E327F"/>
    <w:rsid w:val="005E4DFA"/>
    <w:rsid w:val="005E4FC9"/>
    <w:rsid w:val="005E5B79"/>
    <w:rsid w:val="005E6C32"/>
    <w:rsid w:val="005E7926"/>
    <w:rsid w:val="005F222C"/>
    <w:rsid w:val="005F224A"/>
    <w:rsid w:val="005F2546"/>
    <w:rsid w:val="005F26DF"/>
    <w:rsid w:val="005F28BB"/>
    <w:rsid w:val="005F2C98"/>
    <w:rsid w:val="005F2EA3"/>
    <w:rsid w:val="005F47DA"/>
    <w:rsid w:val="005F5963"/>
    <w:rsid w:val="005F59D6"/>
    <w:rsid w:val="005F5BC6"/>
    <w:rsid w:val="005F6EF9"/>
    <w:rsid w:val="006000C5"/>
    <w:rsid w:val="00600443"/>
    <w:rsid w:val="00600BFF"/>
    <w:rsid w:val="00601029"/>
    <w:rsid w:val="006014CD"/>
    <w:rsid w:val="0060245F"/>
    <w:rsid w:val="0060287C"/>
    <w:rsid w:val="0060418B"/>
    <w:rsid w:val="0060424A"/>
    <w:rsid w:val="0060768C"/>
    <w:rsid w:val="00607C9F"/>
    <w:rsid w:val="0061047D"/>
    <w:rsid w:val="006118BC"/>
    <w:rsid w:val="00613374"/>
    <w:rsid w:val="006139E7"/>
    <w:rsid w:val="00614832"/>
    <w:rsid w:val="006155AA"/>
    <w:rsid w:val="0061579A"/>
    <w:rsid w:val="00615816"/>
    <w:rsid w:val="00615D73"/>
    <w:rsid w:val="00616014"/>
    <w:rsid w:val="00617222"/>
    <w:rsid w:val="0061748E"/>
    <w:rsid w:val="00617DF6"/>
    <w:rsid w:val="0062097C"/>
    <w:rsid w:val="00621E65"/>
    <w:rsid w:val="006223ED"/>
    <w:rsid w:val="00622433"/>
    <w:rsid w:val="0062441F"/>
    <w:rsid w:val="006248C6"/>
    <w:rsid w:val="00624C3E"/>
    <w:rsid w:val="00624EBD"/>
    <w:rsid w:val="00625659"/>
    <w:rsid w:val="00626F77"/>
    <w:rsid w:val="0062709F"/>
    <w:rsid w:val="0062726D"/>
    <w:rsid w:val="00627B9C"/>
    <w:rsid w:val="00630125"/>
    <w:rsid w:val="006303AE"/>
    <w:rsid w:val="00631293"/>
    <w:rsid w:val="0063185F"/>
    <w:rsid w:val="0063229F"/>
    <w:rsid w:val="00632E50"/>
    <w:rsid w:val="00633466"/>
    <w:rsid w:val="00635209"/>
    <w:rsid w:val="00635BE9"/>
    <w:rsid w:val="00635DCD"/>
    <w:rsid w:val="006360EA"/>
    <w:rsid w:val="0063745A"/>
    <w:rsid w:val="006379E1"/>
    <w:rsid w:val="00640CBA"/>
    <w:rsid w:val="00640F0B"/>
    <w:rsid w:val="006417E1"/>
    <w:rsid w:val="00641B4C"/>
    <w:rsid w:val="00641DAD"/>
    <w:rsid w:val="00643259"/>
    <w:rsid w:val="00643C16"/>
    <w:rsid w:val="0064424E"/>
    <w:rsid w:val="006442B3"/>
    <w:rsid w:val="00644975"/>
    <w:rsid w:val="00644E0C"/>
    <w:rsid w:val="00645489"/>
    <w:rsid w:val="00645B75"/>
    <w:rsid w:val="00645DB1"/>
    <w:rsid w:val="00646373"/>
    <w:rsid w:val="00646419"/>
    <w:rsid w:val="00646D20"/>
    <w:rsid w:val="006471F3"/>
    <w:rsid w:val="0064751B"/>
    <w:rsid w:val="00647E9B"/>
    <w:rsid w:val="0065037E"/>
    <w:rsid w:val="00651FDF"/>
    <w:rsid w:val="006521DA"/>
    <w:rsid w:val="00652619"/>
    <w:rsid w:val="00652D12"/>
    <w:rsid w:val="006533D4"/>
    <w:rsid w:val="00653C16"/>
    <w:rsid w:val="0065553B"/>
    <w:rsid w:val="00655838"/>
    <w:rsid w:val="00656C18"/>
    <w:rsid w:val="00657CBD"/>
    <w:rsid w:val="00657E3D"/>
    <w:rsid w:val="00660E0F"/>
    <w:rsid w:val="0066191B"/>
    <w:rsid w:val="00662031"/>
    <w:rsid w:val="00662416"/>
    <w:rsid w:val="006625C8"/>
    <w:rsid w:val="00663CC1"/>
    <w:rsid w:val="00663DA7"/>
    <w:rsid w:val="006659C4"/>
    <w:rsid w:val="006660F0"/>
    <w:rsid w:val="00666201"/>
    <w:rsid w:val="00666A68"/>
    <w:rsid w:val="00666AC6"/>
    <w:rsid w:val="00666E7C"/>
    <w:rsid w:val="00667470"/>
    <w:rsid w:val="00670D93"/>
    <w:rsid w:val="00671249"/>
    <w:rsid w:val="00671545"/>
    <w:rsid w:val="006726C1"/>
    <w:rsid w:val="00672E48"/>
    <w:rsid w:val="0067362E"/>
    <w:rsid w:val="006738E5"/>
    <w:rsid w:val="0067412B"/>
    <w:rsid w:val="00676399"/>
    <w:rsid w:val="006763B1"/>
    <w:rsid w:val="00676C1C"/>
    <w:rsid w:val="00676CEC"/>
    <w:rsid w:val="00676D81"/>
    <w:rsid w:val="00676E2F"/>
    <w:rsid w:val="00677D65"/>
    <w:rsid w:val="0068030E"/>
    <w:rsid w:val="006809A6"/>
    <w:rsid w:val="00681455"/>
    <w:rsid w:val="006821C8"/>
    <w:rsid w:val="00682DC6"/>
    <w:rsid w:val="00683F79"/>
    <w:rsid w:val="006841A1"/>
    <w:rsid w:val="00684DD7"/>
    <w:rsid w:val="006850B7"/>
    <w:rsid w:val="0068724D"/>
    <w:rsid w:val="00687CE6"/>
    <w:rsid w:val="00691948"/>
    <w:rsid w:val="00691985"/>
    <w:rsid w:val="00692917"/>
    <w:rsid w:val="0069352A"/>
    <w:rsid w:val="00693569"/>
    <w:rsid w:val="00693924"/>
    <w:rsid w:val="006941C5"/>
    <w:rsid w:val="006944F8"/>
    <w:rsid w:val="00695823"/>
    <w:rsid w:val="00695919"/>
    <w:rsid w:val="00696763"/>
    <w:rsid w:val="0069696A"/>
    <w:rsid w:val="00696F94"/>
    <w:rsid w:val="0069737E"/>
    <w:rsid w:val="00697A87"/>
    <w:rsid w:val="006A1043"/>
    <w:rsid w:val="006A2160"/>
    <w:rsid w:val="006A3244"/>
    <w:rsid w:val="006A32AC"/>
    <w:rsid w:val="006A4514"/>
    <w:rsid w:val="006A46CC"/>
    <w:rsid w:val="006A628B"/>
    <w:rsid w:val="006A7070"/>
    <w:rsid w:val="006B0150"/>
    <w:rsid w:val="006B17BB"/>
    <w:rsid w:val="006B1F54"/>
    <w:rsid w:val="006B216B"/>
    <w:rsid w:val="006B2195"/>
    <w:rsid w:val="006B2277"/>
    <w:rsid w:val="006B2335"/>
    <w:rsid w:val="006B32AA"/>
    <w:rsid w:val="006B3767"/>
    <w:rsid w:val="006B3883"/>
    <w:rsid w:val="006B3903"/>
    <w:rsid w:val="006B435F"/>
    <w:rsid w:val="006B4520"/>
    <w:rsid w:val="006B514F"/>
    <w:rsid w:val="006B5397"/>
    <w:rsid w:val="006B56FD"/>
    <w:rsid w:val="006B66ED"/>
    <w:rsid w:val="006B6C59"/>
    <w:rsid w:val="006B7E3A"/>
    <w:rsid w:val="006C33A0"/>
    <w:rsid w:val="006C36D1"/>
    <w:rsid w:val="006C4807"/>
    <w:rsid w:val="006C5226"/>
    <w:rsid w:val="006C5263"/>
    <w:rsid w:val="006C5DDB"/>
    <w:rsid w:val="006C606B"/>
    <w:rsid w:val="006C61B4"/>
    <w:rsid w:val="006C62EB"/>
    <w:rsid w:val="006C6876"/>
    <w:rsid w:val="006C6DC0"/>
    <w:rsid w:val="006C70DD"/>
    <w:rsid w:val="006C795C"/>
    <w:rsid w:val="006C7DA4"/>
    <w:rsid w:val="006D15C1"/>
    <w:rsid w:val="006D179B"/>
    <w:rsid w:val="006D2252"/>
    <w:rsid w:val="006D2B5B"/>
    <w:rsid w:val="006D2F2A"/>
    <w:rsid w:val="006D4496"/>
    <w:rsid w:val="006D595D"/>
    <w:rsid w:val="006D5AB1"/>
    <w:rsid w:val="006D6F50"/>
    <w:rsid w:val="006E01E5"/>
    <w:rsid w:val="006E06C3"/>
    <w:rsid w:val="006E1F20"/>
    <w:rsid w:val="006E308F"/>
    <w:rsid w:val="006E3469"/>
    <w:rsid w:val="006E3E38"/>
    <w:rsid w:val="006E4EB6"/>
    <w:rsid w:val="006E7F5B"/>
    <w:rsid w:val="006F0A04"/>
    <w:rsid w:val="006F2FD1"/>
    <w:rsid w:val="006F33D8"/>
    <w:rsid w:val="006F38B8"/>
    <w:rsid w:val="006F3C53"/>
    <w:rsid w:val="006F6C17"/>
    <w:rsid w:val="006F6DA6"/>
    <w:rsid w:val="006F6E2E"/>
    <w:rsid w:val="006F767B"/>
    <w:rsid w:val="006F79B3"/>
    <w:rsid w:val="00702668"/>
    <w:rsid w:val="00707424"/>
    <w:rsid w:val="00707871"/>
    <w:rsid w:val="0071033C"/>
    <w:rsid w:val="00710F22"/>
    <w:rsid w:val="0071212C"/>
    <w:rsid w:val="007121F4"/>
    <w:rsid w:val="0071393A"/>
    <w:rsid w:val="00713CAB"/>
    <w:rsid w:val="007142D9"/>
    <w:rsid w:val="00715536"/>
    <w:rsid w:val="00716FE3"/>
    <w:rsid w:val="00717ECB"/>
    <w:rsid w:val="007207B4"/>
    <w:rsid w:val="00720F7E"/>
    <w:rsid w:val="007211C1"/>
    <w:rsid w:val="007222C2"/>
    <w:rsid w:val="007225CA"/>
    <w:rsid w:val="00722CC2"/>
    <w:rsid w:val="00723630"/>
    <w:rsid w:val="00723E78"/>
    <w:rsid w:val="007244AB"/>
    <w:rsid w:val="0072480B"/>
    <w:rsid w:val="00724DBB"/>
    <w:rsid w:val="00724E7E"/>
    <w:rsid w:val="00724FF6"/>
    <w:rsid w:val="00725F30"/>
    <w:rsid w:val="007260B6"/>
    <w:rsid w:val="00726404"/>
    <w:rsid w:val="0072655F"/>
    <w:rsid w:val="00727C13"/>
    <w:rsid w:val="00731698"/>
    <w:rsid w:val="00731DD2"/>
    <w:rsid w:val="0073252A"/>
    <w:rsid w:val="00733F6D"/>
    <w:rsid w:val="00734D65"/>
    <w:rsid w:val="00734DA2"/>
    <w:rsid w:val="00734F35"/>
    <w:rsid w:val="00735820"/>
    <w:rsid w:val="00736B90"/>
    <w:rsid w:val="00736DA9"/>
    <w:rsid w:val="00736E1C"/>
    <w:rsid w:val="00737007"/>
    <w:rsid w:val="00737260"/>
    <w:rsid w:val="0073764B"/>
    <w:rsid w:val="00740D5A"/>
    <w:rsid w:val="00741AD1"/>
    <w:rsid w:val="00741E55"/>
    <w:rsid w:val="00742214"/>
    <w:rsid w:val="007424CA"/>
    <w:rsid w:val="00743AED"/>
    <w:rsid w:val="0074439D"/>
    <w:rsid w:val="00744DE6"/>
    <w:rsid w:val="00745853"/>
    <w:rsid w:val="007466AA"/>
    <w:rsid w:val="007468C0"/>
    <w:rsid w:val="0074713A"/>
    <w:rsid w:val="00747271"/>
    <w:rsid w:val="007472FF"/>
    <w:rsid w:val="00747C1C"/>
    <w:rsid w:val="00750A30"/>
    <w:rsid w:val="00750DE9"/>
    <w:rsid w:val="007511E2"/>
    <w:rsid w:val="0075135A"/>
    <w:rsid w:val="00751B67"/>
    <w:rsid w:val="00752420"/>
    <w:rsid w:val="00752A7C"/>
    <w:rsid w:val="007534B9"/>
    <w:rsid w:val="00753DDA"/>
    <w:rsid w:val="00753F20"/>
    <w:rsid w:val="0075404D"/>
    <w:rsid w:val="007540D8"/>
    <w:rsid w:val="00754179"/>
    <w:rsid w:val="00754A7A"/>
    <w:rsid w:val="00754CC8"/>
    <w:rsid w:val="007554A2"/>
    <w:rsid w:val="00755817"/>
    <w:rsid w:val="0075667A"/>
    <w:rsid w:val="00756C34"/>
    <w:rsid w:val="0075799A"/>
    <w:rsid w:val="007579BF"/>
    <w:rsid w:val="00760819"/>
    <w:rsid w:val="00760CA6"/>
    <w:rsid w:val="007611D9"/>
    <w:rsid w:val="0076122A"/>
    <w:rsid w:val="00762806"/>
    <w:rsid w:val="007629CC"/>
    <w:rsid w:val="00762D19"/>
    <w:rsid w:val="00763BE1"/>
    <w:rsid w:val="0076458F"/>
    <w:rsid w:val="007646F9"/>
    <w:rsid w:val="0076519A"/>
    <w:rsid w:val="00765EAF"/>
    <w:rsid w:val="00766938"/>
    <w:rsid w:val="0077036B"/>
    <w:rsid w:val="00771CEE"/>
    <w:rsid w:val="00772ADE"/>
    <w:rsid w:val="00772B83"/>
    <w:rsid w:val="00772E2A"/>
    <w:rsid w:val="00773639"/>
    <w:rsid w:val="00773A9A"/>
    <w:rsid w:val="00773B87"/>
    <w:rsid w:val="007754F3"/>
    <w:rsid w:val="00775A99"/>
    <w:rsid w:val="00775B8C"/>
    <w:rsid w:val="00776688"/>
    <w:rsid w:val="00777972"/>
    <w:rsid w:val="00777B3B"/>
    <w:rsid w:val="00777F9D"/>
    <w:rsid w:val="007803B3"/>
    <w:rsid w:val="00781B69"/>
    <w:rsid w:val="00782FCE"/>
    <w:rsid w:val="00783177"/>
    <w:rsid w:val="00784307"/>
    <w:rsid w:val="00786CBF"/>
    <w:rsid w:val="007877FA"/>
    <w:rsid w:val="007878F0"/>
    <w:rsid w:val="007904AE"/>
    <w:rsid w:val="0079075E"/>
    <w:rsid w:val="00791E43"/>
    <w:rsid w:val="00792EA1"/>
    <w:rsid w:val="007943BE"/>
    <w:rsid w:val="0079455F"/>
    <w:rsid w:val="00794A55"/>
    <w:rsid w:val="00794D8E"/>
    <w:rsid w:val="00795043"/>
    <w:rsid w:val="00795962"/>
    <w:rsid w:val="00795A1E"/>
    <w:rsid w:val="00795BCD"/>
    <w:rsid w:val="00795E59"/>
    <w:rsid w:val="0079627C"/>
    <w:rsid w:val="007962DC"/>
    <w:rsid w:val="00796783"/>
    <w:rsid w:val="00796AB4"/>
    <w:rsid w:val="00796CB2"/>
    <w:rsid w:val="007977E3"/>
    <w:rsid w:val="00797D8D"/>
    <w:rsid w:val="007A0849"/>
    <w:rsid w:val="007A22FD"/>
    <w:rsid w:val="007A286E"/>
    <w:rsid w:val="007A2A33"/>
    <w:rsid w:val="007A3289"/>
    <w:rsid w:val="007A4106"/>
    <w:rsid w:val="007A4A4F"/>
    <w:rsid w:val="007A4F25"/>
    <w:rsid w:val="007A512C"/>
    <w:rsid w:val="007A5796"/>
    <w:rsid w:val="007A59E4"/>
    <w:rsid w:val="007A5B98"/>
    <w:rsid w:val="007A672C"/>
    <w:rsid w:val="007A6EFE"/>
    <w:rsid w:val="007A73E5"/>
    <w:rsid w:val="007A7482"/>
    <w:rsid w:val="007A7861"/>
    <w:rsid w:val="007B0261"/>
    <w:rsid w:val="007B05F0"/>
    <w:rsid w:val="007B0E18"/>
    <w:rsid w:val="007B118D"/>
    <w:rsid w:val="007B1A4B"/>
    <w:rsid w:val="007B38AB"/>
    <w:rsid w:val="007B53BA"/>
    <w:rsid w:val="007B5E1C"/>
    <w:rsid w:val="007C0933"/>
    <w:rsid w:val="007C0EED"/>
    <w:rsid w:val="007C31F7"/>
    <w:rsid w:val="007C4F05"/>
    <w:rsid w:val="007C5792"/>
    <w:rsid w:val="007C60CC"/>
    <w:rsid w:val="007D25C9"/>
    <w:rsid w:val="007D453D"/>
    <w:rsid w:val="007D45E4"/>
    <w:rsid w:val="007D4D48"/>
    <w:rsid w:val="007D5456"/>
    <w:rsid w:val="007D5734"/>
    <w:rsid w:val="007D5D33"/>
    <w:rsid w:val="007D7732"/>
    <w:rsid w:val="007D7D4A"/>
    <w:rsid w:val="007D7FDC"/>
    <w:rsid w:val="007E026C"/>
    <w:rsid w:val="007E0E09"/>
    <w:rsid w:val="007E171F"/>
    <w:rsid w:val="007E1DF8"/>
    <w:rsid w:val="007E2514"/>
    <w:rsid w:val="007E2D53"/>
    <w:rsid w:val="007E3DB6"/>
    <w:rsid w:val="007E4316"/>
    <w:rsid w:val="007E7172"/>
    <w:rsid w:val="007E7BAB"/>
    <w:rsid w:val="007E7FC7"/>
    <w:rsid w:val="007F1681"/>
    <w:rsid w:val="007F1E90"/>
    <w:rsid w:val="007F292C"/>
    <w:rsid w:val="007F30AF"/>
    <w:rsid w:val="007F3921"/>
    <w:rsid w:val="007F53BF"/>
    <w:rsid w:val="007F55D8"/>
    <w:rsid w:val="007F5ABB"/>
    <w:rsid w:val="007F7749"/>
    <w:rsid w:val="00800133"/>
    <w:rsid w:val="00800A6F"/>
    <w:rsid w:val="008010A3"/>
    <w:rsid w:val="00801A94"/>
    <w:rsid w:val="008021AD"/>
    <w:rsid w:val="008030B9"/>
    <w:rsid w:val="0080319A"/>
    <w:rsid w:val="00804904"/>
    <w:rsid w:val="00804BF3"/>
    <w:rsid w:val="00805983"/>
    <w:rsid w:val="00805F9C"/>
    <w:rsid w:val="0080609A"/>
    <w:rsid w:val="008062CC"/>
    <w:rsid w:val="0080671C"/>
    <w:rsid w:val="00807A1E"/>
    <w:rsid w:val="00810701"/>
    <w:rsid w:val="0081310E"/>
    <w:rsid w:val="00813C8B"/>
    <w:rsid w:val="008140E0"/>
    <w:rsid w:val="008150F1"/>
    <w:rsid w:val="008158B0"/>
    <w:rsid w:val="00816F10"/>
    <w:rsid w:val="008179FD"/>
    <w:rsid w:val="008205CF"/>
    <w:rsid w:val="00820A15"/>
    <w:rsid w:val="0082109A"/>
    <w:rsid w:val="00821515"/>
    <w:rsid w:val="00821863"/>
    <w:rsid w:val="00822556"/>
    <w:rsid w:val="0082347F"/>
    <w:rsid w:val="008249ED"/>
    <w:rsid w:val="0082584A"/>
    <w:rsid w:val="0082705E"/>
    <w:rsid w:val="0082708B"/>
    <w:rsid w:val="008303DC"/>
    <w:rsid w:val="00830F7C"/>
    <w:rsid w:val="008310E6"/>
    <w:rsid w:val="00832C53"/>
    <w:rsid w:val="00832FA0"/>
    <w:rsid w:val="00834675"/>
    <w:rsid w:val="008347D1"/>
    <w:rsid w:val="00835BB8"/>
    <w:rsid w:val="00835C1E"/>
    <w:rsid w:val="00835C5E"/>
    <w:rsid w:val="00835D68"/>
    <w:rsid w:val="00835E40"/>
    <w:rsid w:val="0083645C"/>
    <w:rsid w:val="0083661F"/>
    <w:rsid w:val="008371DD"/>
    <w:rsid w:val="0083720E"/>
    <w:rsid w:val="008402C4"/>
    <w:rsid w:val="008406A8"/>
    <w:rsid w:val="00840EFD"/>
    <w:rsid w:val="00840F66"/>
    <w:rsid w:val="00841436"/>
    <w:rsid w:val="00841AB1"/>
    <w:rsid w:val="0084200B"/>
    <w:rsid w:val="00842161"/>
    <w:rsid w:val="00843F51"/>
    <w:rsid w:val="0084511E"/>
    <w:rsid w:val="008452EF"/>
    <w:rsid w:val="008457E5"/>
    <w:rsid w:val="00845F89"/>
    <w:rsid w:val="0084610F"/>
    <w:rsid w:val="00846395"/>
    <w:rsid w:val="00847FDF"/>
    <w:rsid w:val="0085094F"/>
    <w:rsid w:val="00850E04"/>
    <w:rsid w:val="00851018"/>
    <w:rsid w:val="00851137"/>
    <w:rsid w:val="008516F8"/>
    <w:rsid w:val="008517FA"/>
    <w:rsid w:val="008519B5"/>
    <w:rsid w:val="0085270D"/>
    <w:rsid w:val="00853098"/>
    <w:rsid w:val="008537DB"/>
    <w:rsid w:val="00853AC0"/>
    <w:rsid w:val="0085451C"/>
    <w:rsid w:val="00854F05"/>
    <w:rsid w:val="0085569E"/>
    <w:rsid w:val="00856A4F"/>
    <w:rsid w:val="00857C5B"/>
    <w:rsid w:val="00860913"/>
    <w:rsid w:val="008624D4"/>
    <w:rsid w:val="008626EE"/>
    <w:rsid w:val="00864365"/>
    <w:rsid w:val="00864B00"/>
    <w:rsid w:val="00865518"/>
    <w:rsid w:val="0086670C"/>
    <w:rsid w:val="00866F5A"/>
    <w:rsid w:val="008675A1"/>
    <w:rsid w:val="00867691"/>
    <w:rsid w:val="0087189A"/>
    <w:rsid w:val="00871E48"/>
    <w:rsid w:val="0087225D"/>
    <w:rsid w:val="00872387"/>
    <w:rsid w:val="00872E37"/>
    <w:rsid w:val="0087339C"/>
    <w:rsid w:val="00873EFC"/>
    <w:rsid w:val="00874779"/>
    <w:rsid w:val="00874976"/>
    <w:rsid w:val="00874F22"/>
    <w:rsid w:val="008755AA"/>
    <w:rsid w:val="00875EC1"/>
    <w:rsid w:val="00877184"/>
    <w:rsid w:val="00877248"/>
    <w:rsid w:val="00877D32"/>
    <w:rsid w:val="00881F6A"/>
    <w:rsid w:val="00882883"/>
    <w:rsid w:val="00883853"/>
    <w:rsid w:val="00883DDD"/>
    <w:rsid w:val="008841B2"/>
    <w:rsid w:val="0088453F"/>
    <w:rsid w:val="00885529"/>
    <w:rsid w:val="008860AD"/>
    <w:rsid w:val="0088691B"/>
    <w:rsid w:val="00887364"/>
    <w:rsid w:val="0089002A"/>
    <w:rsid w:val="0089024E"/>
    <w:rsid w:val="0089179C"/>
    <w:rsid w:val="00891EC2"/>
    <w:rsid w:val="008923DE"/>
    <w:rsid w:val="00892D1C"/>
    <w:rsid w:val="00892ED3"/>
    <w:rsid w:val="00893670"/>
    <w:rsid w:val="00893B79"/>
    <w:rsid w:val="00893D8C"/>
    <w:rsid w:val="008942BC"/>
    <w:rsid w:val="0089471C"/>
    <w:rsid w:val="00896274"/>
    <w:rsid w:val="008977EB"/>
    <w:rsid w:val="008A0679"/>
    <w:rsid w:val="008A08D1"/>
    <w:rsid w:val="008A1132"/>
    <w:rsid w:val="008A1BE9"/>
    <w:rsid w:val="008A1D64"/>
    <w:rsid w:val="008A1DE6"/>
    <w:rsid w:val="008A478C"/>
    <w:rsid w:val="008A48AB"/>
    <w:rsid w:val="008A6045"/>
    <w:rsid w:val="008A619F"/>
    <w:rsid w:val="008A7871"/>
    <w:rsid w:val="008A7FD7"/>
    <w:rsid w:val="008B14EE"/>
    <w:rsid w:val="008B18AD"/>
    <w:rsid w:val="008B1D7D"/>
    <w:rsid w:val="008B2279"/>
    <w:rsid w:val="008B2C1B"/>
    <w:rsid w:val="008B3785"/>
    <w:rsid w:val="008B4D1A"/>
    <w:rsid w:val="008B66F6"/>
    <w:rsid w:val="008B6741"/>
    <w:rsid w:val="008B6ED2"/>
    <w:rsid w:val="008B754B"/>
    <w:rsid w:val="008B777B"/>
    <w:rsid w:val="008C0039"/>
    <w:rsid w:val="008C0AE7"/>
    <w:rsid w:val="008C1831"/>
    <w:rsid w:val="008C1901"/>
    <w:rsid w:val="008C2611"/>
    <w:rsid w:val="008C282D"/>
    <w:rsid w:val="008C4235"/>
    <w:rsid w:val="008C4ABD"/>
    <w:rsid w:val="008C4D9B"/>
    <w:rsid w:val="008C5C8B"/>
    <w:rsid w:val="008C67D2"/>
    <w:rsid w:val="008C74EB"/>
    <w:rsid w:val="008D0FCF"/>
    <w:rsid w:val="008D138D"/>
    <w:rsid w:val="008D199B"/>
    <w:rsid w:val="008D2027"/>
    <w:rsid w:val="008D25CA"/>
    <w:rsid w:val="008D3AF0"/>
    <w:rsid w:val="008D40C8"/>
    <w:rsid w:val="008D4F9B"/>
    <w:rsid w:val="008D5166"/>
    <w:rsid w:val="008D590F"/>
    <w:rsid w:val="008D6392"/>
    <w:rsid w:val="008E21D7"/>
    <w:rsid w:val="008E245B"/>
    <w:rsid w:val="008E274E"/>
    <w:rsid w:val="008E333F"/>
    <w:rsid w:val="008E36A3"/>
    <w:rsid w:val="008E39F0"/>
    <w:rsid w:val="008E3C66"/>
    <w:rsid w:val="008E3CDB"/>
    <w:rsid w:val="008E4061"/>
    <w:rsid w:val="008E4AC4"/>
    <w:rsid w:val="008E551B"/>
    <w:rsid w:val="008E5970"/>
    <w:rsid w:val="008E6E5A"/>
    <w:rsid w:val="008E7399"/>
    <w:rsid w:val="008F0C4A"/>
    <w:rsid w:val="008F124F"/>
    <w:rsid w:val="008F1B8C"/>
    <w:rsid w:val="008F2382"/>
    <w:rsid w:val="008F346D"/>
    <w:rsid w:val="008F389B"/>
    <w:rsid w:val="008F4316"/>
    <w:rsid w:val="008F4862"/>
    <w:rsid w:val="008F5081"/>
    <w:rsid w:val="008F5FFC"/>
    <w:rsid w:val="008F7548"/>
    <w:rsid w:val="008F75A6"/>
    <w:rsid w:val="009001AF"/>
    <w:rsid w:val="00900664"/>
    <w:rsid w:val="00900AD1"/>
    <w:rsid w:val="00901EEB"/>
    <w:rsid w:val="00902110"/>
    <w:rsid w:val="00902145"/>
    <w:rsid w:val="00902913"/>
    <w:rsid w:val="0090358D"/>
    <w:rsid w:val="00903A07"/>
    <w:rsid w:val="00903B0C"/>
    <w:rsid w:val="00904E10"/>
    <w:rsid w:val="00905038"/>
    <w:rsid w:val="00905047"/>
    <w:rsid w:val="00905192"/>
    <w:rsid w:val="009053B9"/>
    <w:rsid w:val="009057D8"/>
    <w:rsid w:val="0090618B"/>
    <w:rsid w:val="0091147A"/>
    <w:rsid w:val="009114B7"/>
    <w:rsid w:val="00912488"/>
    <w:rsid w:val="00912756"/>
    <w:rsid w:val="00912E86"/>
    <w:rsid w:val="009138B9"/>
    <w:rsid w:val="00914555"/>
    <w:rsid w:val="009146CC"/>
    <w:rsid w:val="009147D6"/>
    <w:rsid w:val="00914A5A"/>
    <w:rsid w:val="00916C8E"/>
    <w:rsid w:val="00917EED"/>
    <w:rsid w:val="009205C4"/>
    <w:rsid w:val="009210BA"/>
    <w:rsid w:val="00921BD8"/>
    <w:rsid w:val="00922BDC"/>
    <w:rsid w:val="009231E1"/>
    <w:rsid w:val="00924507"/>
    <w:rsid w:val="00924FCA"/>
    <w:rsid w:val="009252BD"/>
    <w:rsid w:val="00926239"/>
    <w:rsid w:val="009267FC"/>
    <w:rsid w:val="009268CB"/>
    <w:rsid w:val="00926B43"/>
    <w:rsid w:val="00926D5D"/>
    <w:rsid w:val="00926FB8"/>
    <w:rsid w:val="009300A8"/>
    <w:rsid w:val="00930669"/>
    <w:rsid w:val="00930C29"/>
    <w:rsid w:val="00931BF7"/>
    <w:rsid w:val="009320F3"/>
    <w:rsid w:val="00934298"/>
    <w:rsid w:val="0093580E"/>
    <w:rsid w:val="00935976"/>
    <w:rsid w:val="00935FC9"/>
    <w:rsid w:val="009369F6"/>
    <w:rsid w:val="00936F41"/>
    <w:rsid w:val="00936FFE"/>
    <w:rsid w:val="00937324"/>
    <w:rsid w:val="009376C3"/>
    <w:rsid w:val="00937FEB"/>
    <w:rsid w:val="00941225"/>
    <w:rsid w:val="0094150A"/>
    <w:rsid w:val="009428FB"/>
    <w:rsid w:val="00942F6A"/>
    <w:rsid w:val="0094337C"/>
    <w:rsid w:val="00943D2D"/>
    <w:rsid w:val="0094402D"/>
    <w:rsid w:val="009443C0"/>
    <w:rsid w:val="00944599"/>
    <w:rsid w:val="00946151"/>
    <w:rsid w:val="00946B5C"/>
    <w:rsid w:val="009473F5"/>
    <w:rsid w:val="009509E4"/>
    <w:rsid w:val="00951F72"/>
    <w:rsid w:val="00952783"/>
    <w:rsid w:val="00953D20"/>
    <w:rsid w:val="009544FE"/>
    <w:rsid w:val="00955631"/>
    <w:rsid w:val="00955714"/>
    <w:rsid w:val="00955A6D"/>
    <w:rsid w:val="0095743D"/>
    <w:rsid w:val="009600E9"/>
    <w:rsid w:val="00960B6A"/>
    <w:rsid w:val="0096174A"/>
    <w:rsid w:val="009617F3"/>
    <w:rsid w:val="00962069"/>
    <w:rsid w:val="009633DB"/>
    <w:rsid w:val="009633E5"/>
    <w:rsid w:val="00963A92"/>
    <w:rsid w:val="009645B8"/>
    <w:rsid w:val="0096480F"/>
    <w:rsid w:val="00964B68"/>
    <w:rsid w:val="00964E6B"/>
    <w:rsid w:val="00965D21"/>
    <w:rsid w:val="00966CEB"/>
    <w:rsid w:val="00967BF9"/>
    <w:rsid w:val="00967D7B"/>
    <w:rsid w:val="00967D91"/>
    <w:rsid w:val="009700F2"/>
    <w:rsid w:val="0097079F"/>
    <w:rsid w:val="009722C2"/>
    <w:rsid w:val="00972D34"/>
    <w:rsid w:val="00973341"/>
    <w:rsid w:val="00973BB0"/>
    <w:rsid w:val="0097420C"/>
    <w:rsid w:val="00974BFF"/>
    <w:rsid w:val="00974FD9"/>
    <w:rsid w:val="00975063"/>
    <w:rsid w:val="00975999"/>
    <w:rsid w:val="009768C0"/>
    <w:rsid w:val="00977DC0"/>
    <w:rsid w:val="009805D7"/>
    <w:rsid w:val="00982B7E"/>
    <w:rsid w:val="00982FEC"/>
    <w:rsid w:val="00984144"/>
    <w:rsid w:val="009841AB"/>
    <w:rsid w:val="00984F9E"/>
    <w:rsid w:val="00986DEC"/>
    <w:rsid w:val="00987999"/>
    <w:rsid w:val="009906B4"/>
    <w:rsid w:val="00991428"/>
    <w:rsid w:val="009917B6"/>
    <w:rsid w:val="00991A6C"/>
    <w:rsid w:val="009932B2"/>
    <w:rsid w:val="009946AB"/>
    <w:rsid w:val="00994923"/>
    <w:rsid w:val="00994DE5"/>
    <w:rsid w:val="009951C9"/>
    <w:rsid w:val="0099570D"/>
    <w:rsid w:val="009963CC"/>
    <w:rsid w:val="009963E7"/>
    <w:rsid w:val="00997055"/>
    <w:rsid w:val="009971F8"/>
    <w:rsid w:val="00997CE2"/>
    <w:rsid w:val="009A1279"/>
    <w:rsid w:val="009A2086"/>
    <w:rsid w:val="009A2A6B"/>
    <w:rsid w:val="009A3141"/>
    <w:rsid w:val="009A39A9"/>
    <w:rsid w:val="009A3E98"/>
    <w:rsid w:val="009A4664"/>
    <w:rsid w:val="009A5168"/>
    <w:rsid w:val="009A6E7F"/>
    <w:rsid w:val="009A75E4"/>
    <w:rsid w:val="009A7E76"/>
    <w:rsid w:val="009B0EF3"/>
    <w:rsid w:val="009B11FF"/>
    <w:rsid w:val="009B1207"/>
    <w:rsid w:val="009B20FE"/>
    <w:rsid w:val="009B30B8"/>
    <w:rsid w:val="009B3D09"/>
    <w:rsid w:val="009B4291"/>
    <w:rsid w:val="009B4718"/>
    <w:rsid w:val="009B55E7"/>
    <w:rsid w:val="009B6CCD"/>
    <w:rsid w:val="009B6EBF"/>
    <w:rsid w:val="009B7659"/>
    <w:rsid w:val="009B7867"/>
    <w:rsid w:val="009B7E8A"/>
    <w:rsid w:val="009B7ED0"/>
    <w:rsid w:val="009C07E2"/>
    <w:rsid w:val="009C0B85"/>
    <w:rsid w:val="009C0D4B"/>
    <w:rsid w:val="009C1695"/>
    <w:rsid w:val="009C1CB8"/>
    <w:rsid w:val="009C1E2D"/>
    <w:rsid w:val="009C306E"/>
    <w:rsid w:val="009C578C"/>
    <w:rsid w:val="009C65B2"/>
    <w:rsid w:val="009C79D4"/>
    <w:rsid w:val="009D02F1"/>
    <w:rsid w:val="009D116B"/>
    <w:rsid w:val="009D1452"/>
    <w:rsid w:val="009D17A9"/>
    <w:rsid w:val="009D202B"/>
    <w:rsid w:val="009D24A4"/>
    <w:rsid w:val="009D27B7"/>
    <w:rsid w:val="009D28F0"/>
    <w:rsid w:val="009D34C2"/>
    <w:rsid w:val="009D3D2A"/>
    <w:rsid w:val="009D3EE4"/>
    <w:rsid w:val="009D5BC0"/>
    <w:rsid w:val="009D61A6"/>
    <w:rsid w:val="009D75F4"/>
    <w:rsid w:val="009E0E18"/>
    <w:rsid w:val="009E26F3"/>
    <w:rsid w:val="009E32EA"/>
    <w:rsid w:val="009E4137"/>
    <w:rsid w:val="009E44D2"/>
    <w:rsid w:val="009E4856"/>
    <w:rsid w:val="009E497A"/>
    <w:rsid w:val="009E4F21"/>
    <w:rsid w:val="009E5429"/>
    <w:rsid w:val="009E58A5"/>
    <w:rsid w:val="009E6742"/>
    <w:rsid w:val="009F15D0"/>
    <w:rsid w:val="009F164D"/>
    <w:rsid w:val="009F1A29"/>
    <w:rsid w:val="009F2442"/>
    <w:rsid w:val="009F2ACA"/>
    <w:rsid w:val="009F3AFF"/>
    <w:rsid w:val="009F3CE0"/>
    <w:rsid w:val="009F3EC5"/>
    <w:rsid w:val="009F4D35"/>
    <w:rsid w:val="009F5BBB"/>
    <w:rsid w:val="009F6D08"/>
    <w:rsid w:val="009F6FFE"/>
    <w:rsid w:val="009F7144"/>
    <w:rsid w:val="009F7D50"/>
    <w:rsid w:val="00A00258"/>
    <w:rsid w:val="00A003EB"/>
    <w:rsid w:val="00A0091F"/>
    <w:rsid w:val="00A014D4"/>
    <w:rsid w:val="00A02164"/>
    <w:rsid w:val="00A022D6"/>
    <w:rsid w:val="00A02B63"/>
    <w:rsid w:val="00A02BA8"/>
    <w:rsid w:val="00A04388"/>
    <w:rsid w:val="00A044D5"/>
    <w:rsid w:val="00A0457A"/>
    <w:rsid w:val="00A04671"/>
    <w:rsid w:val="00A04673"/>
    <w:rsid w:val="00A046D5"/>
    <w:rsid w:val="00A04808"/>
    <w:rsid w:val="00A04820"/>
    <w:rsid w:val="00A04C43"/>
    <w:rsid w:val="00A04F50"/>
    <w:rsid w:val="00A059BD"/>
    <w:rsid w:val="00A05A29"/>
    <w:rsid w:val="00A07551"/>
    <w:rsid w:val="00A07E4D"/>
    <w:rsid w:val="00A102F7"/>
    <w:rsid w:val="00A10B72"/>
    <w:rsid w:val="00A10FA3"/>
    <w:rsid w:val="00A11265"/>
    <w:rsid w:val="00A11EC0"/>
    <w:rsid w:val="00A12C36"/>
    <w:rsid w:val="00A13333"/>
    <w:rsid w:val="00A135EF"/>
    <w:rsid w:val="00A15BA5"/>
    <w:rsid w:val="00A15ED4"/>
    <w:rsid w:val="00A170AB"/>
    <w:rsid w:val="00A2248D"/>
    <w:rsid w:val="00A22A25"/>
    <w:rsid w:val="00A22A94"/>
    <w:rsid w:val="00A23884"/>
    <w:rsid w:val="00A23F88"/>
    <w:rsid w:val="00A25129"/>
    <w:rsid w:val="00A252A5"/>
    <w:rsid w:val="00A2546C"/>
    <w:rsid w:val="00A25780"/>
    <w:rsid w:val="00A258DB"/>
    <w:rsid w:val="00A26193"/>
    <w:rsid w:val="00A273DD"/>
    <w:rsid w:val="00A276B6"/>
    <w:rsid w:val="00A27973"/>
    <w:rsid w:val="00A279A2"/>
    <w:rsid w:val="00A306B0"/>
    <w:rsid w:val="00A30CF8"/>
    <w:rsid w:val="00A31D71"/>
    <w:rsid w:val="00A323B8"/>
    <w:rsid w:val="00A32A4F"/>
    <w:rsid w:val="00A33A02"/>
    <w:rsid w:val="00A34407"/>
    <w:rsid w:val="00A34A03"/>
    <w:rsid w:val="00A34BF4"/>
    <w:rsid w:val="00A34FA7"/>
    <w:rsid w:val="00A35676"/>
    <w:rsid w:val="00A37156"/>
    <w:rsid w:val="00A375A5"/>
    <w:rsid w:val="00A376AC"/>
    <w:rsid w:val="00A377BF"/>
    <w:rsid w:val="00A3782A"/>
    <w:rsid w:val="00A37E37"/>
    <w:rsid w:val="00A411A5"/>
    <w:rsid w:val="00A41424"/>
    <w:rsid w:val="00A41858"/>
    <w:rsid w:val="00A418AF"/>
    <w:rsid w:val="00A4196C"/>
    <w:rsid w:val="00A422E3"/>
    <w:rsid w:val="00A42A62"/>
    <w:rsid w:val="00A43179"/>
    <w:rsid w:val="00A43CC9"/>
    <w:rsid w:val="00A43D34"/>
    <w:rsid w:val="00A43D4C"/>
    <w:rsid w:val="00A45066"/>
    <w:rsid w:val="00A4599B"/>
    <w:rsid w:val="00A469F2"/>
    <w:rsid w:val="00A46A2F"/>
    <w:rsid w:val="00A50450"/>
    <w:rsid w:val="00A508E5"/>
    <w:rsid w:val="00A50E0F"/>
    <w:rsid w:val="00A525A3"/>
    <w:rsid w:val="00A5539B"/>
    <w:rsid w:val="00A56146"/>
    <w:rsid w:val="00A56524"/>
    <w:rsid w:val="00A56CC9"/>
    <w:rsid w:val="00A56DD4"/>
    <w:rsid w:val="00A57020"/>
    <w:rsid w:val="00A578EA"/>
    <w:rsid w:val="00A61977"/>
    <w:rsid w:val="00A6315B"/>
    <w:rsid w:val="00A637A4"/>
    <w:rsid w:val="00A65CBF"/>
    <w:rsid w:val="00A6637D"/>
    <w:rsid w:val="00A66A81"/>
    <w:rsid w:val="00A66D41"/>
    <w:rsid w:val="00A66EAB"/>
    <w:rsid w:val="00A720F5"/>
    <w:rsid w:val="00A7275A"/>
    <w:rsid w:val="00A73C93"/>
    <w:rsid w:val="00A748E9"/>
    <w:rsid w:val="00A7752E"/>
    <w:rsid w:val="00A775E7"/>
    <w:rsid w:val="00A7765E"/>
    <w:rsid w:val="00A77F53"/>
    <w:rsid w:val="00A80DB7"/>
    <w:rsid w:val="00A81164"/>
    <w:rsid w:val="00A81F61"/>
    <w:rsid w:val="00A8374D"/>
    <w:rsid w:val="00A84DAC"/>
    <w:rsid w:val="00A850D6"/>
    <w:rsid w:val="00A850EC"/>
    <w:rsid w:val="00A86C10"/>
    <w:rsid w:val="00A86EE1"/>
    <w:rsid w:val="00A8749F"/>
    <w:rsid w:val="00A901C5"/>
    <w:rsid w:val="00A90384"/>
    <w:rsid w:val="00A90596"/>
    <w:rsid w:val="00A9149B"/>
    <w:rsid w:val="00A917D6"/>
    <w:rsid w:val="00A91866"/>
    <w:rsid w:val="00A9313C"/>
    <w:rsid w:val="00A9316C"/>
    <w:rsid w:val="00A931BC"/>
    <w:rsid w:val="00A93922"/>
    <w:rsid w:val="00A954D2"/>
    <w:rsid w:val="00A95819"/>
    <w:rsid w:val="00A975F3"/>
    <w:rsid w:val="00A97647"/>
    <w:rsid w:val="00A97BDD"/>
    <w:rsid w:val="00A97FAF"/>
    <w:rsid w:val="00AA09C1"/>
    <w:rsid w:val="00AA1FE1"/>
    <w:rsid w:val="00AA22FB"/>
    <w:rsid w:val="00AA255C"/>
    <w:rsid w:val="00AA26EC"/>
    <w:rsid w:val="00AA287F"/>
    <w:rsid w:val="00AA2A54"/>
    <w:rsid w:val="00AA2D58"/>
    <w:rsid w:val="00AA2D63"/>
    <w:rsid w:val="00AA3869"/>
    <w:rsid w:val="00AA3F0D"/>
    <w:rsid w:val="00AA45B1"/>
    <w:rsid w:val="00AA47B4"/>
    <w:rsid w:val="00AA4DBC"/>
    <w:rsid w:val="00AA4DCB"/>
    <w:rsid w:val="00AA57C5"/>
    <w:rsid w:val="00AA5A6E"/>
    <w:rsid w:val="00AA631B"/>
    <w:rsid w:val="00AA6956"/>
    <w:rsid w:val="00AA696F"/>
    <w:rsid w:val="00AA7656"/>
    <w:rsid w:val="00AA7665"/>
    <w:rsid w:val="00AB1CF4"/>
    <w:rsid w:val="00AB21B5"/>
    <w:rsid w:val="00AB250E"/>
    <w:rsid w:val="00AB2C40"/>
    <w:rsid w:val="00AB32E5"/>
    <w:rsid w:val="00AB350D"/>
    <w:rsid w:val="00AB3652"/>
    <w:rsid w:val="00AB4796"/>
    <w:rsid w:val="00AB4DC2"/>
    <w:rsid w:val="00AB6045"/>
    <w:rsid w:val="00AB606C"/>
    <w:rsid w:val="00AB61B1"/>
    <w:rsid w:val="00AB645A"/>
    <w:rsid w:val="00AB7A8B"/>
    <w:rsid w:val="00AB7D25"/>
    <w:rsid w:val="00AC00A3"/>
    <w:rsid w:val="00AC00DF"/>
    <w:rsid w:val="00AC0116"/>
    <w:rsid w:val="00AC1142"/>
    <w:rsid w:val="00AC1176"/>
    <w:rsid w:val="00AC1E89"/>
    <w:rsid w:val="00AC25A6"/>
    <w:rsid w:val="00AC3096"/>
    <w:rsid w:val="00AC350F"/>
    <w:rsid w:val="00AC35E5"/>
    <w:rsid w:val="00AC4562"/>
    <w:rsid w:val="00AC513C"/>
    <w:rsid w:val="00AC5809"/>
    <w:rsid w:val="00AC6150"/>
    <w:rsid w:val="00AC6161"/>
    <w:rsid w:val="00AC6C9E"/>
    <w:rsid w:val="00AC6E5B"/>
    <w:rsid w:val="00AD0F2D"/>
    <w:rsid w:val="00AD17F9"/>
    <w:rsid w:val="00AD1B77"/>
    <w:rsid w:val="00AD1C08"/>
    <w:rsid w:val="00AD1F3D"/>
    <w:rsid w:val="00AD2D44"/>
    <w:rsid w:val="00AD2E1D"/>
    <w:rsid w:val="00AD39CD"/>
    <w:rsid w:val="00AD4C8A"/>
    <w:rsid w:val="00AD5716"/>
    <w:rsid w:val="00AD7321"/>
    <w:rsid w:val="00AD742E"/>
    <w:rsid w:val="00AE0856"/>
    <w:rsid w:val="00AE0A5D"/>
    <w:rsid w:val="00AE0E40"/>
    <w:rsid w:val="00AE133A"/>
    <w:rsid w:val="00AE27C0"/>
    <w:rsid w:val="00AE3998"/>
    <w:rsid w:val="00AE5599"/>
    <w:rsid w:val="00AE67C9"/>
    <w:rsid w:val="00AE6C67"/>
    <w:rsid w:val="00AE7332"/>
    <w:rsid w:val="00AE7C4C"/>
    <w:rsid w:val="00AF0EF7"/>
    <w:rsid w:val="00AF2119"/>
    <w:rsid w:val="00AF228E"/>
    <w:rsid w:val="00AF3ABD"/>
    <w:rsid w:val="00AF443E"/>
    <w:rsid w:val="00AF4D69"/>
    <w:rsid w:val="00AF515B"/>
    <w:rsid w:val="00AF5923"/>
    <w:rsid w:val="00AF599B"/>
    <w:rsid w:val="00B00882"/>
    <w:rsid w:val="00B01FE2"/>
    <w:rsid w:val="00B02222"/>
    <w:rsid w:val="00B043C2"/>
    <w:rsid w:val="00B046AD"/>
    <w:rsid w:val="00B05058"/>
    <w:rsid w:val="00B06C06"/>
    <w:rsid w:val="00B0710C"/>
    <w:rsid w:val="00B0732C"/>
    <w:rsid w:val="00B073E4"/>
    <w:rsid w:val="00B07EC6"/>
    <w:rsid w:val="00B07EF6"/>
    <w:rsid w:val="00B101F1"/>
    <w:rsid w:val="00B107A7"/>
    <w:rsid w:val="00B10F92"/>
    <w:rsid w:val="00B10FCF"/>
    <w:rsid w:val="00B110B2"/>
    <w:rsid w:val="00B122F6"/>
    <w:rsid w:val="00B1240D"/>
    <w:rsid w:val="00B1249D"/>
    <w:rsid w:val="00B13245"/>
    <w:rsid w:val="00B132E3"/>
    <w:rsid w:val="00B135CF"/>
    <w:rsid w:val="00B145C5"/>
    <w:rsid w:val="00B14C0A"/>
    <w:rsid w:val="00B15B2F"/>
    <w:rsid w:val="00B1673B"/>
    <w:rsid w:val="00B16A7B"/>
    <w:rsid w:val="00B16D7A"/>
    <w:rsid w:val="00B1704F"/>
    <w:rsid w:val="00B17526"/>
    <w:rsid w:val="00B20013"/>
    <w:rsid w:val="00B218E7"/>
    <w:rsid w:val="00B22459"/>
    <w:rsid w:val="00B2314B"/>
    <w:rsid w:val="00B236CE"/>
    <w:rsid w:val="00B23772"/>
    <w:rsid w:val="00B23961"/>
    <w:rsid w:val="00B23F02"/>
    <w:rsid w:val="00B24112"/>
    <w:rsid w:val="00B25043"/>
    <w:rsid w:val="00B26183"/>
    <w:rsid w:val="00B26967"/>
    <w:rsid w:val="00B26E7C"/>
    <w:rsid w:val="00B27079"/>
    <w:rsid w:val="00B272B0"/>
    <w:rsid w:val="00B277C4"/>
    <w:rsid w:val="00B30B8B"/>
    <w:rsid w:val="00B31B3B"/>
    <w:rsid w:val="00B32017"/>
    <w:rsid w:val="00B33A86"/>
    <w:rsid w:val="00B3437C"/>
    <w:rsid w:val="00B352E8"/>
    <w:rsid w:val="00B3633D"/>
    <w:rsid w:val="00B365FE"/>
    <w:rsid w:val="00B36659"/>
    <w:rsid w:val="00B3697E"/>
    <w:rsid w:val="00B370FA"/>
    <w:rsid w:val="00B372E8"/>
    <w:rsid w:val="00B378A8"/>
    <w:rsid w:val="00B40BDF"/>
    <w:rsid w:val="00B420F7"/>
    <w:rsid w:val="00B42DC8"/>
    <w:rsid w:val="00B42EEE"/>
    <w:rsid w:val="00B42F72"/>
    <w:rsid w:val="00B43322"/>
    <w:rsid w:val="00B438D8"/>
    <w:rsid w:val="00B44928"/>
    <w:rsid w:val="00B44F01"/>
    <w:rsid w:val="00B45A9B"/>
    <w:rsid w:val="00B45FBB"/>
    <w:rsid w:val="00B5014A"/>
    <w:rsid w:val="00B515B6"/>
    <w:rsid w:val="00B518AF"/>
    <w:rsid w:val="00B51D85"/>
    <w:rsid w:val="00B52870"/>
    <w:rsid w:val="00B535A2"/>
    <w:rsid w:val="00B535E3"/>
    <w:rsid w:val="00B54D33"/>
    <w:rsid w:val="00B54ED6"/>
    <w:rsid w:val="00B55357"/>
    <w:rsid w:val="00B55FC3"/>
    <w:rsid w:val="00B568CD"/>
    <w:rsid w:val="00B572EF"/>
    <w:rsid w:val="00B57347"/>
    <w:rsid w:val="00B60345"/>
    <w:rsid w:val="00B607C4"/>
    <w:rsid w:val="00B6144B"/>
    <w:rsid w:val="00B61CDD"/>
    <w:rsid w:val="00B62911"/>
    <w:rsid w:val="00B6301E"/>
    <w:rsid w:val="00B6352A"/>
    <w:rsid w:val="00B64274"/>
    <w:rsid w:val="00B64493"/>
    <w:rsid w:val="00B666AE"/>
    <w:rsid w:val="00B66D02"/>
    <w:rsid w:val="00B66F5E"/>
    <w:rsid w:val="00B7208E"/>
    <w:rsid w:val="00B73210"/>
    <w:rsid w:val="00B73A95"/>
    <w:rsid w:val="00B73C0A"/>
    <w:rsid w:val="00B75056"/>
    <w:rsid w:val="00B753A1"/>
    <w:rsid w:val="00B754E6"/>
    <w:rsid w:val="00B75AAC"/>
    <w:rsid w:val="00B767C3"/>
    <w:rsid w:val="00B77D88"/>
    <w:rsid w:val="00B80562"/>
    <w:rsid w:val="00B815BC"/>
    <w:rsid w:val="00B82B56"/>
    <w:rsid w:val="00B82FFE"/>
    <w:rsid w:val="00B836D1"/>
    <w:rsid w:val="00B83BE2"/>
    <w:rsid w:val="00B846AC"/>
    <w:rsid w:val="00B849C3"/>
    <w:rsid w:val="00B85DBA"/>
    <w:rsid w:val="00B8622A"/>
    <w:rsid w:val="00B87549"/>
    <w:rsid w:val="00B87959"/>
    <w:rsid w:val="00B90245"/>
    <w:rsid w:val="00B91C1F"/>
    <w:rsid w:val="00B91D64"/>
    <w:rsid w:val="00B91E13"/>
    <w:rsid w:val="00B91EB5"/>
    <w:rsid w:val="00B92903"/>
    <w:rsid w:val="00B92AEF"/>
    <w:rsid w:val="00B92E3C"/>
    <w:rsid w:val="00B94A31"/>
    <w:rsid w:val="00B9568F"/>
    <w:rsid w:val="00B95F32"/>
    <w:rsid w:val="00BA02AB"/>
    <w:rsid w:val="00BA0D47"/>
    <w:rsid w:val="00BA2849"/>
    <w:rsid w:val="00BA286C"/>
    <w:rsid w:val="00BA3585"/>
    <w:rsid w:val="00BA3EA0"/>
    <w:rsid w:val="00BA4494"/>
    <w:rsid w:val="00BA48FB"/>
    <w:rsid w:val="00BA5531"/>
    <w:rsid w:val="00BA55AC"/>
    <w:rsid w:val="00BA5C3E"/>
    <w:rsid w:val="00BA5EC0"/>
    <w:rsid w:val="00BB01A4"/>
    <w:rsid w:val="00BB036B"/>
    <w:rsid w:val="00BB04BA"/>
    <w:rsid w:val="00BB0F2B"/>
    <w:rsid w:val="00BB178D"/>
    <w:rsid w:val="00BB30DF"/>
    <w:rsid w:val="00BB3248"/>
    <w:rsid w:val="00BB3D56"/>
    <w:rsid w:val="00BB400B"/>
    <w:rsid w:val="00BB40F4"/>
    <w:rsid w:val="00BB5480"/>
    <w:rsid w:val="00BB5492"/>
    <w:rsid w:val="00BB58F0"/>
    <w:rsid w:val="00BB6D1F"/>
    <w:rsid w:val="00BB6D3C"/>
    <w:rsid w:val="00BB70BB"/>
    <w:rsid w:val="00BB73F9"/>
    <w:rsid w:val="00BB7760"/>
    <w:rsid w:val="00BB7C74"/>
    <w:rsid w:val="00BC036E"/>
    <w:rsid w:val="00BC1DB0"/>
    <w:rsid w:val="00BC32BA"/>
    <w:rsid w:val="00BC3781"/>
    <w:rsid w:val="00BC553F"/>
    <w:rsid w:val="00BC6588"/>
    <w:rsid w:val="00BC7232"/>
    <w:rsid w:val="00BD116E"/>
    <w:rsid w:val="00BD1238"/>
    <w:rsid w:val="00BD245D"/>
    <w:rsid w:val="00BD2526"/>
    <w:rsid w:val="00BD3272"/>
    <w:rsid w:val="00BD4395"/>
    <w:rsid w:val="00BD45DC"/>
    <w:rsid w:val="00BD4F12"/>
    <w:rsid w:val="00BD51F8"/>
    <w:rsid w:val="00BD715C"/>
    <w:rsid w:val="00BD78F4"/>
    <w:rsid w:val="00BD7C30"/>
    <w:rsid w:val="00BE0C2A"/>
    <w:rsid w:val="00BE143E"/>
    <w:rsid w:val="00BE21CE"/>
    <w:rsid w:val="00BE24FE"/>
    <w:rsid w:val="00BE2685"/>
    <w:rsid w:val="00BE2756"/>
    <w:rsid w:val="00BE2BB6"/>
    <w:rsid w:val="00BE2E5F"/>
    <w:rsid w:val="00BE4CF3"/>
    <w:rsid w:val="00BE5798"/>
    <w:rsid w:val="00BE595F"/>
    <w:rsid w:val="00BE61A6"/>
    <w:rsid w:val="00BE69BF"/>
    <w:rsid w:val="00BE7782"/>
    <w:rsid w:val="00BF0056"/>
    <w:rsid w:val="00BF085C"/>
    <w:rsid w:val="00BF11BA"/>
    <w:rsid w:val="00BF1F8D"/>
    <w:rsid w:val="00BF4300"/>
    <w:rsid w:val="00BF6564"/>
    <w:rsid w:val="00BF75CF"/>
    <w:rsid w:val="00C00F5D"/>
    <w:rsid w:val="00C01289"/>
    <w:rsid w:val="00C014C1"/>
    <w:rsid w:val="00C01A67"/>
    <w:rsid w:val="00C03224"/>
    <w:rsid w:val="00C0369B"/>
    <w:rsid w:val="00C03A99"/>
    <w:rsid w:val="00C06650"/>
    <w:rsid w:val="00C07824"/>
    <w:rsid w:val="00C10995"/>
    <w:rsid w:val="00C116BA"/>
    <w:rsid w:val="00C12842"/>
    <w:rsid w:val="00C13D3E"/>
    <w:rsid w:val="00C14634"/>
    <w:rsid w:val="00C14DD8"/>
    <w:rsid w:val="00C1535D"/>
    <w:rsid w:val="00C15CD4"/>
    <w:rsid w:val="00C15D00"/>
    <w:rsid w:val="00C15E68"/>
    <w:rsid w:val="00C16521"/>
    <w:rsid w:val="00C17053"/>
    <w:rsid w:val="00C203BB"/>
    <w:rsid w:val="00C2057D"/>
    <w:rsid w:val="00C21551"/>
    <w:rsid w:val="00C21AEE"/>
    <w:rsid w:val="00C22029"/>
    <w:rsid w:val="00C2297C"/>
    <w:rsid w:val="00C2343B"/>
    <w:rsid w:val="00C23FE5"/>
    <w:rsid w:val="00C2629D"/>
    <w:rsid w:val="00C26C0D"/>
    <w:rsid w:val="00C27006"/>
    <w:rsid w:val="00C273AC"/>
    <w:rsid w:val="00C27970"/>
    <w:rsid w:val="00C279F2"/>
    <w:rsid w:val="00C27F56"/>
    <w:rsid w:val="00C301D1"/>
    <w:rsid w:val="00C3039B"/>
    <w:rsid w:val="00C313BA"/>
    <w:rsid w:val="00C31C7C"/>
    <w:rsid w:val="00C3217D"/>
    <w:rsid w:val="00C328C0"/>
    <w:rsid w:val="00C33070"/>
    <w:rsid w:val="00C3346E"/>
    <w:rsid w:val="00C347A5"/>
    <w:rsid w:val="00C34983"/>
    <w:rsid w:val="00C34A32"/>
    <w:rsid w:val="00C34D5E"/>
    <w:rsid w:val="00C35B22"/>
    <w:rsid w:val="00C36919"/>
    <w:rsid w:val="00C36D7A"/>
    <w:rsid w:val="00C370CF"/>
    <w:rsid w:val="00C372BE"/>
    <w:rsid w:val="00C37EB3"/>
    <w:rsid w:val="00C40143"/>
    <w:rsid w:val="00C4029F"/>
    <w:rsid w:val="00C42DDF"/>
    <w:rsid w:val="00C42E6D"/>
    <w:rsid w:val="00C43594"/>
    <w:rsid w:val="00C43B4E"/>
    <w:rsid w:val="00C43C34"/>
    <w:rsid w:val="00C440EF"/>
    <w:rsid w:val="00C47424"/>
    <w:rsid w:val="00C47482"/>
    <w:rsid w:val="00C477D9"/>
    <w:rsid w:val="00C50663"/>
    <w:rsid w:val="00C50EED"/>
    <w:rsid w:val="00C51EDA"/>
    <w:rsid w:val="00C5202B"/>
    <w:rsid w:val="00C53070"/>
    <w:rsid w:val="00C54C9C"/>
    <w:rsid w:val="00C56199"/>
    <w:rsid w:val="00C56562"/>
    <w:rsid w:val="00C57242"/>
    <w:rsid w:val="00C57E6F"/>
    <w:rsid w:val="00C613DF"/>
    <w:rsid w:val="00C61DF9"/>
    <w:rsid w:val="00C62784"/>
    <w:rsid w:val="00C62D51"/>
    <w:rsid w:val="00C62F81"/>
    <w:rsid w:val="00C63222"/>
    <w:rsid w:val="00C64794"/>
    <w:rsid w:val="00C6567A"/>
    <w:rsid w:val="00C6574A"/>
    <w:rsid w:val="00C65CFB"/>
    <w:rsid w:val="00C660FC"/>
    <w:rsid w:val="00C71778"/>
    <w:rsid w:val="00C71A2A"/>
    <w:rsid w:val="00C72E79"/>
    <w:rsid w:val="00C7657A"/>
    <w:rsid w:val="00C77652"/>
    <w:rsid w:val="00C80A4A"/>
    <w:rsid w:val="00C80D91"/>
    <w:rsid w:val="00C81C53"/>
    <w:rsid w:val="00C81ED1"/>
    <w:rsid w:val="00C82712"/>
    <w:rsid w:val="00C829BC"/>
    <w:rsid w:val="00C82BAE"/>
    <w:rsid w:val="00C82EE8"/>
    <w:rsid w:val="00C84A04"/>
    <w:rsid w:val="00C84AA7"/>
    <w:rsid w:val="00C84B5E"/>
    <w:rsid w:val="00C84C20"/>
    <w:rsid w:val="00C869E9"/>
    <w:rsid w:val="00C86A15"/>
    <w:rsid w:val="00C86AAD"/>
    <w:rsid w:val="00C86BB7"/>
    <w:rsid w:val="00C87DAD"/>
    <w:rsid w:val="00C90564"/>
    <w:rsid w:val="00C90713"/>
    <w:rsid w:val="00C90BE0"/>
    <w:rsid w:val="00C90CAB"/>
    <w:rsid w:val="00C9159C"/>
    <w:rsid w:val="00C91E4E"/>
    <w:rsid w:val="00C92FDF"/>
    <w:rsid w:val="00C932A6"/>
    <w:rsid w:val="00C935A4"/>
    <w:rsid w:val="00C940EF"/>
    <w:rsid w:val="00C94AB9"/>
    <w:rsid w:val="00C95591"/>
    <w:rsid w:val="00CA05E3"/>
    <w:rsid w:val="00CA0D02"/>
    <w:rsid w:val="00CA129C"/>
    <w:rsid w:val="00CA13DA"/>
    <w:rsid w:val="00CA1431"/>
    <w:rsid w:val="00CA14D2"/>
    <w:rsid w:val="00CA1D40"/>
    <w:rsid w:val="00CA21FC"/>
    <w:rsid w:val="00CA22D8"/>
    <w:rsid w:val="00CA273C"/>
    <w:rsid w:val="00CA337A"/>
    <w:rsid w:val="00CA4A80"/>
    <w:rsid w:val="00CA59E8"/>
    <w:rsid w:val="00CA6608"/>
    <w:rsid w:val="00CA6918"/>
    <w:rsid w:val="00CA6FC7"/>
    <w:rsid w:val="00CA7AF5"/>
    <w:rsid w:val="00CB0054"/>
    <w:rsid w:val="00CB1075"/>
    <w:rsid w:val="00CB213C"/>
    <w:rsid w:val="00CB30E1"/>
    <w:rsid w:val="00CB3F5B"/>
    <w:rsid w:val="00CB5875"/>
    <w:rsid w:val="00CB5DCE"/>
    <w:rsid w:val="00CB5F72"/>
    <w:rsid w:val="00CB643E"/>
    <w:rsid w:val="00CB69C8"/>
    <w:rsid w:val="00CC033C"/>
    <w:rsid w:val="00CC17C8"/>
    <w:rsid w:val="00CC1C98"/>
    <w:rsid w:val="00CC207C"/>
    <w:rsid w:val="00CC2255"/>
    <w:rsid w:val="00CC3315"/>
    <w:rsid w:val="00CC35FB"/>
    <w:rsid w:val="00CC3C84"/>
    <w:rsid w:val="00CC3E6F"/>
    <w:rsid w:val="00CC4A03"/>
    <w:rsid w:val="00CC5B80"/>
    <w:rsid w:val="00CC6261"/>
    <w:rsid w:val="00CD05FB"/>
    <w:rsid w:val="00CD367C"/>
    <w:rsid w:val="00CD3FCF"/>
    <w:rsid w:val="00CD3FF0"/>
    <w:rsid w:val="00CD4B07"/>
    <w:rsid w:val="00CD53BA"/>
    <w:rsid w:val="00CD551B"/>
    <w:rsid w:val="00CD6A41"/>
    <w:rsid w:val="00CD76C4"/>
    <w:rsid w:val="00CD76F8"/>
    <w:rsid w:val="00CE10AE"/>
    <w:rsid w:val="00CE11C1"/>
    <w:rsid w:val="00CE24B4"/>
    <w:rsid w:val="00CE2694"/>
    <w:rsid w:val="00CE3E30"/>
    <w:rsid w:val="00CE48AA"/>
    <w:rsid w:val="00CE4DFD"/>
    <w:rsid w:val="00CE5099"/>
    <w:rsid w:val="00CE53CF"/>
    <w:rsid w:val="00CE594D"/>
    <w:rsid w:val="00CE7682"/>
    <w:rsid w:val="00CE7E1F"/>
    <w:rsid w:val="00CF0325"/>
    <w:rsid w:val="00CF04E1"/>
    <w:rsid w:val="00CF1578"/>
    <w:rsid w:val="00CF17A3"/>
    <w:rsid w:val="00CF1EF9"/>
    <w:rsid w:val="00CF314A"/>
    <w:rsid w:val="00CF4ACD"/>
    <w:rsid w:val="00CF5954"/>
    <w:rsid w:val="00CF7AEA"/>
    <w:rsid w:val="00CF7C95"/>
    <w:rsid w:val="00CF7F7E"/>
    <w:rsid w:val="00D014B8"/>
    <w:rsid w:val="00D01CCF"/>
    <w:rsid w:val="00D01DD6"/>
    <w:rsid w:val="00D02107"/>
    <w:rsid w:val="00D02128"/>
    <w:rsid w:val="00D02231"/>
    <w:rsid w:val="00D02725"/>
    <w:rsid w:val="00D0334C"/>
    <w:rsid w:val="00D03419"/>
    <w:rsid w:val="00D03945"/>
    <w:rsid w:val="00D04048"/>
    <w:rsid w:val="00D04301"/>
    <w:rsid w:val="00D045AD"/>
    <w:rsid w:val="00D05639"/>
    <w:rsid w:val="00D057C7"/>
    <w:rsid w:val="00D05E85"/>
    <w:rsid w:val="00D06691"/>
    <w:rsid w:val="00D06919"/>
    <w:rsid w:val="00D06DE9"/>
    <w:rsid w:val="00D07C01"/>
    <w:rsid w:val="00D138D5"/>
    <w:rsid w:val="00D16424"/>
    <w:rsid w:val="00D16470"/>
    <w:rsid w:val="00D16897"/>
    <w:rsid w:val="00D17117"/>
    <w:rsid w:val="00D173A6"/>
    <w:rsid w:val="00D2056F"/>
    <w:rsid w:val="00D20E22"/>
    <w:rsid w:val="00D214F2"/>
    <w:rsid w:val="00D21BB5"/>
    <w:rsid w:val="00D21FCD"/>
    <w:rsid w:val="00D2295F"/>
    <w:rsid w:val="00D23764"/>
    <w:rsid w:val="00D23851"/>
    <w:rsid w:val="00D24119"/>
    <w:rsid w:val="00D242BE"/>
    <w:rsid w:val="00D2567A"/>
    <w:rsid w:val="00D257FB"/>
    <w:rsid w:val="00D25D4C"/>
    <w:rsid w:val="00D25F72"/>
    <w:rsid w:val="00D265F8"/>
    <w:rsid w:val="00D27247"/>
    <w:rsid w:val="00D31EB1"/>
    <w:rsid w:val="00D32159"/>
    <w:rsid w:val="00D3225B"/>
    <w:rsid w:val="00D32E4B"/>
    <w:rsid w:val="00D32EBB"/>
    <w:rsid w:val="00D33608"/>
    <w:rsid w:val="00D3416B"/>
    <w:rsid w:val="00D341B6"/>
    <w:rsid w:val="00D357B9"/>
    <w:rsid w:val="00D35B9A"/>
    <w:rsid w:val="00D3688D"/>
    <w:rsid w:val="00D37978"/>
    <w:rsid w:val="00D404A3"/>
    <w:rsid w:val="00D40BE3"/>
    <w:rsid w:val="00D40C1C"/>
    <w:rsid w:val="00D40DFC"/>
    <w:rsid w:val="00D41590"/>
    <w:rsid w:val="00D41D89"/>
    <w:rsid w:val="00D42A85"/>
    <w:rsid w:val="00D43587"/>
    <w:rsid w:val="00D43703"/>
    <w:rsid w:val="00D44064"/>
    <w:rsid w:val="00D44422"/>
    <w:rsid w:val="00D447BA"/>
    <w:rsid w:val="00D452B8"/>
    <w:rsid w:val="00D46378"/>
    <w:rsid w:val="00D4714B"/>
    <w:rsid w:val="00D47282"/>
    <w:rsid w:val="00D474B8"/>
    <w:rsid w:val="00D50895"/>
    <w:rsid w:val="00D509E6"/>
    <w:rsid w:val="00D52225"/>
    <w:rsid w:val="00D52616"/>
    <w:rsid w:val="00D52947"/>
    <w:rsid w:val="00D52B89"/>
    <w:rsid w:val="00D52C02"/>
    <w:rsid w:val="00D52DDA"/>
    <w:rsid w:val="00D53484"/>
    <w:rsid w:val="00D53EAA"/>
    <w:rsid w:val="00D544CD"/>
    <w:rsid w:val="00D5483D"/>
    <w:rsid w:val="00D5506B"/>
    <w:rsid w:val="00D55228"/>
    <w:rsid w:val="00D56479"/>
    <w:rsid w:val="00D57C08"/>
    <w:rsid w:val="00D60C50"/>
    <w:rsid w:val="00D626D7"/>
    <w:rsid w:val="00D62C20"/>
    <w:rsid w:val="00D62DAA"/>
    <w:rsid w:val="00D633CA"/>
    <w:rsid w:val="00D63413"/>
    <w:rsid w:val="00D63706"/>
    <w:rsid w:val="00D63D40"/>
    <w:rsid w:val="00D64FF0"/>
    <w:rsid w:val="00D65000"/>
    <w:rsid w:val="00D65A40"/>
    <w:rsid w:val="00D66460"/>
    <w:rsid w:val="00D669F3"/>
    <w:rsid w:val="00D67021"/>
    <w:rsid w:val="00D6768B"/>
    <w:rsid w:val="00D6796C"/>
    <w:rsid w:val="00D679AE"/>
    <w:rsid w:val="00D67BF1"/>
    <w:rsid w:val="00D70118"/>
    <w:rsid w:val="00D701FF"/>
    <w:rsid w:val="00D70496"/>
    <w:rsid w:val="00D704A5"/>
    <w:rsid w:val="00D70F23"/>
    <w:rsid w:val="00D717CA"/>
    <w:rsid w:val="00D7213A"/>
    <w:rsid w:val="00D72A94"/>
    <w:rsid w:val="00D72E65"/>
    <w:rsid w:val="00D74332"/>
    <w:rsid w:val="00D74837"/>
    <w:rsid w:val="00D756AF"/>
    <w:rsid w:val="00D756E7"/>
    <w:rsid w:val="00D75B55"/>
    <w:rsid w:val="00D7627C"/>
    <w:rsid w:val="00D769C1"/>
    <w:rsid w:val="00D77014"/>
    <w:rsid w:val="00D77282"/>
    <w:rsid w:val="00D778FA"/>
    <w:rsid w:val="00D77E54"/>
    <w:rsid w:val="00D8095C"/>
    <w:rsid w:val="00D812A1"/>
    <w:rsid w:val="00D815EC"/>
    <w:rsid w:val="00D81A07"/>
    <w:rsid w:val="00D82149"/>
    <w:rsid w:val="00D82534"/>
    <w:rsid w:val="00D83B96"/>
    <w:rsid w:val="00D84018"/>
    <w:rsid w:val="00D84190"/>
    <w:rsid w:val="00D8469D"/>
    <w:rsid w:val="00D84FAA"/>
    <w:rsid w:val="00D8634E"/>
    <w:rsid w:val="00D87040"/>
    <w:rsid w:val="00D87649"/>
    <w:rsid w:val="00D90462"/>
    <w:rsid w:val="00D90872"/>
    <w:rsid w:val="00D90A76"/>
    <w:rsid w:val="00D91E51"/>
    <w:rsid w:val="00D93292"/>
    <w:rsid w:val="00D95731"/>
    <w:rsid w:val="00D958B5"/>
    <w:rsid w:val="00D960F2"/>
    <w:rsid w:val="00D969F4"/>
    <w:rsid w:val="00D97B47"/>
    <w:rsid w:val="00DA0277"/>
    <w:rsid w:val="00DA0A26"/>
    <w:rsid w:val="00DA0E5F"/>
    <w:rsid w:val="00DA124A"/>
    <w:rsid w:val="00DA1592"/>
    <w:rsid w:val="00DA18FD"/>
    <w:rsid w:val="00DA2048"/>
    <w:rsid w:val="00DA4E6A"/>
    <w:rsid w:val="00DA513F"/>
    <w:rsid w:val="00DA5BF3"/>
    <w:rsid w:val="00DA7D42"/>
    <w:rsid w:val="00DB17A1"/>
    <w:rsid w:val="00DB1B7B"/>
    <w:rsid w:val="00DB1F22"/>
    <w:rsid w:val="00DB24C1"/>
    <w:rsid w:val="00DB34E2"/>
    <w:rsid w:val="00DB3CA2"/>
    <w:rsid w:val="00DB41EB"/>
    <w:rsid w:val="00DB4B1F"/>
    <w:rsid w:val="00DB50C0"/>
    <w:rsid w:val="00DB519C"/>
    <w:rsid w:val="00DB6023"/>
    <w:rsid w:val="00DB6E60"/>
    <w:rsid w:val="00DB7C0C"/>
    <w:rsid w:val="00DC09B2"/>
    <w:rsid w:val="00DC1B9A"/>
    <w:rsid w:val="00DC2B42"/>
    <w:rsid w:val="00DC2E48"/>
    <w:rsid w:val="00DC3232"/>
    <w:rsid w:val="00DC3B23"/>
    <w:rsid w:val="00DC3CEA"/>
    <w:rsid w:val="00DC40C6"/>
    <w:rsid w:val="00DC451F"/>
    <w:rsid w:val="00DC47CD"/>
    <w:rsid w:val="00DC4BFA"/>
    <w:rsid w:val="00DC4C82"/>
    <w:rsid w:val="00DC52EE"/>
    <w:rsid w:val="00DC590A"/>
    <w:rsid w:val="00DC645C"/>
    <w:rsid w:val="00DC6961"/>
    <w:rsid w:val="00DD0310"/>
    <w:rsid w:val="00DD2D64"/>
    <w:rsid w:val="00DD349C"/>
    <w:rsid w:val="00DD3B55"/>
    <w:rsid w:val="00DD4688"/>
    <w:rsid w:val="00DD5EEE"/>
    <w:rsid w:val="00DD6A4E"/>
    <w:rsid w:val="00DD7643"/>
    <w:rsid w:val="00DD7A95"/>
    <w:rsid w:val="00DE0280"/>
    <w:rsid w:val="00DE1307"/>
    <w:rsid w:val="00DE13E9"/>
    <w:rsid w:val="00DE1B88"/>
    <w:rsid w:val="00DE1C68"/>
    <w:rsid w:val="00DE3087"/>
    <w:rsid w:val="00DE533B"/>
    <w:rsid w:val="00DE5606"/>
    <w:rsid w:val="00DE56D3"/>
    <w:rsid w:val="00DE5B7C"/>
    <w:rsid w:val="00DE692C"/>
    <w:rsid w:val="00DE74DB"/>
    <w:rsid w:val="00DF043D"/>
    <w:rsid w:val="00DF0E02"/>
    <w:rsid w:val="00DF4138"/>
    <w:rsid w:val="00DF5556"/>
    <w:rsid w:val="00DF605D"/>
    <w:rsid w:val="00DF61FF"/>
    <w:rsid w:val="00DF6264"/>
    <w:rsid w:val="00DF70C9"/>
    <w:rsid w:val="00DF781A"/>
    <w:rsid w:val="00DF7AA4"/>
    <w:rsid w:val="00DF7B01"/>
    <w:rsid w:val="00E02E0F"/>
    <w:rsid w:val="00E02EDD"/>
    <w:rsid w:val="00E03630"/>
    <w:rsid w:val="00E0396C"/>
    <w:rsid w:val="00E0579F"/>
    <w:rsid w:val="00E05B6C"/>
    <w:rsid w:val="00E070A7"/>
    <w:rsid w:val="00E10011"/>
    <w:rsid w:val="00E108A6"/>
    <w:rsid w:val="00E11CA4"/>
    <w:rsid w:val="00E1289E"/>
    <w:rsid w:val="00E128B5"/>
    <w:rsid w:val="00E12ACA"/>
    <w:rsid w:val="00E12EDA"/>
    <w:rsid w:val="00E13208"/>
    <w:rsid w:val="00E13326"/>
    <w:rsid w:val="00E138F7"/>
    <w:rsid w:val="00E14059"/>
    <w:rsid w:val="00E1553D"/>
    <w:rsid w:val="00E15CC4"/>
    <w:rsid w:val="00E15D53"/>
    <w:rsid w:val="00E1613A"/>
    <w:rsid w:val="00E1632A"/>
    <w:rsid w:val="00E1716A"/>
    <w:rsid w:val="00E174DE"/>
    <w:rsid w:val="00E2081D"/>
    <w:rsid w:val="00E212A8"/>
    <w:rsid w:val="00E218F5"/>
    <w:rsid w:val="00E21A2D"/>
    <w:rsid w:val="00E221BA"/>
    <w:rsid w:val="00E222D9"/>
    <w:rsid w:val="00E22A64"/>
    <w:rsid w:val="00E22BC6"/>
    <w:rsid w:val="00E239FC"/>
    <w:rsid w:val="00E25595"/>
    <w:rsid w:val="00E267E9"/>
    <w:rsid w:val="00E26AA2"/>
    <w:rsid w:val="00E26DB4"/>
    <w:rsid w:val="00E2722C"/>
    <w:rsid w:val="00E3046C"/>
    <w:rsid w:val="00E30E3A"/>
    <w:rsid w:val="00E32778"/>
    <w:rsid w:val="00E32B5E"/>
    <w:rsid w:val="00E35B37"/>
    <w:rsid w:val="00E35B3B"/>
    <w:rsid w:val="00E35D10"/>
    <w:rsid w:val="00E35F6B"/>
    <w:rsid w:val="00E366C2"/>
    <w:rsid w:val="00E37618"/>
    <w:rsid w:val="00E40731"/>
    <w:rsid w:val="00E40810"/>
    <w:rsid w:val="00E40C6A"/>
    <w:rsid w:val="00E422CA"/>
    <w:rsid w:val="00E43173"/>
    <w:rsid w:val="00E43259"/>
    <w:rsid w:val="00E43B67"/>
    <w:rsid w:val="00E44128"/>
    <w:rsid w:val="00E44229"/>
    <w:rsid w:val="00E446D4"/>
    <w:rsid w:val="00E44FB7"/>
    <w:rsid w:val="00E45BF1"/>
    <w:rsid w:val="00E45EA4"/>
    <w:rsid w:val="00E46566"/>
    <w:rsid w:val="00E470D7"/>
    <w:rsid w:val="00E47A8D"/>
    <w:rsid w:val="00E47B38"/>
    <w:rsid w:val="00E5036B"/>
    <w:rsid w:val="00E50684"/>
    <w:rsid w:val="00E507B7"/>
    <w:rsid w:val="00E50957"/>
    <w:rsid w:val="00E50DCC"/>
    <w:rsid w:val="00E5137A"/>
    <w:rsid w:val="00E5206B"/>
    <w:rsid w:val="00E53CC4"/>
    <w:rsid w:val="00E55089"/>
    <w:rsid w:val="00E55DB3"/>
    <w:rsid w:val="00E567A7"/>
    <w:rsid w:val="00E56B53"/>
    <w:rsid w:val="00E60CC9"/>
    <w:rsid w:val="00E614D7"/>
    <w:rsid w:val="00E6193F"/>
    <w:rsid w:val="00E61DF9"/>
    <w:rsid w:val="00E6364B"/>
    <w:rsid w:val="00E6422B"/>
    <w:rsid w:val="00E64521"/>
    <w:rsid w:val="00E645C7"/>
    <w:rsid w:val="00E65D43"/>
    <w:rsid w:val="00E66274"/>
    <w:rsid w:val="00E66899"/>
    <w:rsid w:val="00E66904"/>
    <w:rsid w:val="00E67418"/>
    <w:rsid w:val="00E67D62"/>
    <w:rsid w:val="00E70265"/>
    <w:rsid w:val="00E70EA3"/>
    <w:rsid w:val="00E71427"/>
    <w:rsid w:val="00E71900"/>
    <w:rsid w:val="00E71C88"/>
    <w:rsid w:val="00E720C2"/>
    <w:rsid w:val="00E7229A"/>
    <w:rsid w:val="00E729C8"/>
    <w:rsid w:val="00E742EB"/>
    <w:rsid w:val="00E74863"/>
    <w:rsid w:val="00E7585A"/>
    <w:rsid w:val="00E768E2"/>
    <w:rsid w:val="00E7701C"/>
    <w:rsid w:val="00E77E4C"/>
    <w:rsid w:val="00E800B7"/>
    <w:rsid w:val="00E8020E"/>
    <w:rsid w:val="00E80E48"/>
    <w:rsid w:val="00E81896"/>
    <w:rsid w:val="00E819A1"/>
    <w:rsid w:val="00E84A08"/>
    <w:rsid w:val="00E84CDC"/>
    <w:rsid w:val="00E85C37"/>
    <w:rsid w:val="00E86759"/>
    <w:rsid w:val="00E86774"/>
    <w:rsid w:val="00E867C6"/>
    <w:rsid w:val="00E86E4B"/>
    <w:rsid w:val="00E87C72"/>
    <w:rsid w:val="00E90D39"/>
    <w:rsid w:val="00E920BD"/>
    <w:rsid w:val="00E92CC0"/>
    <w:rsid w:val="00E93973"/>
    <w:rsid w:val="00E93D4E"/>
    <w:rsid w:val="00E94A40"/>
    <w:rsid w:val="00E94C0D"/>
    <w:rsid w:val="00E95166"/>
    <w:rsid w:val="00E95372"/>
    <w:rsid w:val="00E96781"/>
    <w:rsid w:val="00E96843"/>
    <w:rsid w:val="00E96AA9"/>
    <w:rsid w:val="00E96B32"/>
    <w:rsid w:val="00EA0C01"/>
    <w:rsid w:val="00EA165F"/>
    <w:rsid w:val="00EA1F5A"/>
    <w:rsid w:val="00EA2443"/>
    <w:rsid w:val="00EA3056"/>
    <w:rsid w:val="00EA4253"/>
    <w:rsid w:val="00EA4560"/>
    <w:rsid w:val="00EA7294"/>
    <w:rsid w:val="00EA7761"/>
    <w:rsid w:val="00EA7EC2"/>
    <w:rsid w:val="00EB0DCF"/>
    <w:rsid w:val="00EB0E36"/>
    <w:rsid w:val="00EB19E4"/>
    <w:rsid w:val="00EB252A"/>
    <w:rsid w:val="00EB3A1F"/>
    <w:rsid w:val="00EB3B4D"/>
    <w:rsid w:val="00EB4069"/>
    <w:rsid w:val="00EB42E5"/>
    <w:rsid w:val="00EB48E3"/>
    <w:rsid w:val="00EB5248"/>
    <w:rsid w:val="00EB52BE"/>
    <w:rsid w:val="00EB556E"/>
    <w:rsid w:val="00EB5CB9"/>
    <w:rsid w:val="00EB637B"/>
    <w:rsid w:val="00EC01C4"/>
    <w:rsid w:val="00EC0815"/>
    <w:rsid w:val="00EC10A1"/>
    <w:rsid w:val="00EC1312"/>
    <w:rsid w:val="00EC1D1D"/>
    <w:rsid w:val="00EC1EA4"/>
    <w:rsid w:val="00EC2E8D"/>
    <w:rsid w:val="00EC3261"/>
    <w:rsid w:val="00EC36FA"/>
    <w:rsid w:val="00EC3805"/>
    <w:rsid w:val="00EC44BD"/>
    <w:rsid w:val="00EC4ECD"/>
    <w:rsid w:val="00EC7276"/>
    <w:rsid w:val="00EC73A9"/>
    <w:rsid w:val="00EC75A7"/>
    <w:rsid w:val="00EC7839"/>
    <w:rsid w:val="00ED1CC5"/>
    <w:rsid w:val="00ED2025"/>
    <w:rsid w:val="00ED2693"/>
    <w:rsid w:val="00ED2958"/>
    <w:rsid w:val="00ED4A5B"/>
    <w:rsid w:val="00ED5CF8"/>
    <w:rsid w:val="00ED5E5E"/>
    <w:rsid w:val="00ED6A7D"/>
    <w:rsid w:val="00ED733A"/>
    <w:rsid w:val="00ED76CF"/>
    <w:rsid w:val="00ED776E"/>
    <w:rsid w:val="00ED7AA7"/>
    <w:rsid w:val="00EE0E73"/>
    <w:rsid w:val="00EE1DB7"/>
    <w:rsid w:val="00EE227E"/>
    <w:rsid w:val="00EE28D3"/>
    <w:rsid w:val="00EE3B70"/>
    <w:rsid w:val="00EE661A"/>
    <w:rsid w:val="00EE67BB"/>
    <w:rsid w:val="00EE6A0C"/>
    <w:rsid w:val="00EE6E19"/>
    <w:rsid w:val="00EF0083"/>
    <w:rsid w:val="00EF055E"/>
    <w:rsid w:val="00EF0921"/>
    <w:rsid w:val="00EF0B56"/>
    <w:rsid w:val="00EF145B"/>
    <w:rsid w:val="00EF1E46"/>
    <w:rsid w:val="00EF2326"/>
    <w:rsid w:val="00EF3B88"/>
    <w:rsid w:val="00EF3E8F"/>
    <w:rsid w:val="00EF41F1"/>
    <w:rsid w:val="00EF4F0D"/>
    <w:rsid w:val="00EF5CA9"/>
    <w:rsid w:val="00EF7419"/>
    <w:rsid w:val="00EF77EC"/>
    <w:rsid w:val="00EF795E"/>
    <w:rsid w:val="00F00773"/>
    <w:rsid w:val="00F0110B"/>
    <w:rsid w:val="00F0316C"/>
    <w:rsid w:val="00F03BFB"/>
    <w:rsid w:val="00F053FE"/>
    <w:rsid w:val="00F06282"/>
    <w:rsid w:val="00F0755A"/>
    <w:rsid w:val="00F07976"/>
    <w:rsid w:val="00F07E03"/>
    <w:rsid w:val="00F10687"/>
    <w:rsid w:val="00F11546"/>
    <w:rsid w:val="00F119BA"/>
    <w:rsid w:val="00F13823"/>
    <w:rsid w:val="00F13DE8"/>
    <w:rsid w:val="00F143AE"/>
    <w:rsid w:val="00F14990"/>
    <w:rsid w:val="00F15A37"/>
    <w:rsid w:val="00F161BC"/>
    <w:rsid w:val="00F16AEA"/>
    <w:rsid w:val="00F16E99"/>
    <w:rsid w:val="00F170CF"/>
    <w:rsid w:val="00F17193"/>
    <w:rsid w:val="00F174B5"/>
    <w:rsid w:val="00F175AE"/>
    <w:rsid w:val="00F17F93"/>
    <w:rsid w:val="00F206DB"/>
    <w:rsid w:val="00F209FA"/>
    <w:rsid w:val="00F21155"/>
    <w:rsid w:val="00F22C80"/>
    <w:rsid w:val="00F22D1D"/>
    <w:rsid w:val="00F237BA"/>
    <w:rsid w:val="00F23E52"/>
    <w:rsid w:val="00F244CC"/>
    <w:rsid w:val="00F24F9A"/>
    <w:rsid w:val="00F25FE5"/>
    <w:rsid w:val="00F27917"/>
    <w:rsid w:val="00F30583"/>
    <w:rsid w:val="00F30CF7"/>
    <w:rsid w:val="00F30FFE"/>
    <w:rsid w:val="00F31292"/>
    <w:rsid w:val="00F31BC4"/>
    <w:rsid w:val="00F32AF7"/>
    <w:rsid w:val="00F3450F"/>
    <w:rsid w:val="00F34808"/>
    <w:rsid w:val="00F3491F"/>
    <w:rsid w:val="00F34CCE"/>
    <w:rsid w:val="00F35597"/>
    <w:rsid w:val="00F357A6"/>
    <w:rsid w:val="00F358C3"/>
    <w:rsid w:val="00F366B8"/>
    <w:rsid w:val="00F36979"/>
    <w:rsid w:val="00F36C56"/>
    <w:rsid w:val="00F36EDA"/>
    <w:rsid w:val="00F371C2"/>
    <w:rsid w:val="00F4097B"/>
    <w:rsid w:val="00F40C7D"/>
    <w:rsid w:val="00F413CD"/>
    <w:rsid w:val="00F4440F"/>
    <w:rsid w:val="00F44954"/>
    <w:rsid w:val="00F452E7"/>
    <w:rsid w:val="00F45940"/>
    <w:rsid w:val="00F45C03"/>
    <w:rsid w:val="00F45FE0"/>
    <w:rsid w:val="00F47397"/>
    <w:rsid w:val="00F47952"/>
    <w:rsid w:val="00F47957"/>
    <w:rsid w:val="00F47CEB"/>
    <w:rsid w:val="00F50213"/>
    <w:rsid w:val="00F506FC"/>
    <w:rsid w:val="00F508A8"/>
    <w:rsid w:val="00F508DC"/>
    <w:rsid w:val="00F50A34"/>
    <w:rsid w:val="00F50B32"/>
    <w:rsid w:val="00F5176A"/>
    <w:rsid w:val="00F52FF9"/>
    <w:rsid w:val="00F536BC"/>
    <w:rsid w:val="00F53C55"/>
    <w:rsid w:val="00F54105"/>
    <w:rsid w:val="00F547FE"/>
    <w:rsid w:val="00F54DD6"/>
    <w:rsid w:val="00F559C7"/>
    <w:rsid w:val="00F5614F"/>
    <w:rsid w:val="00F56547"/>
    <w:rsid w:val="00F578A2"/>
    <w:rsid w:val="00F605B5"/>
    <w:rsid w:val="00F60A7F"/>
    <w:rsid w:val="00F62231"/>
    <w:rsid w:val="00F63C73"/>
    <w:rsid w:val="00F6454B"/>
    <w:rsid w:val="00F64A39"/>
    <w:rsid w:val="00F65F07"/>
    <w:rsid w:val="00F67337"/>
    <w:rsid w:val="00F702CC"/>
    <w:rsid w:val="00F71ADD"/>
    <w:rsid w:val="00F71B1A"/>
    <w:rsid w:val="00F71DC8"/>
    <w:rsid w:val="00F72AD8"/>
    <w:rsid w:val="00F73EEC"/>
    <w:rsid w:val="00F748E5"/>
    <w:rsid w:val="00F74992"/>
    <w:rsid w:val="00F76867"/>
    <w:rsid w:val="00F77021"/>
    <w:rsid w:val="00F77FB7"/>
    <w:rsid w:val="00F80E9C"/>
    <w:rsid w:val="00F816C3"/>
    <w:rsid w:val="00F82172"/>
    <w:rsid w:val="00F8258D"/>
    <w:rsid w:val="00F82852"/>
    <w:rsid w:val="00F828E4"/>
    <w:rsid w:val="00F83073"/>
    <w:rsid w:val="00F8331A"/>
    <w:rsid w:val="00F83892"/>
    <w:rsid w:val="00F8424F"/>
    <w:rsid w:val="00F84A60"/>
    <w:rsid w:val="00F84B5A"/>
    <w:rsid w:val="00F851AB"/>
    <w:rsid w:val="00F8562F"/>
    <w:rsid w:val="00F8599D"/>
    <w:rsid w:val="00F85B22"/>
    <w:rsid w:val="00F86117"/>
    <w:rsid w:val="00F8621F"/>
    <w:rsid w:val="00F863C9"/>
    <w:rsid w:val="00F864A3"/>
    <w:rsid w:val="00F86AE5"/>
    <w:rsid w:val="00F90633"/>
    <w:rsid w:val="00F9180A"/>
    <w:rsid w:val="00F92DE5"/>
    <w:rsid w:val="00F931A4"/>
    <w:rsid w:val="00F93221"/>
    <w:rsid w:val="00F94A65"/>
    <w:rsid w:val="00F95165"/>
    <w:rsid w:val="00F96AE9"/>
    <w:rsid w:val="00F96B29"/>
    <w:rsid w:val="00F971A3"/>
    <w:rsid w:val="00FA0344"/>
    <w:rsid w:val="00FA0489"/>
    <w:rsid w:val="00FA1093"/>
    <w:rsid w:val="00FA1458"/>
    <w:rsid w:val="00FA167E"/>
    <w:rsid w:val="00FA1A23"/>
    <w:rsid w:val="00FA1A2A"/>
    <w:rsid w:val="00FA1A57"/>
    <w:rsid w:val="00FA1BC7"/>
    <w:rsid w:val="00FA1DC2"/>
    <w:rsid w:val="00FA256E"/>
    <w:rsid w:val="00FA35D0"/>
    <w:rsid w:val="00FA3606"/>
    <w:rsid w:val="00FA3BE6"/>
    <w:rsid w:val="00FA3FD4"/>
    <w:rsid w:val="00FA6A4D"/>
    <w:rsid w:val="00FA742C"/>
    <w:rsid w:val="00FB03E1"/>
    <w:rsid w:val="00FB10F1"/>
    <w:rsid w:val="00FB1185"/>
    <w:rsid w:val="00FB12E5"/>
    <w:rsid w:val="00FB1ACC"/>
    <w:rsid w:val="00FB1DB8"/>
    <w:rsid w:val="00FB2A62"/>
    <w:rsid w:val="00FB3479"/>
    <w:rsid w:val="00FB39F6"/>
    <w:rsid w:val="00FB5180"/>
    <w:rsid w:val="00FB5327"/>
    <w:rsid w:val="00FB53A0"/>
    <w:rsid w:val="00FB645B"/>
    <w:rsid w:val="00FB6640"/>
    <w:rsid w:val="00FB692D"/>
    <w:rsid w:val="00FB6ABB"/>
    <w:rsid w:val="00FB71E5"/>
    <w:rsid w:val="00FB75C0"/>
    <w:rsid w:val="00FB7E5A"/>
    <w:rsid w:val="00FC005F"/>
    <w:rsid w:val="00FC0BFF"/>
    <w:rsid w:val="00FC0F50"/>
    <w:rsid w:val="00FC16A0"/>
    <w:rsid w:val="00FC19DA"/>
    <w:rsid w:val="00FC3367"/>
    <w:rsid w:val="00FC377B"/>
    <w:rsid w:val="00FC38DD"/>
    <w:rsid w:val="00FC4404"/>
    <w:rsid w:val="00FC443D"/>
    <w:rsid w:val="00FC4DFE"/>
    <w:rsid w:val="00FC519F"/>
    <w:rsid w:val="00FC5473"/>
    <w:rsid w:val="00FC556F"/>
    <w:rsid w:val="00FC603C"/>
    <w:rsid w:val="00FC6757"/>
    <w:rsid w:val="00FC6921"/>
    <w:rsid w:val="00FC6FEC"/>
    <w:rsid w:val="00FC7DF4"/>
    <w:rsid w:val="00FD10D2"/>
    <w:rsid w:val="00FD1583"/>
    <w:rsid w:val="00FD1715"/>
    <w:rsid w:val="00FD1823"/>
    <w:rsid w:val="00FD195E"/>
    <w:rsid w:val="00FD2466"/>
    <w:rsid w:val="00FD28BE"/>
    <w:rsid w:val="00FD2CEA"/>
    <w:rsid w:val="00FD2E60"/>
    <w:rsid w:val="00FD35A0"/>
    <w:rsid w:val="00FD377D"/>
    <w:rsid w:val="00FD54FC"/>
    <w:rsid w:val="00FD58B2"/>
    <w:rsid w:val="00FD6447"/>
    <w:rsid w:val="00FE0FE0"/>
    <w:rsid w:val="00FE13AF"/>
    <w:rsid w:val="00FE1AB9"/>
    <w:rsid w:val="00FE1F9F"/>
    <w:rsid w:val="00FE21FD"/>
    <w:rsid w:val="00FE2A65"/>
    <w:rsid w:val="00FE375B"/>
    <w:rsid w:val="00FE37D3"/>
    <w:rsid w:val="00FE3E44"/>
    <w:rsid w:val="00FE4082"/>
    <w:rsid w:val="00FE454B"/>
    <w:rsid w:val="00FE4DD3"/>
    <w:rsid w:val="00FE4E62"/>
    <w:rsid w:val="00FE5267"/>
    <w:rsid w:val="00FE5AA0"/>
    <w:rsid w:val="00FE5BB3"/>
    <w:rsid w:val="00FE6B8B"/>
    <w:rsid w:val="00FE7909"/>
    <w:rsid w:val="00FF0203"/>
    <w:rsid w:val="00FF0295"/>
    <w:rsid w:val="00FF0B6D"/>
    <w:rsid w:val="00FF1377"/>
    <w:rsid w:val="00FF1BE7"/>
    <w:rsid w:val="00FF1F77"/>
    <w:rsid w:val="00FF28CE"/>
    <w:rsid w:val="00FF3383"/>
    <w:rsid w:val="00FF3F55"/>
    <w:rsid w:val="00FF3FB3"/>
    <w:rsid w:val="00FF40F6"/>
    <w:rsid w:val="00FF45C0"/>
    <w:rsid w:val="00FF5800"/>
    <w:rsid w:val="00FF5C97"/>
    <w:rsid w:val="00FF6258"/>
    <w:rsid w:val="00FF636A"/>
    <w:rsid w:val="00FF63EB"/>
    <w:rsid w:val="00FF65C6"/>
    <w:rsid w:val="00FF7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A9"/>
  </w:style>
  <w:style w:type="paragraph" w:styleId="Heading1">
    <w:name w:val="heading 1"/>
    <w:basedOn w:val="Normal"/>
    <w:link w:val="Heading1Char"/>
    <w:uiPriority w:val="9"/>
    <w:qFormat/>
    <w:rsid w:val="0001737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14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4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14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0839C8"/>
    <w:pPr>
      <w:spacing w:before="240" w:after="60" w:line="240" w:lineRule="auto"/>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166"/>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E95166"/>
    <w:rPr>
      <w:i/>
      <w:iCs/>
    </w:rPr>
  </w:style>
  <w:style w:type="character" w:customStyle="1" w:styleId="Heading1Char">
    <w:name w:val="Heading 1 Char"/>
    <w:basedOn w:val="DefaultParagraphFont"/>
    <w:link w:val="Heading1"/>
    <w:uiPriority w:val="9"/>
    <w:rsid w:val="0001737A"/>
    <w:rPr>
      <w:rFonts w:ascii="Times New Roman" w:eastAsia="Times New Roman" w:hAnsi="Times New Roman" w:cs="Times New Roman"/>
      <w:b/>
      <w:bCs/>
      <w:kern w:val="36"/>
      <w:sz w:val="48"/>
      <w:szCs w:val="48"/>
    </w:rPr>
  </w:style>
  <w:style w:type="table" w:styleId="TableGrid">
    <w:name w:val="Table Grid"/>
    <w:basedOn w:val="TableNormal"/>
    <w:uiPriority w:val="59"/>
    <w:rsid w:val="00AF5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14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4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14E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714EE"/>
    <w:rPr>
      <w:color w:val="0000FF"/>
      <w:u w:val="single"/>
    </w:rPr>
  </w:style>
  <w:style w:type="paragraph" w:styleId="ListParagraph">
    <w:name w:val="List Paragraph"/>
    <w:basedOn w:val="Normal"/>
    <w:uiPriority w:val="34"/>
    <w:qFormat/>
    <w:rsid w:val="004347F6"/>
    <w:pPr>
      <w:ind w:left="720"/>
      <w:contextualSpacing/>
    </w:pPr>
  </w:style>
  <w:style w:type="character" w:styleId="Strong">
    <w:name w:val="Strong"/>
    <w:basedOn w:val="DefaultParagraphFont"/>
    <w:uiPriority w:val="22"/>
    <w:qFormat/>
    <w:rsid w:val="00DC2B42"/>
    <w:rPr>
      <w:rFonts w:ascii="Times New Roman" w:hAnsi="Times New Roman" w:cs="Times New Roman" w:hint="default"/>
      <w:b/>
      <w:bCs/>
    </w:rPr>
  </w:style>
  <w:style w:type="paragraph" w:styleId="NoSpacing">
    <w:name w:val="No Spacing"/>
    <w:link w:val="NoSpacingChar"/>
    <w:uiPriority w:val="1"/>
    <w:qFormat/>
    <w:rsid w:val="006E7F5B"/>
    <w:pPr>
      <w:spacing w:after="0" w:line="240" w:lineRule="auto"/>
    </w:pPr>
  </w:style>
  <w:style w:type="character" w:customStyle="1" w:styleId="NoSpacingChar">
    <w:name w:val="No Spacing Char"/>
    <w:basedOn w:val="DefaultParagraphFont"/>
    <w:link w:val="NoSpacing"/>
    <w:uiPriority w:val="1"/>
    <w:rsid w:val="006E7F5B"/>
    <w:rPr>
      <w:rFonts w:eastAsiaTheme="minorEastAsia"/>
    </w:rPr>
  </w:style>
  <w:style w:type="paragraph" w:styleId="BalloonText">
    <w:name w:val="Balloon Text"/>
    <w:basedOn w:val="Normal"/>
    <w:link w:val="BalloonTextChar"/>
    <w:uiPriority w:val="99"/>
    <w:semiHidden/>
    <w:unhideWhenUsed/>
    <w:rsid w:val="006E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5B"/>
    <w:rPr>
      <w:rFonts w:ascii="Tahoma" w:hAnsi="Tahoma" w:cs="Tahoma"/>
      <w:sz w:val="16"/>
      <w:szCs w:val="16"/>
    </w:rPr>
  </w:style>
  <w:style w:type="paragraph" w:styleId="Header">
    <w:name w:val="header"/>
    <w:basedOn w:val="Normal"/>
    <w:link w:val="HeaderChar"/>
    <w:uiPriority w:val="99"/>
    <w:unhideWhenUsed/>
    <w:rsid w:val="0022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7C"/>
  </w:style>
  <w:style w:type="paragraph" w:styleId="Footer">
    <w:name w:val="footer"/>
    <w:basedOn w:val="Normal"/>
    <w:link w:val="FooterChar"/>
    <w:uiPriority w:val="99"/>
    <w:unhideWhenUsed/>
    <w:rsid w:val="0022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7C"/>
  </w:style>
  <w:style w:type="paragraph" w:customStyle="1" w:styleId="Default">
    <w:name w:val="Default"/>
    <w:rsid w:val="00CF5954"/>
    <w:pPr>
      <w:autoSpaceDE w:val="0"/>
      <w:autoSpaceDN w:val="0"/>
      <w:adjustRightInd w:val="0"/>
      <w:spacing w:after="0" w:line="240" w:lineRule="auto"/>
    </w:pPr>
    <w:rPr>
      <w:rFonts w:ascii="Arial" w:hAnsi="Arial" w:cs="Arial"/>
      <w:color w:val="000000"/>
    </w:rPr>
  </w:style>
  <w:style w:type="character" w:customStyle="1" w:styleId="Heading6Char">
    <w:name w:val="Heading 6 Char"/>
    <w:basedOn w:val="DefaultParagraphFont"/>
    <w:link w:val="Heading6"/>
    <w:semiHidden/>
    <w:rsid w:val="000839C8"/>
    <w:rPr>
      <w:rFonts w:ascii="Calibri" w:eastAsia="Times New Roman" w:hAnsi="Calibri" w:cs="Times New Roman"/>
      <w:b/>
      <w:bCs/>
    </w:rPr>
  </w:style>
  <w:style w:type="paragraph" w:styleId="TOCHeading">
    <w:name w:val="TOC Heading"/>
    <w:basedOn w:val="Heading1"/>
    <w:next w:val="Normal"/>
    <w:uiPriority w:val="39"/>
    <w:semiHidden/>
    <w:unhideWhenUsed/>
    <w:qFormat/>
    <w:rsid w:val="00C066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06650"/>
    <w:pPr>
      <w:spacing w:after="100"/>
    </w:pPr>
  </w:style>
  <w:style w:type="paragraph" w:styleId="BodyText">
    <w:name w:val="Body Text"/>
    <w:basedOn w:val="Normal"/>
    <w:link w:val="BodyTextChar"/>
    <w:rsid w:val="006C33A0"/>
    <w:pPr>
      <w:spacing w:after="0" w:line="240" w:lineRule="auto"/>
      <w:jc w:val="both"/>
    </w:pPr>
    <w:rPr>
      <w:rFonts w:eastAsia="Times New Roman"/>
    </w:rPr>
  </w:style>
  <w:style w:type="character" w:customStyle="1" w:styleId="BodyTextChar">
    <w:name w:val="Body Text Char"/>
    <w:basedOn w:val="DefaultParagraphFont"/>
    <w:link w:val="BodyText"/>
    <w:rsid w:val="006C33A0"/>
    <w:rPr>
      <w:rFonts w:eastAsia="Times New Roman"/>
    </w:rPr>
  </w:style>
  <w:style w:type="character" w:styleId="CommentReference">
    <w:name w:val="annotation reference"/>
    <w:basedOn w:val="DefaultParagraphFont"/>
    <w:uiPriority w:val="99"/>
    <w:semiHidden/>
    <w:unhideWhenUsed/>
    <w:rsid w:val="009633E5"/>
    <w:rPr>
      <w:sz w:val="16"/>
      <w:szCs w:val="16"/>
    </w:rPr>
  </w:style>
  <w:style w:type="paragraph" w:styleId="CommentText">
    <w:name w:val="annotation text"/>
    <w:basedOn w:val="Normal"/>
    <w:link w:val="CommentTextChar"/>
    <w:uiPriority w:val="99"/>
    <w:semiHidden/>
    <w:unhideWhenUsed/>
    <w:rsid w:val="009633E5"/>
    <w:pPr>
      <w:spacing w:line="240" w:lineRule="auto"/>
    </w:pPr>
    <w:rPr>
      <w:sz w:val="20"/>
      <w:szCs w:val="20"/>
    </w:rPr>
  </w:style>
  <w:style w:type="character" w:customStyle="1" w:styleId="CommentTextChar">
    <w:name w:val="Comment Text Char"/>
    <w:basedOn w:val="DefaultParagraphFont"/>
    <w:link w:val="CommentText"/>
    <w:uiPriority w:val="99"/>
    <w:semiHidden/>
    <w:rsid w:val="009633E5"/>
    <w:rPr>
      <w:sz w:val="20"/>
      <w:szCs w:val="20"/>
    </w:rPr>
  </w:style>
  <w:style w:type="paragraph" w:styleId="CommentSubject">
    <w:name w:val="annotation subject"/>
    <w:basedOn w:val="CommentText"/>
    <w:next w:val="CommentText"/>
    <w:link w:val="CommentSubjectChar"/>
    <w:uiPriority w:val="99"/>
    <w:semiHidden/>
    <w:unhideWhenUsed/>
    <w:rsid w:val="009633E5"/>
    <w:rPr>
      <w:b/>
      <w:bCs/>
    </w:rPr>
  </w:style>
  <w:style w:type="character" w:customStyle="1" w:styleId="CommentSubjectChar">
    <w:name w:val="Comment Subject Char"/>
    <w:basedOn w:val="CommentTextChar"/>
    <w:link w:val="CommentSubject"/>
    <w:uiPriority w:val="99"/>
    <w:semiHidden/>
    <w:rsid w:val="009633E5"/>
    <w:rPr>
      <w:b/>
      <w:bCs/>
      <w:sz w:val="20"/>
      <w:szCs w:val="20"/>
    </w:rPr>
  </w:style>
  <w:style w:type="table" w:customStyle="1" w:styleId="LightShading1">
    <w:name w:val="Light Shading1"/>
    <w:basedOn w:val="TableNormal"/>
    <w:uiPriority w:val="60"/>
    <w:rsid w:val="00BB32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4805">
      <w:bodyDiv w:val="1"/>
      <w:marLeft w:val="5"/>
      <w:marRight w:val="15"/>
      <w:marTop w:val="0"/>
      <w:marBottom w:val="0"/>
      <w:divBdr>
        <w:top w:val="none" w:sz="0" w:space="0" w:color="auto"/>
        <w:left w:val="none" w:sz="0" w:space="0" w:color="auto"/>
        <w:bottom w:val="none" w:sz="0" w:space="0" w:color="auto"/>
        <w:right w:val="none" w:sz="0" w:space="0" w:color="auto"/>
      </w:divBdr>
      <w:divsChild>
        <w:div w:id="40117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17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5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2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6883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807586">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1500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969222">
      <w:bodyDiv w:val="1"/>
      <w:marLeft w:val="0"/>
      <w:marRight w:val="0"/>
      <w:marTop w:val="0"/>
      <w:marBottom w:val="0"/>
      <w:divBdr>
        <w:top w:val="none" w:sz="0" w:space="0" w:color="auto"/>
        <w:left w:val="none" w:sz="0" w:space="0" w:color="auto"/>
        <w:bottom w:val="none" w:sz="0" w:space="0" w:color="auto"/>
        <w:right w:val="none" w:sz="0" w:space="0" w:color="auto"/>
      </w:divBdr>
      <w:divsChild>
        <w:div w:id="291641259">
          <w:marLeft w:val="0"/>
          <w:marRight w:val="0"/>
          <w:marTop w:val="0"/>
          <w:marBottom w:val="0"/>
          <w:divBdr>
            <w:top w:val="none" w:sz="0" w:space="0" w:color="auto"/>
            <w:left w:val="none" w:sz="0" w:space="0" w:color="auto"/>
            <w:bottom w:val="none" w:sz="0" w:space="0" w:color="auto"/>
            <w:right w:val="none" w:sz="0" w:space="0" w:color="auto"/>
          </w:divBdr>
          <w:divsChild>
            <w:div w:id="833454063">
              <w:marLeft w:val="0"/>
              <w:marRight w:val="0"/>
              <w:marTop w:val="0"/>
              <w:marBottom w:val="0"/>
              <w:divBdr>
                <w:top w:val="none" w:sz="0" w:space="0" w:color="auto"/>
                <w:left w:val="none" w:sz="0" w:space="0" w:color="auto"/>
                <w:bottom w:val="none" w:sz="0" w:space="0" w:color="auto"/>
                <w:right w:val="none" w:sz="0" w:space="0" w:color="auto"/>
              </w:divBdr>
              <w:divsChild>
                <w:div w:id="366568136">
                  <w:marLeft w:val="0"/>
                  <w:marRight w:val="0"/>
                  <w:marTop w:val="0"/>
                  <w:marBottom w:val="0"/>
                  <w:divBdr>
                    <w:top w:val="none" w:sz="0" w:space="0" w:color="auto"/>
                    <w:left w:val="none" w:sz="0" w:space="0" w:color="auto"/>
                    <w:bottom w:val="none" w:sz="0" w:space="0" w:color="auto"/>
                    <w:right w:val="none" w:sz="0" w:space="0" w:color="auto"/>
                  </w:divBdr>
                  <w:divsChild>
                    <w:div w:id="4758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7530">
      <w:bodyDiv w:val="1"/>
      <w:marLeft w:val="0"/>
      <w:marRight w:val="0"/>
      <w:marTop w:val="0"/>
      <w:marBottom w:val="0"/>
      <w:divBdr>
        <w:top w:val="none" w:sz="0" w:space="0" w:color="auto"/>
        <w:left w:val="none" w:sz="0" w:space="0" w:color="auto"/>
        <w:bottom w:val="none" w:sz="0" w:space="0" w:color="auto"/>
        <w:right w:val="none" w:sz="0" w:space="0" w:color="auto"/>
      </w:divBdr>
    </w:div>
    <w:div w:id="526990081">
      <w:bodyDiv w:val="1"/>
      <w:marLeft w:val="0"/>
      <w:marRight w:val="0"/>
      <w:marTop w:val="0"/>
      <w:marBottom w:val="0"/>
      <w:divBdr>
        <w:top w:val="none" w:sz="0" w:space="0" w:color="auto"/>
        <w:left w:val="none" w:sz="0" w:space="0" w:color="auto"/>
        <w:bottom w:val="none" w:sz="0" w:space="0" w:color="auto"/>
        <w:right w:val="none" w:sz="0" w:space="0" w:color="auto"/>
      </w:divBdr>
    </w:div>
    <w:div w:id="728573768">
      <w:bodyDiv w:val="1"/>
      <w:marLeft w:val="0"/>
      <w:marRight w:val="0"/>
      <w:marTop w:val="0"/>
      <w:marBottom w:val="0"/>
      <w:divBdr>
        <w:top w:val="none" w:sz="0" w:space="0" w:color="auto"/>
        <w:left w:val="none" w:sz="0" w:space="0" w:color="auto"/>
        <w:bottom w:val="none" w:sz="0" w:space="0" w:color="auto"/>
        <w:right w:val="none" w:sz="0" w:space="0" w:color="auto"/>
      </w:divBdr>
      <w:divsChild>
        <w:div w:id="698815557">
          <w:marLeft w:val="0"/>
          <w:marRight w:val="0"/>
          <w:marTop w:val="0"/>
          <w:marBottom w:val="0"/>
          <w:divBdr>
            <w:top w:val="none" w:sz="0" w:space="0" w:color="auto"/>
            <w:left w:val="none" w:sz="0" w:space="0" w:color="auto"/>
            <w:bottom w:val="none" w:sz="0" w:space="0" w:color="auto"/>
            <w:right w:val="none" w:sz="0" w:space="0" w:color="auto"/>
          </w:divBdr>
          <w:divsChild>
            <w:div w:id="1613512816">
              <w:marLeft w:val="0"/>
              <w:marRight w:val="0"/>
              <w:marTop w:val="0"/>
              <w:marBottom w:val="0"/>
              <w:divBdr>
                <w:top w:val="none" w:sz="0" w:space="0" w:color="auto"/>
                <w:left w:val="none" w:sz="0" w:space="0" w:color="auto"/>
                <w:bottom w:val="none" w:sz="0" w:space="0" w:color="auto"/>
                <w:right w:val="none" w:sz="0" w:space="0" w:color="auto"/>
              </w:divBdr>
              <w:divsChild>
                <w:div w:id="1150443729">
                  <w:marLeft w:val="0"/>
                  <w:marRight w:val="0"/>
                  <w:marTop w:val="0"/>
                  <w:marBottom w:val="0"/>
                  <w:divBdr>
                    <w:top w:val="none" w:sz="0" w:space="0" w:color="auto"/>
                    <w:left w:val="none" w:sz="0" w:space="0" w:color="auto"/>
                    <w:bottom w:val="none" w:sz="0" w:space="0" w:color="auto"/>
                    <w:right w:val="none" w:sz="0" w:space="0" w:color="auto"/>
                  </w:divBdr>
                  <w:divsChild>
                    <w:div w:id="457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7252">
      <w:bodyDiv w:val="1"/>
      <w:marLeft w:val="0"/>
      <w:marRight w:val="0"/>
      <w:marTop w:val="0"/>
      <w:marBottom w:val="0"/>
      <w:divBdr>
        <w:top w:val="none" w:sz="0" w:space="0" w:color="auto"/>
        <w:left w:val="none" w:sz="0" w:space="0" w:color="auto"/>
        <w:bottom w:val="none" w:sz="0" w:space="0" w:color="auto"/>
        <w:right w:val="none" w:sz="0" w:space="0" w:color="auto"/>
      </w:divBdr>
    </w:div>
    <w:div w:id="836306839">
      <w:bodyDiv w:val="1"/>
      <w:marLeft w:val="0"/>
      <w:marRight w:val="0"/>
      <w:marTop w:val="0"/>
      <w:marBottom w:val="0"/>
      <w:divBdr>
        <w:top w:val="none" w:sz="0" w:space="0" w:color="auto"/>
        <w:left w:val="none" w:sz="0" w:space="0" w:color="auto"/>
        <w:bottom w:val="none" w:sz="0" w:space="0" w:color="auto"/>
        <w:right w:val="none" w:sz="0" w:space="0" w:color="auto"/>
      </w:divBdr>
    </w:div>
    <w:div w:id="849418771">
      <w:bodyDiv w:val="1"/>
      <w:marLeft w:val="0"/>
      <w:marRight w:val="0"/>
      <w:marTop w:val="0"/>
      <w:marBottom w:val="0"/>
      <w:divBdr>
        <w:top w:val="none" w:sz="0" w:space="0" w:color="auto"/>
        <w:left w:val="none" w:sz="0" w:space="0" w:color="auto"/>
        <w:bottom w:val="none" w:sz="0" w:space="0" w:color="auto"/>
        <w:right w:val="none" w:sz="0" w:space="0" w:color="auto"/>
      </w:divBdr>
    </w:div>
    <w:div w:id="898318570">
      <w:bodyDiv w:val="1"/>
      <w:marLeft w:val="0"/>
      <w:marRight w:val="0"/>
      <w:marTop w:val="0"/>
      <w:marBottom w:val="0"/>
      <w:divBdr>
        <w:top w:val="none" w:sz="0" w:space="0" w:color="auto"/>
        <w:left w:val="none" w:sz="0" w:space="0" w:color="auto"/>
        <w:bottom w:val="none" w:sz="0" w:space="0" w:color="auto"/>
        <w:right w:val="none" w:sz="0" w:space="0" w:color="auto"/>
      </w:divBdr>
      <w:divsChild>
        <w:div w:id="1949239968">
          <w:marLeft w:val="0"/>
          <w:marRight w:val="0"/>
          <w:marTop w:val="0"/>
          <w:marBottom w:val="0"/>
          <w:divBdr>
            <w:top w:val="none" w:sz="0" w:space="0" w:color="auto"/>
            <w:left w:val="none" w:sz="0" w:space="0" w:color="auto"/>
            <w:bottom w:val="none" w:sz="0" w:space="0" w:color="auto"/>
            <w:right w:val="none" w:sz="0" w:space="0" w:color="auto"/>
          </w:divBdr>
          <w:divsChild>
            <w:div w:id="366561772">
              <w:marLeft w:val="0"/>
              <w:marRight w:val="0"/>
              <w:marTop w:val="0"/>
              <w:marBottom w:val="0"/>
              <w:divBdr>
                <w:top w:val="none" w:sz="0" w:space="0" w:color="auto"/>
                <w:left w:val="none" w:sz="0" w:space="0" w:color="auto"/>
                <w:bottom w:val="none" w:sz="0" w:space="0" w:color="auto"/>
                <w:right w:val="none" w:sz="0" w:space="0" w:color="auto"/>
              </w:divBdr>
              <w:divsChild>
                <w:div w:id="813302371">
                  <w:marLeft w:val="0"/>
                  <w:marRight w:val="0"/>
                  <w:marTop w:val="0"/>
                  <w:marBottom w:val="0"/>
                  <w:divBdr>
                    <w:top w:val="none" w:sz="0" w:space="0" w:color="auto"/>
                    <w:left w:val="none" w:sz="0" w:space="0" w:color="auto"/>
                    <w:bottom w:val="none" w:sz="0" w:space="0" w:color="auto"/>
                    <w:right w:val="none" w:sz="0" w:space="0" w:color="auto"/>
                  </w:divBdr>
                  <w:divsChild>
                    <w:div w:id="13269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50675">
      <w:bodyDiv w:val="1"/>
      <w:marLeft w:val="0"/>
      <w:marRight w:val="0"/>
      <w:marTop w:val="0"/>
      <w:marBottom w:val="0"/>
      <w:divBdr>
        <w:top w:val="none" w:sz="0" w:space="0" w:color="auto"/>
        <w:left w:val="none" w:sz="0" w:space="0" w:color="auto"/>
        <w:bottom w:val="none" w:sz="0" w:space="0" w:color="auto"/>
        <w:right w:val="none" w:sz="0" w:space="0" w:color="auto"/>
      </w:divBdr>
      <w:divsChild>
        <w:div w:id="42603853">
          <w:marLeft w:val="0"/>
          <w:marRight w:val="0"/>
          <w:marTop w:val="0"/>
          <w:marBottom w:val="0"/>
          <w:divBdr>
            <w:top w:val="none" w:sz="0" w:space="0" w:color="auto"/>
            <w:left w:val="none" w:sz="0" w:space="0" w:color="auto"/>
            <w:bottom w:val="none" w:sz="0" w:space="0" w:color="auto"/>
            <w:right w:val="none" w:sz="0" w:space="0" w:color="auto"/>
          </w:divBdr>
          <w:divsChild>
            <w:div w:id="1652713216">
              <w:marLeft w:val="0"/>
              <w:marRight w:val="0"/>
              <w:marTop w:val="0"/>
              <w:marBottom w:val="0"/>
              <w:divBdr>
                <w:top w:val="none" w:sz="0" w:space="0" w:color="auto"/>
                <w:left w:val="none" w:sz="0" w:space="0" w:color="auto"/>
                <w:bottom w:val="none" w:sz="0" w:space="0" w:color="auto"/>
                <w:right w:val="none" w:sz="0" w:space="0" w:color="auto"/>
              </w:divBdr>
              <w:divsChild>
                <w:div w:id="1270088029">
                  <w:marLeft w:val="0"/>
                  <w:marRight w:val="0"/>
                  <w:marTop w:val="0"/>
                  <w:marBottom w:val="0"/>
                  <w:divBdr>
                    <w:top w:val="none" w:sz="0" w:space="0" w:color="auto"/>
                    <w:left w:val="none" w:sz="0" w:space="0" w:color="auto"/>
                    <w:bottom w:val="none" w:sz="0" w:space="0" w:color="auto"/>
                    <w:right w:val="none" w:sz="0" w:space="0" w:color="auto"/>
                  </w:divBdr>
                  <w:divsChild>
                    <w:div w:id="529144275">
                      <w:marLeft w:val="0"/>
                      <w:marRight w:val="0"/>
                      <w:marTop w:val="0"/>
                      <w:marBottom w:val="0"/>
                      <w:divBdr>
                        <w:top w:val="none" w:sz="0" w:space="0" w:color="auto"/>
                        <w:left w:val="none" w:sz="0" w:space="0" w:color="auto"/>
                        <w:bottom w:val="none" w:sz="0" w:space="0" w:color="auto"/>
                        <w:right w:val="none" w:sz="0" w:space="0" w:color="auto"/>
                      </w:divBdr>
                      <w:divsChild>
                        <w:div w:id="2281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48317">
      <w:bodyDiv w:val="1"/>
      <w:marLeft w:val="0"/>
      <w:marRight w:val="0"/>
      <w:marTop w:val="0"/>
      <w:marBottom w:val="0"/>
      <w:divBdr>
        <w:top w:val="none" w:sz="0" w:space="0" w:color="auto"/>
        <w:left w:val="none" w:sz="0" w:space="0" w:color="auto"/>
        <w:bottom w:val="none" w:sz="0" w:space="0" w:color="auto"/>
        <w:right w:val="none" w:sz="0" w:space="0" w:color="auto"/>
      </w:divBdr>
      <w:divsChild>
        <w:div w:id="1299148723">
          <w:marLeft w:val="0"/>
          <w:marRight w:val="0"/>
          <w:marTop w:val="0"/>
          <w:marBottom w:val="0"/>
          <w:divBdr>
            <w:top w:val="none" w:sz="0" w:space="0" w:color="auto"/>
            <w:left w:val="none" w:sz="0" w:space="0" w:color="auto"/>
            <w:bottom w:val="none" w:sz="0" w:space="0" w:color="auto"/>
            <w:right w:val="none" w:sz="0" w:space="0" w:color="auto"/>
          </w:divBdr>
          <w:divsChild>
            <w:div w:id="1394083879">
              <w:marLeft w:val="0"/>
              <w:marRight w:val="0"/>
              <w:marTop w:val="0"/>
              <w:marBottom w:val="0"/>
              <w:divBdr>
                <w:top w:val="none" w:sz="0" w:space="0" w:color="auto"/>
                <w:left w:val="none" w:sz="0" w:space="0" w:color="auto"/>
                <w:bottom w:val="none" w:sz="0" w:space="0" w:color="auto"/>
                <w:right w:val="none" w:sz="0" w:space="0" w:color="auto"/>
              </w:divBdr>
              <w:divsChild>
                <w:div w:id="1839999888">
                  <w:marLeft w:val="0"/>
                  <w:marRight w:val="0"/>
                  <w:marTop w:val="0"/>
                  <w:marBottom w:val="0"/>
                  <w:divBdr>
                    <w:top w:val="none" w:sz="0" w:space="0" w:color="auto"/>
                    <w:left w:val="none" w:sz="0" w:space="0" w:color="auto"/>
                    <w:bottom w:val="none" w:sz="0" w:space="0" w:color="auto"/>
                    <w:right w:val="none" w:sz="0" w:space="0" w:color="auto"/>
                  </w:divBdr>
                  <w:divsChild>
                    <w:div w:id="1911848044">
                      <w:marLeft w:val="0"/>
                      <w:marRight w:val="0"/>
                      <w:marTop w:val="0"/>
                      <w:marBottom w:val="0"/>
                      <w:divBdr>
                        <w:top w:val="none" w:sz="0" w:space="0" w:color="auto"/>
                        <w:left w:val="none" w:sz="0" w:space="0" w:color="auto"/>
                        <w:bottom w:val="none" w:sz="0" w:space="0" w:color="auto"/>
                        <w:right w:val="none" w:sz="0" w:space="0" w:color="auto"/>
                      </w:divBdr>
                      <w:divsChild>
                        <w:div w:id="1632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29743">
      <w:bodyDiv w:val="1"/>
      <w:marLeft w:val="5"/>
      <w:marRight w:val="15"/>
      <w:marTop w:val="0"/>
      <w:marBottom w:val="0"/>
      <w:divBdr>
        <w:top w:val="none" w:sz="0" w:space="0" w:color="auto"/>
        <w:left w:val="none" w:sz="0" w:space="0" w:color="auto"/>
        <w:bottom w:val="none" w:sz="0" w:space="0" w:color="auto"/>
        <w:right w:val="none" w:sz="0" w:space="0" w:color="auto"/>
      </w:divBdr>
      <w:divsChild>
        <w:div w:id="1958679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56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65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9014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76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7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43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1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60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73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679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84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970785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789071">
      <w:bodyDiv w:val="1"/>
      <w:marLeft w:val="0"/>
      <w:marRight w:val="0"/>
      <w:marTop w:val="0"/>
      <w:marBottom w:val="0"/>
      <w:divBdr>
        <w:top w:val="none" w:sz="0" w:space="0" w:color="auto"/>
        <w:left w:val="none" w:sz="0" w:space="0" w:color="auto"/>
        <w:bottom w:val="none" w:sz="0" w:space="0" w:color="auto"/>
        <w:right w:val="none" w:sz="0" w:space="0" w:color="auto"/>
      </w:divBdr>
    </w:div>
    <w:div w:id="1491754101">
      <w:bodyDiv w:val="1"/>
      <w:marLeft w:val="0"/>
      <w:marRight w:val="0"/>
      <w:marTop w:val="0"/>
      <w:marBottom w:val="0"/>
      <w:divBdr>
        <w:top w:val="none" w:sz="0" w:space="0" w:color="auto"/>
        <w:left w:val="none" w:sz="0" w:space="0" w:color="auto"/>
        <w:bottom w:val="none" w:sz="0" w:space="0" w:color="auto"/>
        <w:right w:val="none" w:sz="0" w:space="0" w:color="auto"/>
      </w:divBdr>
    </w:div>
    <w:div w:id="1497500616">
      <w:bodyDiv w:val="1"/>
      <w:marLeft w:val="0"/>
      <w:marRight w:val="0"/>
      <w:marTop w:val="0"/>
      <w:marBottom w:val="0"/>
      <w:divBdr>
        <w:top w:val="none" w:sz="0" w:space="0" w:color="auto"/>
        <w:left w:val="none" w:sz="0" w:space="0" w:color="auto"/>
        <w:bottom w:val="none" w:sz="0" w:space="0" w:color="auto"/>
        <w:right w:val="none" w:sz="0" w:space="0" w:color="auto"/>
      </w:divBdr>
    </w:div>
    <w:div w:id="1538350828">
      <w:bodyDiv w:val="1"/>
      <w:marLeft w:val="0"/>
      <w:marRight w:val="0"/>
      <w:marTop w:val="0"/>
      <w:marBottom w:val="0"/>
      <w:divBdr>
        <w:top w:val="none" w:sz="0" w:space="0" w:color="auto"/>
        <w:left w:val="none" w:sz="0" w:space="0" w:color="auto"/>
        <w:bottom w:val="none" w:sz="0" w:space="0" w:color="auto"/>
        <w:right w:val="none" w:sz="0" w:space="0" w:color="auto"/>
      </w:divBdr>
    </w:div>
    <w:div w:id="1593780450">
      <w:bodyDiv w:val="1"/>
      <w:marLeft w:val="0"/>
      <w:marRight w:val="0"/>
      <w:marTop w:val="0"/>
      <w:marBottom w:val="0"/>
      <w:divBdr>
        <w:top w:val="none" w:sz="0" w:space="0" w:color="auto"/>
        <w:left w:val="none" w:sz="0" w:space="0" w:color="auto"/>
        <w:bottom w:val="none" w:sz="0" w:space="0" w:color="auto"/>
        <w:right w:val="none" w:sz="0" w:space="0" w:color="auto"/>
      </w:divBdr>
      <w:divsChild>
        <w:div w:id="101726918">
          <w:marLeft w:val="0"/>
          <w:marRight w:val="0"/>
          <w:marTop w:val="0"/>
          <w:marBottom w:val="0"/>
          <w:divBdr>
            <w:top w:val="none" w:sz="0" w:space="0" w:color="auto"/>
            <w:left w:val="none" w:sz="0" w:space="0" w:color="auto"/>
            <w:bottom w:val="none" w:sz="0" w:space="0" w:color="auto"/>
            <w:right w:val="none" w:sz="0" w:space="0" w:color="auto"/>
          </w:divBdr>
          <w:divsChild>
            <w:div w:id="812600963">
              <w:marLeft w:val="0"/>
              <w:marRight w:val="0"/>
              <w:marTop w:val="0"/>
              <w:marBottom w:val="0"/>
              <w:divBdr>
                <w:top w:val="none" w:sz="0" w:space="0" w:color="auto"/>
                <w:left w:val="none" w:sz="0" w:space="0" w:color="auto"/>
                <w:bottom w:val="none" w:sz="0" w:space="0" w:color="auto"/>
                <w:right w:val="none" w:sz="0" w:space="0" w:color="auto"/>
              </w:divBdr>
              <w:divsChild>
                <w:div w:id="1134445941">
                  <w:marLeft w:val="0"/>
                  <w:marRight w:val="0"/>
                  <w:marTop w:val="0"/>
                  <w:marBottom w:val="0"/>
                  <w:divBdr>
                    <w:top w:val="none" w:sz="0" w:space="0" w:color="auto"/>
                    <w:left w:val="none" w:sz="0" w:space="0" w:color="auto"/>
                    <w:bottom w:val="none" w:sz="0" w:space="0" w:color="auto"/>
                    <w:right w:val="none" w:sz="0" w:space="0" w:color="auto"/>
                  </w:divBdr>
                  <w:divsChild>
                    <w:div w:id="827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259">
      <w:bodyDiv w:val="1"/>
      <w:marLeft w:val="0"/>
      <w:marRight w:val="0"/>
      <w:marTop w:val="0"/>
      <w:marBottom w:val="0"/>
      <w:divBdr>
        <w:top w:val="none" w:sz="0" w:space="0" w:color="auto"/>
        <w:left w:val="none" w:sz="0" w:space="0" w:color="auto"/>
        <w:bottom w:val="none" w:sz="0" w:space="0" w:color="auto"/>
        <w:right w:val="none" w:sz="0" w:space="0" w:color="auto"/>
      </w:divBdr>
    </w:div>
    <w:div w:id="1787847661">
      <w:bodyDiv w:val="1"/>
      <w:marLeft w:val="0"/>
      <w:marRight w:val="0"/>
      <w:marTop w:val="0"/>
      <w:marBottom w:val="0"/>
      <w:divBdr>
        <w:top w:val="none" w:sz="0" w:space="0" w:color="auto"/>
        <w:left w:val="none" w:sz="0" w:space="0" w:color="auto"/>
        <w:bottom w:val="none" w:sz="0" w:space="0" w:color="auto"/>
        <w:right w:val="none" w:sz="0" w:space="0" w:color="auto"/>
      </w:divBdr>
    </w:div>
    <w:div w:id="1971209332">
      <w:bodyDiv w:val="1"/>
      <w:marLeft w:val="0"/>
      <w:marRight w:val="0"/>
      <w:marTop w:val="0"/>
      <w:marBottom w:val="0"/>
      <w:divBdr>
        <w:top w:val="none" w:sz="0" w:space="0" w:color="auto"/>
        <w:left w:val="none" w:sz="0" w:space="0" w:color="auto"/>
        <w:bottom w:val="none" w:sz="0" w:space="0" w:color="auto"/>
        <w:right w:val="none" w:sz="0" w:space="0" w:color="auto"/>
      </w:divBdr>
      <w:divsChild>
        <w:div w:id="680817772">
          <w:marLeft w:val="0"/>
          <w:marRight w:val="0"/>
          <w:marTop w:val="0"/>
          <w:marBottom w:val="0"/>
          <w:divBdr>
            <w:top w:val="none" w:sz="0" w:space="0" w:color="auto"/>
            <w:left w:val="none" w:sz="0" w:space="0" w:color="auto"/>
            <w:bottom w:val="none" w:sz="0" w:space="0" w:color="auto"/>
            <w:right w:val="none" w:sz="0" w:space="0" w:color="auto"/>
          </w:divBdr>
          <w:divsChild>
            <w:div w:id="971788024">
              <w:marLeft w:val="0"/>
              <w:marRight w:val="0"/>
              <w:marTop w:val="0"/>
              <w:marBottom w:val="0"/>
              <w:divBdr>
                <w:top w:val="none" w:sz="0" w:space="0" w:color="auto"/>
                <w:left w:val="none" w:sz="0" w:space="0" w:color="auto"/>
                <w:bottom w:val="none" w:sz="0" w:space="0" w:color="auto"/>
                <w:right w:val="none" w:sz="0" w:space="0" w:color="auto"/>
              </w:divBdr>
              <w:divsChild>
                <w:div w:id="1824617598">
                  <w:marLeft w:val="0"/>
                  <w:marRight w:val="0"/>
                  <w:marTop w:val="0"/>
                  <w:marBottom w:val="0"/>
                  <w:divBdr>
                    <w:top w:val="none" w:sz="0" w:space="0" w:color="auto"/>
                    <w:left w:val="none" w:sz="0" w:space="0" w:color="auto"/>
                    <w:bottom w:val="none" w:sz="0" w:space="0" w:color="auto"/>
                    <w:right w:val="none" w:sz="0" w:space="0" w:color="auto"/>
                  </w:divBdr>
                  <w:divsChild>
                    <w:div w:id="760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920.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8A9F-AA8F-490C-90F6-3BD7019E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4</cp:revision>
  <dcterms:created xsi:type="dcterms:W3CDTF">2020-08-29T14:35:00Z</dcterms:created>
  <dcterms:modified xsi:type="dcterms:W3CDTF">2020-08-30T03:50:00Z</dcterms:modified>
</cp:coreProperties>
</file>