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9EA" w:rsidRDefault="00FF2695">
      <w:pPr>
        <w:pStyle w:val="Header"/>
        <w:jc w:val="center"/>
        <w:rPr>
          <w:b/>
          <w:i/>
          <w:caps/>
          <w:sz w:val="20"/>
          <w:szCs w:val="20"/>
        </w:rPr>
      </w:pPr>
      <w:r>
        <w:rPr>
          <w:b/>
          <w:bCs/>
          <w:sz w:val="20"/>
          <w:szCs w:val="20"/>
        </w:rPr>
        <w:t xml:space="preserve">The Impact Of Branchless Banking System On The Financial Performance Of The </w:t>
      </w:r>
      <w:r w:rsidR="00340A14">
        <w:rPr>
          <w:b/>
          <w:bCs/>
          <w:sz w:val="20"/>
          <w:szCs w:val="20"/>
        </w:rPr>
        <w:t>Commercia</w:t>
      </w:r>
      <w:r w:rsidR="00340A14">
        <w:rPr>
          <w:rFonts w:eastAsiaTheme="minorEastAsia"/>
          <w:b/>
          <w:bCs/>
          <w:sz w:val="20"/>
          <w:szCs w:val="20"/>
          <w:lang w:eastAsia="zh-CN"/>
        </w:rPr>
        <w:t>l</w:t>
      </w:r>
      <w:r>
        <w:rPr>
          <w:b/>
          <w:bCs/>
          <w:sz w:val="20"/>
          <w:szCs w:val="20"/>
        </w:rPr>
        <w:t xml:space="preserve"> Banks In Pakistan</w:t>
      </w:r>
    </w:p>
    <w:p w:rsidR="001D29EA" w:rsidRPr="00340A14" w:rsidRDefault="001D29EA">
      <w:pPr>
        <w:autoSpaceDE w:val="0"/>
        <w:autoSpaceDN w:val="0"/>
        <w:adjustRightInd w:val="0"/>
        <w:jc w:val="center"/>
        <w:rPr>
          <w:b/>
          <w:color w:val="000000"/>
          <w:sz w:val="20"/>
          <w:szCs w:val="20"/>
        </w:rPr>
      </w:pPr>
      <w:bookmarkStart w:id="0" w:name="_Toc459760684"/>
    </w:p>
    <w:p w:rsidR="00340A14" w:rsidRPr="00340A14" w:rsidRDefault="00340A14" w:rsidP="00340A14">
      <w:pPr>
        <w:autoSpaceDE w:val="0"/>
        <w:autoSpaceDN w:val="0"/>
        <w:adjustRightInd w:val="0"/>
        <w:jc w:val="center"/>
        <w:rPr>
          <w:rFonts w:eastAsiaTheme="minorEastAsia"/>
          <w:color w:val="000000"/>
          <w:sz w:val="20"/>
          <w:szCs w:val="20"/>
          <w:lang w:eastAsia="zh-CN"/>
        </w:rPr>
      </w:pPr>
      <w:r>
        <w:rPr>
          <w:rFonts w:eastAsiaTheme="minorEastAsia" w:hint="eastAsia"/>
          <w:color w:val="000000"/>
          <w:sz w:val="20"/>
          <w:szCs w:val="20"/>
          <w:lang w:eastAsia="zh-CN"/>
        </w:rPr>
        <w:t xml:space="preserve">* </w:t>
      </w:r>
      <w:r w:rsidR="00FF2695" w:rsidRPr="00340A14">
        <w:rPr>
          <w:color w:val="000000"/>
          <w:sz w:val="20"/>
          <w:szCs w:val="20"/>
        </w:rPr>
        <w:t>Dr. Yasir Khan</w:t>
      </w:r>
      <w:r w:rsidRPr="00340A14">
        <w:rPr>
          <w:rFonts w:eastAsiaTheme="minorEastAsia" w:hint="eastAsia"/>
          <w:color w:val="000000"/>
          <w:sz w:val="20"/>
          <w:szCs w:val="20"/>
          <w:lang w:eastAsia="zh-CN"/>
        </w:rPr>
        <w:t xml:space="preserve">, </w:t>
      </w:r>
      <w:r>
        <w:rPr>
          <w:rFonts w:eastAsiaTheme="minorEastAsia" w:hint="eastAsia"/>
          <w:color w:val="000000"/>
          <w:sz w:val="20"/>
          <w:szCs w:val="20"/>
          <w:lang w:eastAsia="zh-CN"/>
        </w:rPr>
        <w:t xml:space="preserve">** </w:t>
      </w:r>
      <w:r w:rsidRPr="00340A14">
        <w:rPr>
          <w:color w:val="000000"/>
          <w:sz w:val="20"/>
          <w:szCs w:val="20"/>
        </w:rPr>
        <w:t>Dr. Walied Askarzai</w:t>
      </w:r>
      <w:r w:rsidRPr="00340A14">
        <w:rPr>
          <w:rFonts w:eastAsiaTheme="minorEastAsia" w:hint="eastAsia"/>
          <w:color w:val="000000"/>
          <w:sz w:val="20"/>
          <w:szCs w:val="20"/>
          <w:lang w:eastAsia="zh-CN"/>
        </w:rPr>
        <w:t>,</w:t>
      </w:r>
      <w:r>
        <w:rPr>
          <w:rFonts w:eastAsiaTheme="minorEastAsia" w:hint="eastAsia"/>
          <w:color w:val="000000"/>
          <w:sz w:val="20"/>
          <w:szCs w:val="20"/>
          <w:lang w:eastAsia="zh-CN"/>
        </w:rPr>
        <w:t xml:space="preserve"> ***</w:t>
      </w:r>
      <w:r w:rsidRPr="00340A14">
        <w:rPr>
          <w:rFonts w:eastAsiaTheme="minorEastAsia" w:hint="eastAsia"/>
          <w:color w:val="000000"/>
          <w:sz w:val="20"/>
          <w:szCs w:val="20"/>
          <w:lang w:eastAsia="zh-CN"/>
        </w:rPr>
        <w:t xml:space="preserve"> </w:t>
      </w:r>
      <w:r w:rsidRPr="00340A14">
        <w:rPr>
          <w:color w:val="000000"/>
          <w:sz w:val="20"/>
          <w:szCs w:val="20"/>
        </w:rPr>
        <w:t>Zubir Khan</w:t>
      </w:r>
    </w:p>
    <w:p w:rsidR="001D29EA" w:rsidRPr="00340A14" w:rsidRDefault="001D29EA">
      <w:pPr>
        <w:autoSpaceDE w:val="0"/>
        <w:autoSpaceDN w:val="0"/>
        <w:adjustRightInd w:val="0"/>
        <w:jc w:val="center"/>
        <w:rPr>
          <w:rFonts w:eastAsiaTheme="minorEastAsia"/>
          <w:b/>
          <w:color w:val="000000"/>
          <w:sz w:val="20"/>
          <w:szCs w:val="20"/>
          <w:lang w:eastAsia="zh-CN"/>
        </w:rPr>
      </w:pPr>
    </w:p>
    <w:p w:rsidR="001D29EA" w:rsidRPr="00340A14" w:rsidRDefault="00340A14">
      <w:pPr>
        <w:autoSpaceDE w:val="0"/>
        <w:autoSpaceDN w:val="0"/>
        <w:adjustRightInd w:val="0"/>
        <w:jc w:val="center"/>
        <w:rPr>
          <w:sz w:val="20"/>
          <w:szCs w:val="20"/>
        </w:rPr>
      </w:pPr>
      <w:r>
        <w:rPr>
          <w:rFonts w:eastAsiaTheme="minorEastAsia" w:hint="eastAsia"/>
          <w:color w:val="000000"/>
          <w:sz w:val="20"/>
          <w:szCs w:val="20"/>
          <w:lang w:eastAsia="zh-CN"/>
        </w:rPr>
        <w:t xml:space="preserve">* </w:t>
      </w:r>
      <w:r w:rsidR="00FF2695" w:rsidRPr="00340A14">
        <w:rPr>
          <w:color w:val="000000"/>
          <w:sz w:val="20"/>
          <w:szCs w:val="20"/>
        </w:rPr>
        <w:t>Assistant Professor Abasyn University Peshawar</w:t>
      </w:r>
      <w:r>
        <w:rPr>
          <w:rFonts w:eastAsiaTheme="minorEastAsia" w:hint="eastAsia"/>
          <w:color w:val="000000"/>
          <w:sz w:val="20"/>
          <w:szCs w:val="20"/>
          <w:lang w:eastAsia="zh-CN"/>
        </w:rPr>
        <w:t xml:space="preserve">, </w:t>
      </w:r>
      <w:r w:rsidR="00FF2695" w:rsidRPr="00340A14">
        <w:rPr>
          <w:color w:val="000000"/>
          <w:sz w:val="20"/>
          <w:szCs w:val="20"/>
        </w:rPr>
        <w:t xml:space="preserve">E-mail: </w:t>
      </w:r>
      <w:hyperlink r:id="rId9" w:history="1">
        <w:r w:rsidR="00FF2695" w:rsidRPr="00340A14">
          <w:rPr>
            <w:rStyle w:val="Hyperlink"/>
            <w:sz w:val="20"/>
            <w:szCs w:val="20"/>
          </w:rPr>
          <w:t>yasirok62@yahoo.com</w:t>
        </w:r>
      </w:hyperlink>
    </w:p>
    <w:p w:rsidR="001D29EA" w:rsidRPr="00340A14" w:rsidRDefault="00340A14">
      <w:pPr>
        <w:autoSpaceDE w:val="0"/>
        <w:autoSpaceDN w:val="0"/>
        <w:adjustRightInd w:val="0"/>
        <w:jc w:val="center"/>
        <w:rPr>
          <w:rStyle w:val="Hyperlink"/>
          <w:sz w:val="20"/>
          <w:szCs w:val="20"/>
        </w:rPr>
      </w:pPr>
      <w:r>
        <w:rPr>
          <w:rFonts w:eastAsiaTheme="minorEastAsia" w:hint="eastAsia"/>
          <w:color w:val="000000"/>
          <w:sz w:val="20"/>
          <w:szCs w:val="20"/>
          <w:lang w:eastAsia="zh-CN"/>
        </w:rPr>
        <w:t xml:space="preserve">** </w:t>
      </w:r>
      <w:r w:rsidR="00FF2695" w:rsidRPr="00340A14">
        <w:rPr>
          <w:color w:val="000000"/>
          <w:sz w:val="20"/>
          <w:szCs w:val="20"/>
        </w:rPr>
        <w:t>Academies Australasia-Polytechnic</w:t>
      </w:r>
      <w:r>
        <w:rPr>
          <w:rFonts w:eastAsiaTheme="minorEastAsia" w:hint="eastAsia"/>
          <w:color w:val="000000"/>
          <w:sz w:val="20"/>
          <w:szCs w:val="20"/>
          <w:lang w:eastAsia="zh-CN"/>
        </w:rPr>
        <w:t xml:space="preserve">, </w:t>
      </w:r>
      <w:r w:rsidR="00FF2695" w:rsidRPr="00340A14">
        <w:rPr>
          <w:color w:val="000000"/>
          <w:sz w:val="20"/>
          <w:szCs w:val="20"/>
        </w:rPr>
        <w:t xml:space="preserve">E-mail: </w:t>
      </w:r>
      <w:hyperlink r:id="rId10" w:history="1">
        <w:r w:rsidR="00FF2695" w:rsidRPr="00340A14">
          <w:rPr>
            <w:rStyle w:val="Hyperlink"/>
            <w:sz w:val="20"/>
            <w:szCs w:val="20"/>
          </w:rPr>
          <w:t>w.askarzai@aapoly.edu.au</w:t>
        </w:r>
      </w:hyperlink>
    </w:p>
    <w:p w:rsidR="001D29EA" w:rsidRPr="00340A14" w:rsidRDefault="00340A14">
      <w:pPr>
        <w:autoSpaceDE w:val="0"/>
        <w:autoSpaceDN w:val="0"/>
        <w:adjustRightInd w:val="0"/>
        <w:jc w:val="center"/>
        <w:rPr>
          <w:sz w:val="20"/>
          <w:szCs w:val="20"/>
        </w:rPr>
      </w:pPr>
      <w:r>
        <w:rPr>
          <w:rFonts w:eastAsiaTheme="minorEastAsia" w:hint="eastAsia"/>
          <w:color w:val="000000"/>
          <w:sz w:val="20"/>
          <w:szCs w:val="20"/>
          <w:lang w:eastAsia="zh-CN"/>
        </w:rPr>
        <w:t xml:space="preserve">*** </w:t>
      </w:r>
      <w:r w:rsidR="00FF2695" w:rsidRPr="00340A14">
        <w:rPr>
          <w:color w:val="000000"/>
          <w:sz w:val="20"/>
          <w:szCs w:val="20"/>
        </w:rPr>
        <w:t>Ph.D Scholar University of Canberra</w:t>
      </w:r>
      <w:r>
        <w:rPr>
          <w:rFonts w:eastAsiaTheme="minorEastAsia" w:hint="eastAsia"/>
          <w:color w:val="000000"/>
          <w:sz w:val="20"/>
          <w:szCs w:val="20"/>
          <w:lang w:eastAsia="zh-CN"/>
        </w:rPr>
        <w:t xml:space="preserve">, </w:t>
      </w:r>
      <w:r w:rsidR="00FF2695" w:rsidRPr="00340A14">
        <w:rPr>
          <w:color w:val="000000"/>
          <w:sz w:val="20"/>
          <w:szCs w:val="20"/>
        </w:rPr>
        <w:t>E-mail:</w:t>
      </w:r>
      <w:r w:rsidR="00FF2695" w:rsidRPr="00340A14">
        <w:rPr>
          <w:color w:val="1D41D5"/>
          <w:sz w:val="20"/>
          <w:szCs w:val="20"/>
        </w:rPr>
        <w:t xml:space="preserve"> </w:t>
      </w:r>
      <w:hyperlink r:id="rId11" w:history="1">
        <w:r w:rsidR="00FF2695" w:rsidRPr="00340A14">
          <w:rPr>
            <w:color w:val="1D41D5"/>
            <w:sz w:val="20"/>
            <w:szCs w:val="20"/>
          </w:rPr>
          <w:t>zubairkhan1982@gmail.com</w:t>
        </w:r>
      </w:hyperlink>
    </w:p>
    <w:p w:rsidR="001D29EA" w:rsidRDefault="001D29EA">
      <w:pPr>
        <w:autoSpaceDE w:val="0"/>
        <w:autoSpaceDN w:val="0"/>
        <w:adjustRightInd w:val="0"/>
        <w:ind w:left="1440"/>
        <w:jc w:val="center"/>
        <w:rPr>
          <w:rStyle w:val="Hyperlink"/>
          <w:sz w:val="20"/>
        </w:rPr>
      </w:pPr>
    </w:p>
    <w:p w:rsidR="00325BCB" w:rsidRDefault="00FF2695">
      <w:pPr>
        <w:snapToGrid w:val="0"/>
        <w:jc w:val="both"/>
        <w:rPr>
          <w:rFonts w:eastAsiaTheme="minorEastAsia" w:hint="eastAsia"/>
          <w:sz w:val="20"/>
          <w:szCs w:val="20"/>
          <w:lang w:eastAsia="zh-CN"/>
        </w:rPr>
      </w:pPr>
      <w:r w:rsidRPr="00340A14">
        <w:rPr>
          <w:b/>
          <w:sz w:val="20"/>
          <w:szCs w:val="20"/>
        </w:rPr>
        <w:t>Abstract</w:t>
      </w:r>
      <w:r w:rsidR="00340A14">
        <w:rPr>
          <w:rFonts w:eastAsiaTheme="minorEastAsia" w:hint="eastAsia"/>
          <w:sz w:val="20"/>
          <w:szCs w:val="20"/>
          <w:lang w:eastAsia="zh-CN"/>
        </w:rPr>
        <w:t xml:space="preserve">: </w:t>
      </w:r>
      <w:r>
        <w:rPr>
          <w:sz w:val="20"/>
          <w:szCs w:val="20"/>
        </w:rPr>
        <w:t>The pu</w:t>
      </w:r>
      <w:r w:rsidR="00340A14">
        <w:rPr>
          <w:rFonts w:eastAsiaTheme="minorEastAsia" w:hint="eastAsia"/>
          <w:sz w:val="20"/>
          <w:szCs w:val="20"/>
          <w:lang w:eastAsia="zh-CN"/>
        </w:rPr>
        <w:t>r</w:t>
      </w:r>
      <w:r>
        <w:rPr>
          <w:sz w:val="20"/>
          <w:szCs w:val="20"/>
        </w:rPr>
        <w:t xml:space="preserve">pose and goal of this research paper was to assess the impact of branchless banking on commercial banks' financial results in Pakistan. The research focused on the financial performance of commercial banks through agency banking and electronic banking platforms. The analysis also explores the mediatory effects on the relationship between branchless banks and the financial results in Pakistan from financial integration, and also the moderating influence of government policy. The thesis took a non-experimental style in exploratory testing. A survey was carried out in Pakistan of all 49 </w:t>
      </w:r>
      <w:r w:rsidR="00340A14">
        <w:rPr>
          <w:sz w:val="20"/>
          <w:szCs w:val="20"/>
        </w:rPr>
        <w:t>scheduled</w:t>
      </w:r>
      <w:r>
        <w:rPr>
          <w:sz w:val="20"/>
          <w:szCs w:val="20"/>
        </w:rPr>
        <w:t xml:space="preserve"> commercial banks. The annual reports of the various commercial banks and the Central Bank of Pakistan collected primary and secondary data and financial performance of banks. As the principal predictor of commercial banks' financial success, the Return on Assets (ROA) has been derived from SBP’s annual reports. As metrics for agencies and electronic banking, the volume of expenditure in agency and electronic banking was used. Results from this study also suggest that financial inclusion depends on the strength of the connection between branchless banking and financial success in Pakistan. Findings suggest that the relationship between the agencies and electronic banking and financial success is partly moderated by government policies, with an impact substantial to the level of 5%. The study suggests that commercial banks invest both in agency and in electronic banking as a multi-channel approach for positive returns, since these networks are mutually complementary.</w:t>
      </w:r>
    </w:p>
    <w:p w:rsidR="001D29EA" w:rsidRDefault="00FF2695" w:rsidP="00325BCB">
      <w:pPr>
        <w:pStyle w:val="Header"/>
        <w:rPr>
          <w:b/>
          <w:bCs/>
          <w:sz w:val="20"/>
          <w:szCs w:val="20"/>
          <w:lang w:eastAsia="zh-CN"/>
        </w:rPr>
      </w:pPr>
      <w:r>
        <w:rPr>
          <w:color w:val="000000"/>
          <w:sz w:val="20"/>
          <w:szCs w:val="20"/>
        </w:rPr>
        <w:t>[</w:t>
      </w:r>
      <w:proofErr w:type="spellStart"/>
      <w:r w:rsidR="00325BCB" w:rsidRPr="00340A14">
        <w:rPr>
          <w:color w:val="000000"/>
          <w:sz w:val="20"/>
          <w:szCs w:val="20"/>
        </w:rPr>
        <w:t>Yasir</w:t>
      </w:r>
      <w:proofErr w:type="spellEnd"/>
      <w:r w:rsidR="00325BCB" w:rsidRPr="00340A14">
        <w:rPr>
          <w:color w:val="000000"/>
          <w:sz w:val="20"/>
          <w:szCs w:val="20"/>
        </w:rPr>
        <w:t xml:space="preserve"> Khan</w:t>
      </w:r>
      <w:r w:rsidR="00325BCB" w:rsidRPr="00340A14">
        <w:rPr>
          <w:rFonts w:eastAsiaTheme="minorEastAsia" w:hint="eastAsia"/>
          <w:color w:val="000000"/>
          <w:sz w:val="20"/>
          <w:szCs w:val="20"/>
          <w:lang w:eastAsia="zh-CN"/>
        </w:rPr>
        <w:t xml:space="preserve">, </w:t>
      </w:r>
      <w:proofErr w:type="spellStart"/>
      <w:r w:rsidR="00325BCB" w:rsidRPr="00340A14">
        <w:rPr>
          <w:color w:val="000000"/>
          <w:sz w:val="20"/>
          <w:szCs w:val="20"/>
        </w:rPr>
        <w:t>Walied</w:t>
      </w:r>
      <w:proofErr w:type="spellEnd"/>
      <w:r w:rsidR="00325BCB" w:rsidRPr="00340A14">
        <w:rPr>
          <w:color w:val="000000"/>
          <w:sz w:val="20"/>
          <w:szCs w:val="20"/>
        </w:rPr>
        <w:t xml:space="preserve"> </w:t>
      </w:r>
      <w:proofErr w:type="spellStart"/>
      <w:r w:rsidR="00325BCB" w:rsidRPr="00340A14">
        <w:rPr>
          <w:color w:val="000000"/>
          <w:sz w:val="20"/>
          <w:szCs w:val="20"/>
        </w:rPr>
        <w:t>Askarzai</w:t>
      </w:r>
      <w:proofErr w:type="spellEnd"/>
      <w:r w:rsidR="00325BCB" w:rsidRPr="00340A14">
        <w:rPr>
          <w:rFonts w:eastAsiaTheme="minorEastAsia" w:hint="eastAsia"/>
          <w:color w:val="000000"/>
          <w:sz w:val="20"/>
          <w:szCs w:val="20"/>
          <w:lang w:eastAsia="zh-CN"/>
        </w:rPr>
        <w:t>,</w:t>
      </w:r>
      <w:r w:rsidR="00325BCB">
        <w:rPr>
          <w:rFonts w:eastAsiaTheme="minorEastAsia" w:hint="eastAsia"/>
          <w:color w:val="000000"/>
          <w:sz w:val="20"/>
          <w:szCs w:val="20"/>
          <w:lang w:eastAsia="zh-CN"/>
        </w:rPr>
        <w:t xml:space="preserve"> </w:t>
      </w:r>
      <w:proofErr w:type="spellStart"/>
      <w:r w:rsidR="00325BCB" w:rsidRPr="00340A14">
        <w:rPr>
          <w:color w:val="000000"/>
          <w:sz w:val="20"/>
          <w:szCs w:val="20"/>
        </w:rPr>
        <w:t>Zubir</w:t>
      </w:r>
      <w:proofErr w:type="spellEnd"/>
      <w:r w:rsidR="00325BCB" w:rsidRPr="00340A14">
        <w:rPr>
          <w:color w:val="000000"/>
          <w:sz w:val="20"/>
          <w:szCs w:val="20"/>
        </w:rPr>
        <w:t xml:space="preserve"> Khan</w:t>
      </w:r>
      <w:r w:rsidR="00325BCB">
        <w:rPr>
          <w:rFonts w:eastAsiaTheme="minorEastAsia" w:hint="eastAsia"/>
          <w:color w:val="000000"/>
          <w:sz w:val="20"/>
          <w:szCs w:val="20"/>
          <w:lang w:eastAsia="zh-CN"/>
        </w:rPr>
        <w:t>.</w:t>
      </w:r>
      <w:r w:rsidR="00325BCB">
        <w:rPr>
          <w:bCs/>
          <w:i/>
          <w:sz w:val="20"/>
          <w:szCs w:val="20"/>
        </w:rPr>
        <w:t xml:space="preserve"> </w:t>
      </w:r>
      <w:r w:rsidR="00325BCB">
        <w:rPr>
          <w:b/>
          <w:bCs/>
          <w:sz w:val="20"/>
          <w:szCs w:val="20"/>
        </w:rPr>
        <w:t>The Impact Of Branchless Banking System On The Financial Performance Of The Commercia</w:t>
      </w:r>
      <w:r w:rsidR="00325BCB">
        <w:rPr>
          <w:rFonts w:eastAsiaTheme="minorEastAsia"/>
          <w:b/>
          <w:bCs/>
          <w:sz w:val="20"/>
          <w:szCs w:val="20"/>
          <w:lang w:eastAsia="zh-CN"/>
        </w:rPr>
        <w:t>l</w:t>
      </w:r>
      <w:r w:rsidR="00325BCB">
        <w:rPr>
          <w:b/>
          <w:bCs/>
          <w:sz w:val="20"/>
          <w:szCs w:val="20"/>
        </w:rPr>
        <w:t xml:space="preserve"> Banks In Pakistan</w:t>
      </w:r>
      <w:r w:rsidR="00325BCB">
        <w:rPr>
          <w:rFonts w:eastAsiaTheme="minorEastAsia" w:hint="eastAsia"/>
          <w:b/>
          <w:bCs/>
          <w:sz w:val="20"/>
          <w:szCs w:val="20"/>
          <w:lang w:eastAsia="zh-CN"/>
        </w:rPr>
        <w:t xml:space="preserve">. </w:t>
      </w:r>
      <w:r>
        <w:rPr>
          <w:bCs/>
          <w:i/>
          <w:sz w:val="20"/>
          <w:szCs w:val="20"/>
        </w:rPr>
        <w:t>Researcher</w:t>
      </w:r>
      <w:r>
        <w:rPr>
          <w:bCs/>
          <w:sz w:val="20"/>
          <w:szCs w:val="20"/>
        </w:rPr>
        <w:t xml:space="preserve"> 20</w:t>
      </w:r>
      <w:r>
        <w:rPr>
          <w:rFonts w:hint="eastAsia"/>
          <w:bCs/>
          <w:sz w:val="20"/>
          <w:szCs w:val="20"/>
        </w:rPr>
        <w:t>21</w:t>
      </w:r>
      <w:r>
        <w:rPr>
          <w:bCs/>
          <w:sz w:val="20"/>
          <w:szCs w:val="20"/>
        </w:rPr>
        <w:t>;</w:t>
      </w:r>
      <w:r>
        <w:rPr>
          <w:rFonts w:hint="eastAsia"/>
          <w:bCs/>
          <w:sz w:val="20"/>
          <w:szCs w:val="20"/>
        </w:rPr>
        <w:t>13</w:t>
      </w:r>
      <w:r>
        <w:rPr>
          <w:bCs/>
          <w:sz w:val="20"/>
          <w:szCs w:val="20"/>
        </w:rPr>
        <w:t>(</w:t>
      </w:r>
      <w:r>
        <w:rPr>
          <w:rFonts w:hint="eastAsia"/>
          <w:bCs/>
          <w:sz w:val="20"/>
          <w:szCs w:val="20"/>
        </w:rPr>
        <w:t>3</w:t>
      </w:r>
      <w:r>
        <w:rPr>
          <w:bCs/>
          <w:sz w:val="20"/>
          <w:szCs w:val="20"/>
        </w:rPr>
        <w:t>):</w:t>
      </w:r>
      <w:r>
        <w:rPr>
          <w:rFonts w:hint="eastAsia"/>
          <w:bCs/>
          <w:sz w:val="20"/>
          <w:szCs w:val="20"/>
          <w:lang w:eastAsia="zh-CN"/>
        </w:rPr>
        <w:t>2</w:t>
      </w:r>
      <w:r>
        <w:rPr>
          <w:rFonts w:eastAsia="宋体" w:hint="eastAsia"/>
          <w:color w:val="000000"/>
          <w:sz w:val="20"/>
          <w:szCs w:val="20"/>
          <w:lang w:eastAsia="zh-CN"/>
        </w:rPr>
        <w:t>6</w:t>
      </w:r>
      <w:r>
        <w:rPr>
          <w:color w:val="000000"/>
          <w:sz w:val="20"/>
          <w:szCs w:val="20"/>
        </w:rPr>
        <w:t>-</w:t>
      </w:r>
      <w:r>
        <w:rPr>
          <w:rFonts w:hint="eastAsia"/>
          <w:color w:val="000000"/>
          <w:sz w:val="20"/>
          <w:szCs w:val="20"/>
          <w:lang w:eastAsia="zh-CN"/>
        </w:rPr>
        <w:t>33</w:t>
      </w:r>
      <w:r>
        <w:rPr>
          <w:bCs/>
          <w:sz w:val="20"/>
          <w:szCs w:val="20"/>
        </w:rPr>
        <w:t xml:space="preserve">]. </w:t>
      </w:r>
      <w:r>
        <w:rPr>
          <w:sz w:val="20"/>
          <w:szCs w:val="20"/>
        </w:rPr>
        <w:t>ISSN 1553-9865 (print); ISSN 2163-8950 (online)</w:t>
      </w:r>
      <w:r>
        <w:rPr>
          <w:bCs/>
          <w:sz w:val="20"/>
          <w:szCs w:val="20"/>
        </w:rPr>
        <w:t xml:space="preserve">. </w:t>
      </w:r>
      <w:hyperlink r:id="rId12" w:history="1">
        <w:r>
          <w:rPr>
            <w:rStyle w:val="Hyperlink"/>
            <w:sz w:val="20"/>
            <w:szCs w:val="20"/>
          </w:rPr>
          <w:t>http://www.sciencepub.net/researcher</w:t>
        </w:r>
      </w:hyperlink>
      <w:r>
        <w:rPr>
          <w:bCs/>
          <w:sz w:val="20"/>
          <w:szCs w:val="20"/>
        </w:rPr>
        <w:t>.</w:t>
      </w:r>
      <w:r>
        <w:rPr>
          <w:rFonts w:hint="eastAsia"/>
          <w:bCs/>
          <w:sz w:val="20"/>
          <w:szCs w:val="20"/>
        </w:rPr>
        <w:t xml:space="preserve"> </w:t>
      </w:r>
      <w:r>
        <w:rPr>
          <w:rFonts w:hint="eastAsia"/>
          <w:bCs/>
          <w:sz w:val="20"/>
          <w:szCs w:val="20"/>
          <w:lang w:eastAsia="zh-CN"/>
        </w:rPr>
        <w:t>6</w:t>
      </w:r>
      <w:r>
        <w:rPr>
          <w:rFonts w:hint="eastAsia"/>
          <w:bCs/>
          <w:sz w:val="20"/>
          <w:szCs w:val="20"/>
        </w:rPr>
        <w:t xml:space="preserve">. </w:t>
      </w:r>
      <w:r>
        <w:rPr>
          <w:color w:val="000000"/>
          <w:sz w:val="20"/>
          <w:szCs w:val="20"/>
          <w:shd w:val="clear" w:color="auto" w:fill="FFFFFF"/>
        </w:rPr>
        <w:t>doi:</w:t>
      </w:r>
      <w:hyperlink r:id="rId13" w:history="1">
        <w:r>
          <w:rPr>
            <w:rStyle w:val="Hyperlink"/>
            <w:sz w:val="20"/>
            <w:szCs w:val="20"/>
            <w:shd w:val="clear" w:color="auto" w:fill="FFFFFF"/>
          </w:rPr>
          <w:t>10.7537/marsrsj130321.06</w:t>
        </w:r>
      </w:hyperlink>
      <w:r>
        <w:rPr>
          <w:color w:val="000000"/>
          <w:sz w:val="20"/>
          <w:szCs w:val="20"/>
          <w:shd w:val="clear" w:color="auto" w:fill="FFFFFF"/>
        </w:rPr>
        <w:t>.</w:t>
      </w:r>
    </w:p>
    <w:p w:rsidR="001D29EA" w:rsidRDefault="00FF2695">
      <w:pPr>
        <w:pStyle w:val="Heading1"/>
        <w:spacing w:before="0"/>
        <w:jc w:val="both"/>
        <w:rPr>
          <w:rFonts w:ascii="Times New Roman" w:hAnsi="Times New Roman" w:cs="Times New Roman"/>
          <w:b w:val="0"/>
          <w:bCs w:val="0"/>
          <w:color w:val="auto"/>
          <w:sz w:val="20"/>
          <w:szCs w:val="20"/>
        </w:rPr>
      </w:pPr>
      <w:r>
        <w:rPr>
          <w:rFonts w:ascii="Times New Roman" w:hAnsi="Times New Roman" w:cs="Times New Roman"/>
          <w:b w:val="0"/>
          <w:bCs w:val="0"/>
          <w:color w:val="auto"/>
          <w:sz w:val="20"/>
          <w:szCs w:val="20"/>
        </w:rPr>
        <w:t xml:space="preserve"> </w:t>
      </w:r>
    </w:p>
    <w:p w:rsidR="001D29EA" w:rsidRDefault="00FF2695">
      <w:pPr>
        <w:jc w:val="both"/>
        <w:rPr>
          <w:sz w:val="20"/>
          <w:szCs w:val="20"/>
        </w:rPr>
      </w:pPr>
      <w:r>
        <w:rPr>
          <w:sz w:val="20"/>
          <w:szCs w:val="20"/>
        </w:rPr>
        <w:t>Key word: Branchless banking, Electronic banking and Bank performance</w:t>
      </w:r>
    </w:p>
    <w:p w:rsidR="001D29EA" w:rsidRDefault="001D29EA">
      <w:pPr>
        <w:jc w:val="both"/>
        <w:rPr>
          <w:sz w:val="20"/>
          <w:szCs w:val="20"/>
        </w:rPr>
      </w:pPr>
      <w:bookmarkStart w:id="1" w:name="_GoBack"/>
      <w:bookmarkEnd w:id="1"/>
    </w:p>
    <w:p w:rsidR="001D29EA" w:rsidRDefault="001D29EA">
      <w:pPr>
        <w:jc w:val="both"/>
        <w:rPr>
          <w:b/>
          <w:sz w:val="20"/>
          <w:szCs w:val="20"/>
        </w:rPr>
        <w:sectPr w:rsidR="001D29EA">
          <w:headerReference w:type="default" r:id="rId14"/>
          <w:footerReference w:type="default" r:id="rId15"/>
          <w:headerReference w:type="first" r:id="rId16"/>
          <w:footerReference w:type="first" r:id="rId17"/>
          <w:pgSz w:w="12191" w:h="15819"/>
          <w:pgMar w:top="1440" w:right="1440" w:bottom="1440" w:left="1440" w:header="720" w:footer="720" w:gutter="0"/>
          <w:pgNumType w:start="26"/>
          <w:cols w:space="720"/>
          <w:titlePg/>
          <w:docGrid w:linePitch="360"/>
        </w:sectPr>
      </w:pPr>
    </w:p>
    <w:p w:rsidR="001D29EA" w:rsidRDefault="00FF2695">
      <w:pPr>
        <w:jc w:val="both"/>
        <w:rPr>
          <w:b/>
          <w:sz w:val="20"/>
          <w:szCs w:val="20"/>
        </w:rPr>
      </w:pPr>
      <w:r>
        <w:rPr>
          <w:b/>
          <w:sz w:val="20"/>
          <w:szCs w:val="20"/>
        </w:rPr>
        <w:lastRenderedPageBreak/>
        <w:t>Introduction</w:t>
      </w:r>
    </w:p>
    <w:p w:rsidR="001D29EA" w:rsidRDefault="00FF2695">
      <w:pPr>
        <w:jc w:val="both"/>
        <w:rPr>
          <w:b/>
          <w:sz w:val="20"/>
          <w:szCs w:val="20"/>
        </w:rPr>
      </w:pPr>
      <w:r>
        <w:rPr>
          <w:b/>
          <w:sz w:val="20"/>
          <w:szCs w:val="20"/>
        </w:rPr>
        <w:t>Background of the study</w:t>
      </w:r>
    </w:p>
    <w:p w:rsidR="001D29EA" w:rsidRDefault="00FF2695" w:rsidP="00340A14">
      <w:pPr>
        <w:ind w:firstLineChars="425" w:firstLine="850"/>
        <w:jc w:val="both"/>
        <w:rPr>
          <w:sz w:val="20"/>
          <w:szCs w:val="20"/>
        </w:rPr>
      </w:pPr>
      <w:r>
        <w:rPr>
          <w:sz w:val="20"/>
          <w:szCs w:val="20"/>
        </w:rPr>
        <w:t xml:space="preserve">Economic growth is driven by the successful allocation of financial capital to other productive activities in the economy by the Banking sector. In a country's economy banks play a very important role. Banks have three primary activities: deposit, loan and securities investment. They use </w:t>
      </w:r>
      <w:r w:rsidR="00340A14">
        <w:rPr>
          <w:sz w:val="20"/>
          <w:szCs w:val="20"/>
        </w:rPr>
        <w:t>labor</w:t>
      </w:r>
      <w:r>
        <w:rPr>
          <w:sz w:val="20"/>
          <w:szCs w:val="20"/>
        </w:rPr>
        <w:t>, physical infrastructure and financial resources (IMF, 2010), and skilled and non-skilled workers.</w:t>
      </w:r>
    </w:p>
    <w:p w:rsidR="001D29EA" w:rsidRDefault="00FF2695" w:rsidP="00340A14">
      <w:pPr>
        <w:ind w:firstLineChars="425" w:firstLine="850"/>
        <w:jc w:val="both"/>
        <w:rPr>
          <w:sz w:val="20"/>
          <w:szCs w:val="20"/>
        </w:rPr>
      </w:pPr>
      <w:r>
        <w:rPr>
          <w:sz w:val="20"/>
          <w:szCs w:val="20"/>
        </w:rPr>
        <w:t>Faure (2013) states that commercial banks, too, are banks providing public banking services such as automatic deposits / deposit transfers, cheque, current accounts, other deposit accounts, overdraft facilities, leased mortgage advances, payment credit advances and so on. It also applies to banks that are called highway banks.</w:t>
      </w:r>
    </w:p>
    <w:p w:rsidR="001D29EA" w:rsidRDefault="00FF2695" w:rsidP="00340A14">
      <w:pPr>
        <w:ind w:firstLineChars="425" w:firstLine="850"/>
        <w:jc w:val="both"/>
        <w:rPr>
          <w:sz w:val="20"/>
          <w:szCs w:val="20"/>
        </w:rPr>
      </w:pPr>
      <w:r>
        <w:rPr>
          <w:sz w:val="20"/>
          <w:szCs w:val="20"/>
        </w:rPr>
        <w:t xml:space="preserve">According to Khan, Gul and Shah (2017), Customer transfers or telephone transfers, e-taxes, POSs and automated Teller machines (ATM) often allow customers to pay through other payment methods. Commercial banks are primarily concerned with lending money to businesses and individuals and </w:t>
      </w:r>
      <w:r>
        <w:rPr>
          <w:sz w:val="20"/>
          <w:szCs w:val="20"/>
        </w:rPr>
        <w:lastRenderedPageBreak/>
        <w:t>acting as a secure source for corporations 'or individuals' short-term funds. Commercial banks typically have two revenue streams: interest and non-interest profits.</w:t>
      </w:r>
    </w:p>
    <w:p w:rsidR="001D29EA" w:rsidRDefault="00FF2695" w:rsidP="00340A14">
      <w:pPr>
        <w:ind w:firstLineChars="425" w:firstLine="850"/>
        <w:jc w:val="both"/>
        <w:rPr>
          <w:sz w:val="20"/>
          <w:szCs w:val="20"/>
        </w:rPr>
      </w:pPr>
      <w:r>
        <w:rPr>
          <w:sz w:val="20"/>
          <w:szCs w:val="20"/>
        </w:rPr>
        <w:t>The lending industry, which generates interest revenue because of the ties between this conventional sector and bank results, has been given much priority to academics (Bush &amp; Kick,2009). In the past, the profitability of the lending sector was cyclical and relied on loan customers ' needs and strengths and on the economic cycle level. The non-interest-based portion is transaction fees and financial advice. Fees and financial advice are a more reliable income stream, and hence the banks stressed these income lines to ease their financial output more effectively.</w:t>
      </w:r>
    </w:p>
    <w:p w:rsidR="00340A14" w:rsidRDefault="00340A14" w:rsidP="00340A14">
      <w:pPr>
        <w:jc w:val="both"/>
        <w:rPr>
          <w:rFonts w:eastAsiaTheme="minorEastAsia"/>
          <w:b/>
          <w:sz w:val="20"/>
          <w:szCs w:val="20"/>
          <w:lang w:eastAsia="zh-CN"/>
        </w:rPr>
      </w:pPr>
    </w:p>
    <w:p w:rsidR="001D29EA" w:rsidRDefault="00FF2695" w:rsidP="00340A14">
      <w:pPr>
        <w:jc w:val="both"/>
        <w:rPr>
          <w:b/>
          <w:sz w:val="20"/>
          <w:szCs w:val="20"/>
        </w:rPr>
      </w:pPr>
      <w:r>
        <w:rPr>
          <w:b/>
          <w:sz w:val="20"/>
          <w:szCs w:val="20"/>
        </w:rPr>
        <w:t>Branchless Banking</w:t>
      </w:r>
    </w:p>
    <w:p w:rsidR="001D29EA" w:rsidRDefault="00FF2695" w:rsidP="00340A14">
      <w:pPr>
        <w:pStyle w:val="ListParagraph"/>
        <w:spacing w:after="0" w:line="240" w:lineRule="auto"/>
        <w:ind w:left="0" w:firstLineChars="425" w:firstLine="850"/>
        <w:jc w:val="both"/>
        <w:rPr>
          <w:rFonts w:ascii="Times New Roman" w:hAnsi="Times New Roman" w:cs="Times New Roman"/>
          <w:sz w:val="20"/>
          <w:szCs w:val="20"/>
        </w:rPr>
      </w:pPr>
      <w:r>
        <w:rPr>
          <w:rFonts w:ascii="Times New Roman" w:hAnsi="Times New Roman" w:cs="Times New Roman"/>
          <w:sz w:val="20"/>
          <w:szCs w:val="20"/>
        </w:rPr>
        <w:t>Branchless banking means providing financial services beyond traditional branches of the banking industry, using retail agents or third-party intermediaries as the main customer ties and the use of card reading technology. Technology Transaction data (POS) terminals and cell phones (CGAP, 2011).</w:t>
      </w:r>
    </w:p>
    <w:p w:rsidR="001D29EA" w:rsidRDefault="00FF2695" w:rsidP="00340A14">
      <w:pPr>
        <w:pStyle w:val="ListParagraph"/>
        <w:spacing w:after="0" w:line="240" w:lineRule="auto"/>
        <w:ind w:left="0" w:firstLineChars="425" w:firstLine="850"/>
        <w:jc w:val="both"/>
        <w:rPr>
          <w:rFonts w:ascii="Times New Roman" w:hAnsi="Times New Roman" w:cs="Times New Roman"/>
          <w:sz w:val="20"/>
          <w:szCs w:val="20"/>
        </w:rPr>
      </w:pPr>
      <w:r>
        <w:rPr>
          <w:rFonts w:ascii="Times New Roman" w:hAnsi="Times New Roman" w:cs="Times New Roman"/>
          <w:sz w:val="20"/>
          <w:szCs w:val="20"/>
        </w:rPr>
        <w:lastRenderedPageBreak/>
        <w:t xml:space="preserve">According to Central bank of Pakistan (2010), the agency Bank is a corporation / entity operating on behalf of an additional bank, and thus, as the parent bank's agent, is unable to accept deposits or to expand credit under its own name. An agent is a retail outlet contracted to handle consumer purchases through a financial institution or mobile network operator. Instead of being a branch accountant, the process is being carried out by the store owner / employee, who lets consumers deposit, withdraw, and transfers money, pay their bills, inquire into the balance, or collect government benefits, or their employer's direct deposit. The same practice has been adopted in Pakistan in regard to branchless banking which add values and worth to economy. </w:t>
      </w:r>
    </w:p>
    <w:p w:rsidR="00340A14" w:rsidRDefault="00340A14" w:rsidP="00340A14">
      <w:pPr>
        <w:jc w:val="both"/>
        <w:rPr>
          <w:rFonts w:eastAsiaTheme="minorEastAsia"/>
          <w:b/>
          <w:sz w:val="20"/>
          <w:szCs w:val="20"/>
          <w:lang w:eastAsia="zh-CN"/>
        </w:rPr>
      </w:pPr>
    </w:p>
    <w:p w:rsidR="001D29EA" w:rsidRDefault="00FF2695" w:rsidP="00340A14">
      <w:pPr>
        <w:jc w:val="both"/>
        <w:rPr>
          <w:b/>
          <w:sz w:val="20"/>
          <w:szCs w:val="20"/>
        </w:rPr>
      </w:pPr>
      <w:r>
        <w:rPr>
          <w:b/>
          <w:sz w:val="20"/>
          <w:szCs w:val="20"/>
        </w:rPr>
        <w:t>Problem statement</w:t>
      </w:r>
    </w:p>
    <w:p w:rsidR="001D29EA" w:rsidRDefault="00FF2695" w:rsidP="00340A14">
      <w:pPr>
        <w:ind w:firstLineChars="425" w:firstLine="850"/>
        <w:jc w:val="both"/>
        <w:rPr>
          <w:sz w:val="20"/>
          <w:szCs w:val="20"/>
        </w:rPr>
      </w:pPr>
      <w:r>
        <w:rPr>
          <w:sz w:val="20"/>
          <w:szCs w:val="20"/>
        </w:rPr>
        <w:t>Banking is of an immense significance in this incessantly changing business environment. Banking plays eminent role in the country economic development and in entrepreneurship. Banks in the world have invested heavily in the provision of technology-based banking products and services for mobile business networks and have lowered total operating costs (Capgemini, 2012). In order to generate revenues from technologically oriented distribution networks and to adjust to evolving client tastes and desires, these heavy investments were made into technology-driven modes of business (Frei et Al 1998). In order to optimize the advantages of branchless banking, the current study deals to find out the impact of branchless system on the financial performance of the commercial banks operating in Peshawar Pakistan.</w:t>
      </w:r>
    </w:p>
    <w:p w:rsidR="00340A14" w:rsidRDefault="00340A14">
      <w:pPr>
        <w:jc w:val="both"/>
        <w:rPr>
          <w:rFonts w:eastAsiaTheme="minorEastAsia"/>
          <w:b/>
          <w:sz w:val="20"/>
          <w:szCs w:val="20"/>
          <w:lang w:eastAsia="zh-CN"/>
        </w:rPr>
      </w:pPr>
    </w:p>
    <w:p w:rsidR="001D29EA" w:rsidRDefault="00FF2695">
      <w:pPr>
        <w:jc w:val="both"/>
        <w:rPr>
          <w:b/>
          <w:sz w:val="20"/>
          <w:szCs w:val="20"/>
        </w:rPr>
      </w:pPr>
      <w:r>
        <w:rPr>
          <w:b/>
          <w:sz w:val="20"/>
          <w:szCs w:val="20"/>
        </w:rPr>
        <w:t>Objective of the study</w:t>
      </w:r>
    </w:p>
    <w:p w:rsidR="001D29EA" w:rsidRDefault="00FF2695">
      <w:pPr>
        <w:pStyle w:val="NoSpacing"/>
        <w:numPr>
          <w:ilvl w:val="0"/>
          <w:numId w:val="1"/>
        </w:numPr>
        <w:ind w:left="0" w:firstLine="0"/>
        <w:jc w:val="both"/>
        <w:rPr>
          <w:rFonts w:ascii="Times New Roman" w:hAnsi="Times New Roman" w:cs="Times New Roman"/>
          <w:sz w:val="20"/>
          <w:szCs w:val="20"/>
        </w:rPr>
      </w:pPr>
      <w:r>
        <w:rPr>
          <w:rFonts w:ascii="Times New Roman" w:hAnsi="Times New Roman" w:cs="Times New Roman"/>
          <w:sz w:val="20"/>
          <w:szCs w:val="20"/>
        </w:rPr>
        <w:t>To evaluate the association of agency banking, electronic banking and financial performance of commercial banks in Peshawar.</w:t>
      </w:r>
    </w:p>
    <w:p w:rsidR="001D29EA" w:rsidRDefault="00FF2695">
      <w:pPr>
        <w:pStyle w:val="ListParagraph"/>
        <w:numPr>
          <w:ilvl w:val="0"/>
          <w:numId w:val="1"/>
        </w:numPr>
        <w:spacing w:after="0" w:line="240" w:lineRule="auto"/>
        <w:ind w:left="0" w:firstLine="0"/>
        <w:jc w:val="both"/>
        <w:rPr>
          <w:rFonts w:ascii="Times New Roman" w:hAnsi="Times New Roman" w:cs="Times New Roman"/>
          <w:b/>
          <w:sz w:val="20"/>
          <w:szCs w:val="20"/>
        </w:rPr>
      </w:pPr>
      <w:r>
        <w:rPr>
          <w:rFonts w:ascii="Times New Roman" w:hAnsi="Times New Roman" w:cs="Times New Roman"/>
          <w:sz w:val="20"/>
          <w:szCs w:val="20"/>
        </w:rPr>
        <w:t>To analyze the effect of agency and electronic banking on the financial performance of commercial banks in Peshawar.</w:t>
      </w:r>
    </w:p>
    <w:p w:rsidR="00340A14" w:rsidRDefault="00340A14">
      <w:pPr>
        <w:jc w:val="both"/>
        <w:rPr>
          <w:rFonts w:eastAsiaTheme="minorEastAsia"/>
          <w:b/>
          <w:sz w:val="20"/>
          <w:szCs w:val="20"/>
          <w:lang w:eastAsia="zh-CN"/>
        </w:rPr>
      </w:pPr>
    </w:p>
    <w:p w:rsidR="001D29EA" w:rsidRDefault="00FF2695">
      <w:pPr>
        <w:jc w:val="both"/>
        <w:rPr>
          <w:b/>
          <w:sz w:val="20"/>
          <w:szCs w:val="20"/>
        </w:rPr>
      </w:pPr>
      <w:r>
        <w:rPr>
          <w:b/>
          <w:sz w:val="20"/>
          <w:szCs w:val="20"/>
        </w:rPr>
        <w:t xml:space="preserve">Significance of the study </w:t>
      </w:r>
    </w:p>
    <w:p w:rsidR="001D29EA" w:rsidRDefault="00FF2695" w:rsidP="00340A14">
      <w:pPr>
        <w:ind w:firstLineChars="425" w:firstLine="850"/>
        <w:jc w:val="both"/>
        <w:rPr>
          <w:b/>
          <w:sz w:val="20"/>
          <w:szCs w:val="20"/>
        </w:rPr>
      </w:pPr>
      <w:r>
        <w:rPr>
          <w:sz w:val="20"/>
          <w:szCs w:val="20"/>
        </w:rPr>
        <w:t xml:space="preserve">This study serves financial management scholars / researchers, national and regional politicians, shareholders and senior managers in commercial banks and customers. The research would add a great deal to the academics' expertise in the field of commercial banks ' financial results. Management focuses on efficient control of the company's assets. Bank managers need to develop creative and effective management strategies to increase profits and create shareholder value. In particular by the smaller banks, the branchless banking model can be incorporated into market penetration strategies and cost control </w:t>
      </w:r>
      <w:r>
        <w:rPr>
          <w:sz w:val="20"/>
          <w:szCs w:val="20"/>
        </w:rPr>
        <w:lastRenderedPageBreak/>
        <w:t>strategies. Branchless banking is one of the cheapest outlets for consumers in particular who use banking services for small transactions. It is also useful for customers living in rural and remote areas with less developed traditional banking facilities.</w:t>
      </w:r>
    </w:p>
    <w:p w:rsidR="00340A14" w:rsidRDefault="00340A14" w:rsidP="00340A14">
      <w:pPr>
        <w:pStyle w:val="Heading2"/>
        <w:spacing w:before="0"/>
        <w:jc w:val="both"/>
        <w:rPr>
          <w:rFonts w:ascii="Times New Roman" w:hAnsi="Times New Roman" w:cs="Times New Roman"/>
          <w:color w:val="auto"/>
          <w:sz w:val="20"/>
          <w:szCs w:val="20"/>
          <w:lang w:eastAsia="zh-CN"/>
        </w:rPr>
      </w:pPr>
    </w:p>
    <w:p w:rsidR="001D29EA" w:rsidRDefault="00FF2695" w:rsidP="00340A14">
      <w:pPr>
        <w:pStyle w:val="Heading2"/>
        <w:spacing w:before="0"/>
        <w:jc w:val="both"/>
        <w:rPr>
          <w:rFonts w:ascii="Times New Roman" w:hAnsi="Times New Roman" w:cs="Times New Roman"/>
          <w:color w:val="auto"/>
          <w:sz w:val="20"/>
          <w:szCs w:val="20"/>
        </w:rPr>
      </w:pPr>
      <w:r>
        <w:rPr>
          <w:rFonts w:ascii="Times New Roman" w:hAnsi="Times New Roman" w:cs="Times New Roman"/>
          <w:color w:val="auto"/>
          <w:sz w:val="20"/>
          <w:szCs w:val="20"/>
        </w:rPr>
        <w:t>Research Gap</w:t>
      </w:r>
    </w:p>
    <w:p w:rsidR="001D29EA" w:rsidRDefault="00340A14" w:rsidP="00340A14">
      <w:pPr>
        <w:ind w:firstLineChars="425" w:firstLine="850"/>
        <w:jc w:val="both"/>
        <w:rPr>
          <w:sz w:val="20"/>
          <w:szCs w:val="20"/>
        </w:rPr>
      </w:pPr>
      <w:r>
        <w:rPr>
          <w:sz w:val="20"/>
          <w:szCs w:val="20"/>
        </w:rPr>
        <w:t>The credit</w:t>
      </w:r>
      <w:r w:rsidR="00FF2695">
        <w:rPr>
          <w:sz w:val="20"/>
          <w:szCs w:val="20"/>
        </w:rPr>
        <w:t xml:space="preserve"> risks are the foster problems in developing countries for banks. For example Non-performing loans and losses provisions for loans ratio has been increased. The banks and their decision makers are also confronting an issue of less deposits so the capital shortage is a big challenge these days. Similarly the banks greater liquidity is another impediment as it reduces the growth as well as return. Instead of this, the bank investment in different opportunities can bring more return. Thus it’s a greater challenge to place the funds in more promising prospects and avenues. While the element of bank risk is associated with its operation, capital, solvency, liquidity and credit. In Pakistan researchers have considered mostly most of the other factors other than branchless banking</w:t>
      </w:r>
      <w:r>
        <w:rPr>
          <w:rFonts w:eastAsiaTheme="minorEastAsia" w:hint="eastAsia"/>
          <w:sz w:val="20"/>
          <w:szCs w:val="20"/>
          <w:lang w:eastAsia="zh-CN"/>
        </w:rPr>
        <w:t xml:space="preserve">, </w:t>
      </w:r>
      <w:r w:rsidR="00FF2695">
        <w:rPr>
          <w:sz w:val="20"/>
          <w:szCs w:val="20"/>
        </w:rPr>
        <w:t>i.e. agency banking and electronic banking relation with the financial performance, so the gap is therefore such a research which will elaborate the impact of branchless banking system on the financial performance.</w:t>
      </w:r>
    </w:p>
    <w:p w:rsidR="00340A14" w:rsidRDefault="00340A14" w:rsidP="00340A14">
      <w:pPr>
        <w:jc w:val="both"/>
        <w:rPr>
          <w:rFonts w:eastAsiaTheme="minorEastAsia"/>
          <w:b/>
          <w:sz w:val="20"/>
          <w:szCs w:val="20"/>
          <w:lang w:eastAsia="zh-CN"/>
        </w:rPr>
      </w:pPr>
    </w:p>
    <w:p w:rsidR="001D29EA" w:rsidRDefault="00FF2695" w:rsidP="00340A14">
      <w:pPr>
        <w:jc w:val="both"/>
        <w:rPr>
          <w:b/>
          <w:sz w:val="20"/>
          <w:szCs w:val="20"/>
        </w:rPr>
      </w:pPr>
      <w:r>
        <w:rPr>
          <w:b/>
          <w:sz w:val="20"/>
          <w:szCs w:val="20"/>
        </w:rPr>
        <w:t>Literature Review:</w:t>
      </w:r>
    </w:p>
    <w:p w:rsidR="001D29EA" w:rsidRDefault="00FF2695" w:rsidP="00340A14">
      <w:pPr>
        <w:pStyle w:val="Default"/>
        <w:spacing w:after="0" w:line="240" w:lineRule="auto"/>
        <w:ind w:firstLineChars="425" w:firstLine="850"/>
        <w:jc w:val="both"/>
        <w:rPr>
          <w:rFonts w:ascii="Times New Roman" w:hAnsi="Times New Roman" w:cs="Times New Roman"/>
          <w:sz w:val="20"/>
          <w:szCs w:val="20"/>
        </w:rPr>
      </w:pPr>
      <w:r>
        <w:rPr>
          <w:rFonts w:ascii="Times New Roman" w:hAnsi="Times New Roman" w:cs="Times New Roman"/>
          <w:sz w:val="20"/>
          <w:szCs w:val="20"/>
        </w:rPr>
        <w:t xml:space="preserve">The banks' economic performance has major consequences for the economic development of the entire country, according to Ongore and Kusa (2012). The shareholders reward their investment with good financial results. This in turn stimulates further investment and contributes to economic growth. Failure to perform banking on the other hand can lead to bank failure crises, which have adverse effects on growth. Studies have found that Sub-Saharan African Commercial Banks (SSA) have a 2 percent average return on assets (ROA) over the last decade, more profitable than the rest of the world. </w:t>
      </w:r>
    </w:p>
    <w:p w:rsidR="001D29EA" w:rsidRDefault="00FF2695" w:rsidP="00340A14">
      <w:pPr>
        <w:pStyle w:val="Default"/>
        <w:spacing w:after="0" w:line="240" w:lineRule="auto"/>
        <w:ind w:firstLineChars="425" w:firstLine="850"/>
        <w:jc w:val="both"/>
        <w:rPr>
          <w:rFonts w:ascii="Times New Roman" w:eastAsia="Times New Roman" w:hAnsi="Times New Roman" w:cs="Times New Roman"/>
          <w:color w:val="auto"/>
          <w:sz w:val="20"/>
          <w:szCs w:val="20"/>
        </w:rPr>
      </w:pPr>
      <w:r>
        <w:rPr>
          <w:rFonts w:ascii="Times New Roman" w:hAnsi="Times New Roman" w:cs="Times New Roman"/>
          <w:sz w:val="20"/>
          <w:szCs w:val="20"/>
        </w:rPr>
        <w:t>In the post-liberalization period in Pakistan, Kamau (2011) carried out a study to analyze the intermediation efficiency and productivity of the banking sector. Although the banking sector is a significant component of Pakistan's financial systems, there is little information on its intermediation efficiency and productivity role in this report.</w:t>
      </w:r>
      <w:r>
        <w:rPr>
          <w:rFonts w:ascii="Times New Roman" w:eastAsia="Times New Roman" w:hAnsi="Times New Roman" w:cs="Times New Roman"/>
          <w:color w:val="auto"/>
          <w:sz w:val="20"/>
          <w:szCs w:val="20"/>
        </w:rPr>
        <w:t xml:space="preserve"> Monetary management companies are of utmost importance to financial performance. There are a number of scenarios in literature for its role, material and liquid management standards. Every company needs to manage the cash flow at the rate of sale rate, as well as the proportion of the risk at which the risk is acceptable. The liquidity management is seeking to control and control a remitted expenditure such as bad </w:t>
      </w:r>
      <w:r>
        <w:rPr>
          <w:rFonts w:ascii="Times New Roman" w:eastAsia="Times New Roman" w:hAnsi="Times New Roman" w:cs="Times New Roman"/>
          <w:color w:val="auto"/>
          <w:sz w:val="20"/>
          <w:szCs w:val="20"/>
        </w:rPr>
        <w:lastRenderedPageBreak/>
        <w:t>debts, debt management costs, losses and cost of financing the cost of financing the receivables. Therefore, Inqui (2006), which explains the LDT administration, generally maintains public trust, which is rapidly funded by the market and satisfied by the market, by focusing on sufficient funds.</w:t>
      </w:r>
    </w:p>
    <w:p w:rsidR="00340A14" w:rsidRDefault="00FF2695" w:rsidP="00340A14">
      <w:pPr>
        <w:ind w:firstLineChars="425" w:firstLine="850"/>
        <w:jc w:val="both"/>
        <w:rPr>
          <w:rFonts w:eastAsiaTheme="minorEastAsia"/>
          <w:sz w:val="20"/>
          <w:szCs w:val="20"/>
          <w:lang w:eastAsia="zh-CN"/>
        </w:rPr>
      </w:pPr>
      <w:r>
        <w:rPr>
          <w:sz w:val="20"/>
          <w:szCs w:val="20"/>
        </w:rPr>
        <w:t xml:space="preserve"> In order to calculate the productivity gains of banks in Pakistan, the study adopted a non-parametric data envelopment analysis (DEA) for analysis of bank intermediation efficiency and the Malmquist Development Index (MDI). She noticed that while the banks were not completely structured, they did so.</w:t>
      </w:r>
    </w:p>
    <w:p w:rsidR="00340A14" w:rsidRDefault="00340A14" w:rsidP="00340A14">
      <w:pPr>
        <w:jc w:val="both"/>
        <w:rPr>
          <w:rFonts w:eastAsiaTheme="minorEastAsia"/>
          <w:sz w:val="20"/>
          <w:szCs w:val="20"/>
          <w:lang w:eastAsia="zh-CN"/>
        </w:rPr>
      </w:pPr>
    </w:p>
    <w:p w:rsidR="001D29EA" w:rsidRPr="00340A14" w:rsidRDefault="00FF2695" w:rsidP="00340A14">
      <w:pPr>
        <w:jc w:val="both"/>
        <w:rPr>
          <w:b/>
          <w:sz w:val="20"/>
          <w:szCs w:val="20"/>
        </w:rPr>
      </w:pPr>
      <w:r w:rsidRPr="00340A14">
        <w:rPr>
          <w:b/>
          <w:sz w:val="20"/>
          <w:szCs w:val="20"/>
        </w:rPr>
        <w:t>Effect of agency banking on the financial performance of commercial banks</w:t>
      </w:r>
    </w:p>
    <w:p w:rsidR="001D29EA" w:rsidRDefault="00FF2695" w:rsidP="00340A14">
      <w:pPr>
        <w:pStyle w:val="ListParagraph"/>
        <w:spacing w:after="0" w:line="240" w:lineRule="auto"/>
        <w:ind w:left="0" w:firstLineChars="425" w:firstLine="850"/>
        <w:jc w:val="both"/>
        <w:rPr>
          <w:rFonts w:ascii="Times New Roman" w:hAnsi="Times New Roman" w:cs="Times New Roman"/>
          <w:sz w:val="20"/>
          <w:szCs w:val="20"/>
        </w:rPr>
      </w:pPr>
      <w:r>
        <w:rPr>
          <w:rFonts w:ascii="Times New Roman" w:hAnsi="Times New Roman" w:cs="Times New Roman"/>
          <w:sz w:val="20"/>
          <w:szCs w:val="20"/>
        </w:rPr>
        <w:t xml:space="preserve">Banks and other business service providers are seeking new ways of making money by offering financial services and goods for unbanked individuals in rising numbers. They have banking and payment services, including grocers, supermarkets, seed and fertilizer stores and fuel stations, in addition to their own field officials and their own bank branches (CGAP 2006). Policymakers and regulators show great </w:t>
      </w:r>
      <w:r>
        <w:rPr>
          <w:rFonts w:ascii="Times New Roman" w:hAnsi="Times New Roman" w:cs="Times New Roman"/>
          <w:sz w:val="20"/>
          <w:szCs w:val="20"/>
        </w:rPr>
        <w:lastRenderedPageBreak/>
        <w:t>interest in branchless banking, but stringent regulations continue to curb the emergency of branchless banking in most countries. </w:t>
      </w:r>
    </w:p>
    <w:p w:rsidR="00340A14" w:rsidRDefault="00340A14" w:rsidP="00340A14">
      <w:pPr>
        <w:pStyle w:val="Heading2"/>
        <w:keepNext w:val="0"/>
        <w:keepLines w:val="0"/>
        <w:widowControl w:val="0"/>
        <w:tabs>
          <w:tab w:val="left" w:pos="1585"/>
        </w:tabs>
        <w:autoSpaceDE w:val="0"/>
        <w:autoSpaceDN w:val="0"/>
        <w:spacing w:before="0"/>
        <w:jc w:val="both"/>
        <w:rPr>
          <w:rFonts w:ascii="Times New Roman" w:hAnsi="Times New Roman" w:cs="Times New Roman"/>
          <w:color w:val="auto"/>
          <w:sz w:val="20"/>
          <w:szCs w:val="20"/>
          <w:lang w:eastAsia="zh-CN"/>
        </w:rPr>
      </w:pPr>
    </w:p>
    <w:p w:rsidR="001D29EA" w:rsidRDefault="00FF2695" w:rsidP="00340A14">
      <w:pPr>
        <w:pStyle w:val="Heading2"/>
        <w:keepNext w:val="0"/>
        <w:keepLines w:val="0"/>
        <w:widowControl w:val="0"/>
        <w:tabs>
          <w:tab w:val="left" w:pos="1585"/>
        </w:tabs>
        <w:autoSpaceDE w:val="0"/>
        <w:autoSpaceDN w:val="0"/>
        <w:spacing w:before="0"/>
        <w:jc w:val="both"/>
        <w:rPr>
          <w:rFonts w:ascii="Times New Roman" w:hAnsi="Times New Roman" w:cs="Times New Roman"/>
          <w:color w:val="auto"/>
          <w:sz w:val="20"/>
          <w:szCs w:val="20"/>
        </w:rPr>
      </w:pPr>
      <w:r>
        <w:rPr>
          <w:rFonts w:ascii="Times New Roman" w:hAnsi="Times New Roman" w:cs="Times New Roman"/>
          <w:color w:val="auto"/>
          <w:sz w:val="20"/>
          <w:szCs w:val="20"/>
        </w:rPr>
        <w:t>Effect of electronic banking on the financial performance of commercial banks</w:t>
      </w:r>
    </w:p>
    <w:p w:rsidR="001D29EA" w:rsidRDefault="00FF2695" w:rsidP="00340A14">
      <w:pPr>
        <w:ind w:firstLineChars="425" w:firstLine="850"/>
        <w:jc w:val="both"/>
        <w:rPr>
          <w:rFonts w:eastAsiaTheme="majorEastAsia"/>
          <w:bCs/>
          <w:sz w:val="20"/>
          <w:szCs w:val="20"/>
        </w:rPr>
      </w:pPr>
      <w:r>
        <w:rPr>
          <w:rFonts w:eastAsiaTheme="majorEastAsia"/>
          <w:bCs/>
          <w:sz w:val="20"/>
          <w:szCs w:val="20"/>
        </w:rPr>
        <w:t>The use of the web was seen from the bank perspective as more successful as Sadeghi and Farokhian (2011) than other distribution strategies. Malhotra and Singh (2009) also showed that on average internet banks are larger, more profitable and more operationally effective in their analysis of the effect of internet banking on banking efficiency and risk. They also find that the quality of the assets of internet banks has improved and the capital costs have been reduced better and that online banks in India rely substantially on deposits.</w:t>
      </w:r>
    </w:p>
    <w:p w:rsidR="00340A14" w:rsidRDefault="00340A14" w:rsidP="00340A14">
      <w:pPr>
        <w:pStyle w:val="Heading2"/>
        <w:spacing w:before="0"/>
        <w:jc w:val="both"/>
        <w:rPr>
          <w:rFonts w:ascii="Times New Roman" w:hAnsi="Times New Roman" w:cs="Times New Roman"/>
          <w:color w:val="auto"/>
          <w:sz w:val="20"/>
          <w:szCs w:val="20"/>
          <w:lang w:eastAsia="zh-CN"/>
        </w:rPr>
      </w:pPr>
    </w:p>
    <w:p w:rsidR="001D29EA" w:rsidRDefault="00FF2695" w:rsidP="00340A14">
      <w:pPr>
        <w:pStyle w:val="Heading2"/>
        <w:spacing w:before="0"/>
        <w:jc w:val="both"/>
        <w:rPr>
          <w:rFonts w:ascii="Times New Roman" w:hAnsi="Times New Roman" w:cs="Times New Roman"/>
          <w:color w:val="auto"/>
          <w:sz w:val="20"/>
          <w:szCs w:val="20"/>
        </w:rPr>
      </w:pPr>
      <w:r>
        <w:rPr>
          <w:rFonts w:ascii="Times New Roman" w:hAnsi="Times New Roman" w:cs="Times New Roman"/>
          <w:color w:val="auto"/>
          <w:sz w:val="20"/>
          <w:szCs w:val="20"/>
        </w:rPr>
        <w:t>THEORETICAL MODEL</w:t>
      </w:r>
    </w:p>
    <w:p w:rsidR="001D29EA" w:rsidRDefault="00FF2695" w:rsidP="00340A14">
      <w:pPr>
        <w:pStyle w:val="NoSpacing"/>
        <w:ind w:firstLineChars="425" w:firstLine="850"/>
        <w:jc w:val="both"/>
        <w:rPr>
          <w:rFonts w:ascii="Times New Roman" w:hAnsi="Times New Roman" w:cs="Times New Roman"/>
          <w:sz w:val="20"/>
          <w:szCs w:val="20"/>
        </w:rPr>
        <w:sectPr w:rsidR="001D29EA">
          <w:type w:val="continuous"/>
          <w:pgSz w:w="12191" w:h="15819"/>
          <w:pgMar w:top="1440" w:right="1440" w:bottom="1440" w:left="1440" w:header="720" w:footer="720" w:gutter="0"/>
          <w:cols w:num="2" w:space="720" w:equalWidth="0">
            <w:col w:w="4443" w:space="425"/>
            <w:col w:w="4443"/>
          </w:cols>
          <w:titlePg/>
          <w:docGrid w:linePitch="360"/>
        </w:sectPr>
      </w:pPr>
      <w:r>
        <w:rPr>
          <w:rFonts w:ascii="Times New Roman" w:hAnsi="Times New Roman" w:cs="Times New Roman"/>
          <w:sz w:val="20"/>
          <w:szCs w:val="20"/>
        </w:rPr>
        <w:t xml:space="preserve">A theoretical model of the study as that branchless banking system is our independent variable which includes two sub variable i.e. agency banking and electronic banking. The dependent variable is financial performance of the commercial banks. </w:t>
      </w:r>
    </w:p>
    <w:p w:rsidR="001D29EA" w:rsidRDefault="001D29EA">
      <w:pPr>
        <w:pStyle w:val="NoSpacing"/>
        <w:jc w:val="both"/>
        <w:rPr>
          <w:rFonts w:ascii="Times New Roman" w:eastAsiaTheme="minorEastAsia" w:hAnsi="Times New Roman" w:cs="Times New Roman"/>
          <w:sz w:val="20"/>
          <w:szCs w:val="20"/>
          <w:lang w:eastAsia="zh-CN"/>
        </w:rPr>
      </w:pPr>
    </w:p>
    <w:p w:rsidR="00750A0D" w:rsidRDefault="00750A0D">
      <w:pPr>
        <w:pStyle w:val="NoSpacing"/>
        <w:jc w:val="both"/>
        <w:rPr>
          <w:rFonts w:ascii="Times New Roman" w:eastAsiaTheme="minorEastAsia" w:hAnsi="Times New Roman" w:cs="Times New Roman"/>
          <w:sz w:val="20"/>
          <w:szCs w:val="20"/>
          <w:lang w:eastAsia="zh-CN"/>
        </w:rPr>
      </w:pPr>
    </w:p>
    <w:p w:rsidR="00750A0D" w:rsidRPr="00750A0D" w:rsidRDefault="00750A0D">
      <w:pPr>
        <w:pStyle w:val="NoSpacing"/>
        <w:jc w:val="both"/>
        <w:rPr>
          <w:rFonts w:ascii="Times New Roman" w:eastAsiaTheme="minorEastAsia" w:hAnsi="Times New Roman" w:cs="Times New Roman"/>
          <w:sz w:val="20"/>
          <w:szCs w:val="20"/>
          <w:lang w:eastAsia="zh-CN"/>
        </w:rPr>
      </w:pPr>
    </w:p>
    <w:p w:rsidR="001D29EA" w:rsidRDefault="00B60C86">
      <w:pPr>
        <w:pStyle w:val="Heading2"/>
        <w:ind w:left="1440" w:firstLine="540"/>
        <w:rPr>
          <w:rFonts w:ascii="Times New Roman" w:hAnsi="Times New Roman" w:cs="Times New Roman"/>
          <w:color w:val="auto"/>
          <w:sz w:val="24"/>
          <w:szCs w:val="24"/>
        </w:rPr>
      </w:pPr>
      <w:bookmarkStart w:id="2" w:name="_Toc503578074"/>
      <w:r>
        <w:rPr>
          <w:rFonts w:ascii="Times New Roman" w:hAnsi="Times New Roman" w:cs="Times New Roman"/>
          <w:color w:val="auto"/>
          <w:sz w:val="24"/>
          <w:szCs w:val="24"/>
        </w:rPr>
        <w:pict>
          <v:rect id="Rectangle 7" o:spid="_x0000_s1036" style="position:absolute;left:0;text-align:left;margin-left:65.5pt;margin-top:15.45pt;width:95.8pt;height:36.95pt;z-index:-25166336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" strokecolor="#f79646" strokeweight="2pt">
            <v:textbox>
              <w:txbxContent>
                <w:p w:rsidR="001D29EA" w:rsidRDefault="00FF2695">
                  <w:pPr>
                    <w:jc w:val="center"/>
                  </w:pPr>
                  <w:r>
                    <w:t>Agency banking</w:t>
                  </w:r>
                </w:p>
              </w:txbxContent>
            </v:textbox>
          </v:rect>
        </w:pict>
      </w:r>
      <w:r>
        <w:rPr>
          <w:rFonts w:ascii="Times New Roman" w:hAnsi="Times New Roman" w:cs="Times New Roman"/>
          <w:color w:val="auto"/>
          <w:sz w:val="24"/>
          <w:szCs w:val="24"/>
        </w:rPr>
        <w:pict>
          <v:rect id="Rectangle 1" o:spid="_x0000_s1027" style="position:absolute;left:0;text-align:left;margin-left:6.7pt;margin-top:10.95pt;width:29.45pt;height:152.15pt;z-index:-251664384;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" strokecolor="#f79646" strokeweight="2pt">
            <v:textbox style="layout-flow:vertical;mso-layout-flow-alt:bottom-to-top">
              <w:txbxContent>
                <w:p w:rsidR="001D29EA" w:rsidRDefault="00FF2695">
                  <w:pPr>
                    <w:jc w:val="center"/>
                  </w:pPr>
                  <w:r>
                    <w:t>Branchless system</w:t>
                  </w:r>
                </w:p>
              </w:txbxContent>
            </v:textbox>
          </v:rect>
        </w:pict>
      </w:r>
    </w:p>
    <w:p w:rsidR="001D29EA" w:rsidRDefault="00B60C86">
      <w:pPr>
        <w:pStyle w:val="Heading2"/>
        <w:ind w:left="2160" w:firstLine="540"/>
        <w:rPr>
          <w:rFonts w:ascii="Times New Roman" w:hAnsi="Times New Roman" w:cs="Times New Roman"/>
          <w:color w:val="auto"/>
          <w:sz w:val="24"/>
          <w:szCs w:val="24"/>
        </w:rPr>
      </w:pPr>
      <w:r>
        <w:rPr>
          <w:rFonts w:ascii="Times New Roman" w:hAnsi="Times New Roman" w:cs="Times New Roman"/>
          <w:color w:val="auto"/>
          <w:sz w:val="24"/>
          <w:szCs w:val="24"/>
        </w:rPr>
        <w:pict>
          <v:rect id="Rectangle 11" o:spid="_x0000_s1028" style="position:absolute;left:0;text-align:left;margin-left:374.3pt;margin-top:6.35pt;width:95.75pt;height:36.9pt;z-index:-25166028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" strokecolor="#f79646" strokeweight="2pt">
            <v:textbox>
              <w:txbxContent>
                <w:p w:rsidR="001D29EA" w:rsidRDefault="00FF2695">
                  <w:pPr>
                    <w:jc w:val="center"/>
                  </w:pPr>
                  <w:r>
                    <w:t>Return on Assets</w:t>
                  </w:r>
                </w:p>
              </w:txbxContent>
            </v:textbox>
          </v:rect>
        </w:pict>
      </w:r>
      <w:r>
        <w:rPr>
          <w:rFonts w:ascii="Times New Roman" w:hAnsi="Times New Roman" w:cs="Times New Roman"/>
          <w:color w:val="auto"/>
          <w:sz w:val="24"/>
          <w:szCs w:val="24"/>
        </w:rPr>
        <w:pict>
          <v:shapetype id="_x0000_t32" coordsize="21600,21600" o:spt="32" o:oned="t" path="m,l21600,21600e" filled="f">
            <v:path arrowok="t" fillok="f" o:connecttype="none"/>
            <o:lock v:ext="edit" shapetype="t"/>
          </v:shapetype>
          <v:shape id="Straight Arrow Connector 28" o:spid="_x0000_s1026" type="#_x0000_t32" style="position:absolute;left:0;text-align:left;margin-left:165pt;margin-top:4.55pt;width:80.2pt;height:48.15pt;z-index:25166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">
            <v:stroke endarrow="open"/>
          </v:shape>
        </w:pict>
      </w:r>
      <w:r>
        <w:rPr>
          <w:rFonts w:ascii="Times New Roman" w:hAnsi="Times New Roman" w:cs="Times New Roman"/>
          <w:color w:val="auto"/>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7" o:spid="_x0000_s1037" type="#_x0000_t87" style="position:absolute;left:0;text-align:left;margin-left:43.6pt;margin-top:5.3pt;width:14.4pt;height:103.3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" adj="251"/>
        </w:pict>
      </w:r>
    </w:p>
    <w:bookmarkEnd w:id="2"/>
    <w:p w:rsidR="001D29EA" w:rsidRDefault="00B60C86">
      <w:pPr>
        <w:pStyle w:val="Heading2"/>
        <w:ind w:left="2160" w:firstLine="540"/>
        <w:rPr>
          <w:rFonts w:ascii="Times New Roman" w:hAnsi="Times New Roman" w:cs="Times New Roman"/>
          <w:color w:val="auto"/>
        </w:rPr>
      </w:pPr>
      <w:r w:rsidRPr="00B60C86">
        <w:rPr>
          <w:rFonts w:ascii="Times New Roman" w:hAnsi="Times New Roman" w:cs="Times New Roman"/>
          <w:color w:val="auto"/>
          <w:sz w:val="24"/>
          <w:szCs w:val="24"/>
        </w:rPr>
        <w:pict>
          <v:shape id="Left Brace 26" o:spid="_x0000_s1035" type="#_x0000_t87" style="position:absolute;left:0;text-align:left;margin-left:347.75pt;margin-top:3.15pt;width:25.65pt;height:56.35pt;z-index:251660288;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" adj="820"/>
        </w:pict>
      </w:r>
      <w:r w:rsidRPr="00B60C86">
        <w:rPr>
          <w:rFonts w:ascii="Times New Roman" w:hAnsi="Times New Roman" w:cs="Times New Roman"/>
          <w:color w:val="auto"/>
          <w:sz w:val="24"/>
          <w:szCs w:val="24"/>
        </w:rPr>
        <w:pict>
          <v:rect id="Rectangle 9" o:spid="_x0000_s1029" style="position:absolute;left:0;text-align:left;margin-left:246.75pt;margin-top:12.55pt;width:95.75pt;height:36.9pt;z-index:-251661312;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" strokecolor="#f79646" strokeweight="2pt">
            <v:textbox>
              <w:txbxContent>
                <w:p w:rsidR="001D29EA" w:rsidRDefault="00FF2695">
                  <w:pPr>
                    <w:jc w:val="center"/>
                  </w:pPr>
                  <w:r>
                    <w:t>Financial Performance</w:t>
                  </w:r>
                </w:p>
              </w:txbxContent>
            </v:textbox>
          </v:rect>
        </w:pict>
      </w:r>
    </w:p>
    <w:p w:rsidR="001D29EA" w:rsidRDefault="00B60C86">
      <w:pPr>
        <w:spacing w:after="240"/>
        <w:ind w:left="2160"/>
        <w:jc w:val="both"/>
        <w:rPr>
          <w:b/>
        </w:rPr>
      </w:pPr>
      <w:r w:rsidRPr="00B60C86">
        <w:pict>
          <v:rect id="Rectangle 14" o:spid="_x0000_s1030" style="position:absolute;left:0;text-align:left;margin-left:377.3pt;margin-top:8.85pt;width:95.75pt;height:36.9pt;z-index:-25165824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" strokecolor="#f79646" strokeweight="2pt">
            <v:textbox>
              <w:txbxContent>
                <w:p w:rsidR="001D29EA" w:rsidRDefault="00FF2695">
                  <w:pPr>
                    <w:jc w:val="center"/>
                  </w:pPr>
                  <w:r>
                    <w:t>Return on Equity</w:t>
                  </w:r>
                </w:p>
              </w:txbxContent>
            </v:textbox>
          </v:rect>
        </w:pict>
      </w:r>
      <w:r w:rsidRPr="00B60C86">
        <w:pict>
          <v:shape id="Straight Arrow Connector 29" o:spid="_x0000_s1034" type="#_x0000_t32" style="position:absolute;left:0;text-align:left;margin-left:162.05pt;margin-top:11.05pt;width:80.15pt;height:47pt;flip:y;z-index:25166336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">
            <v:stroke endarrow="open"/>
          </v:shape>
        </w:pict>
      </w:r>
      <w:r w:rsidRPr="00B60C86">
        <w:pict>
          <v:rect id="Rectangle 8" o:spid="_x0000_s1031" style="position:absolute;left:0;text-align:left;margin-left:61.75pt;margin-top:20.8pt;width:95.75pt;height:49.4pt;z-index:-25166233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" strokecolor="#f79646" strokeweight="2pt">
            <v:textbox>
              <w:txbxContent>
                <w:p w:rsidR="001D29EA" w:rsidRDefault="00FF2695">
                  <w:pPr>
                    <w:jc w:val="center"/>
                  </w:pPr>
                  <w:r>
                    <w:t>Electronic banking</w:t>
                  </w:r>
                </w:p>
              </w:txbxContent>
            </v:textbox>
          </v:rect>
        </w:pict>
      </w:r>
    </w:p>
    <w:p w:rsidR="001D29EA" w:rsidRDefault="001D29EA">
      <w:pPr>
        <w:spacing w:after="240"/>
        <w:ind w:left="2160"/>
        <w:jc w:val="both"/>
        <w:rPr>
          <w:b/>
        </w:rPr>
      </w:pPr>
    </w:p>
    <w:p w:rsidR="001D29EA" w:rsidRDefault="00B60C86">
      <w:pPr>
        <w:spacing w:after="240"/>
        <w:ind w:left="2160"/>
        <w:jc w:val="both"/>
        <w:rPr>
          <w:b/>
        </w:rPr>
      </w:pPr>
      <w:r w:rsidRPr="00B60C86">
        <w:pict>
          <v:rect id="Rectangle 3" o:spid="_x0000_s1032" style="position:absolute;left:0;text-align:left;margin-left:322.5pt;margin-top:23.8pt;width:148.25pt;height:32.25pt;z-index:-251659264;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" strokecolor="#f79646" strokeweight="2pt">
            <v:textbox>
              <w:txbxContent>
                <w:p w:rsidR="001D29EA" w:rsidRDefault="00FF2695">
                  <w:pPr>
                    <w:jc w:val="center"/>
                    <w:rPr>
                      <w:b/>
                    </w:rPr>
                  </w:pPr>
                  <w:r>
                    <w:rPr>
                      <w:b/>
                    </w:rPr>
                    <w:t>Dependent Variable</w:t>
                  </w:r>
                </w:p>
              </w:txbxContent>
            </v:textbox>
          </v:rect>
        </w:pict>
      </w:r>
    </w:p>
    <w:p w:rsidR="001D29EA" w:rsidRDefault="00B60C86">
      <w:pPr>
        <w:spacing w:after="240"/>
        <w:ind w:left="2160"/>
        <w:jc w:val="both"/>
        <w:rPr>
          <w:b/>
        </w:rPr>
      </w:pPr>
      <w:r w:rsidRPr="00B60C86">
        <w:pict>
          <v:rect id="Rectangle 4" o:spid="_x0000_s1033" style="position:absolute;left:0;text-align:left;margin-left:7.5pt;margin-top:6.25pt;width:2in;height:36.95pt;z-index:-251657216;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" strokecolor="#f79646" strokeweight="2pt">
            <v:textbox>
              <w:txbxContent>
                <w:p w:rsidR="001D29EA" w:rsidRDefault="00FF2695">
                  <w:pPr>
                    <w:jc w:val="center"/>
                    <w:rPr>
                      <w:b/>
                    </w:rPr>
                  </w:pPr>
                  <w:r>
                    <w:rPr>
                      <w:b/>
                    </w:rPr>
                    <w:t>Independent variables</w:t>
                  </w:r>
                </w:p>
              </w:txbxContent>
            </v:textbox>
          </v:rect>
        </w:pict>
      </w:r>
    </w:p>
    <w:p w:rsidR="001D29EA" w:rsidRDefault="001D29EA">
      <w:pPr>
        <w:spacing w:after="240"/>
        <w:ind w:left="2160"/>
        <w:jc w:val="both"/>
        <w:rPr>
          <w:b/>
        </w:rPr>
      </w:pPr>
    </w:p>
    <w:p w:rsidR="001D29EA" w:rsidRDefault="001D29EA">
      <w:pPr>
        <w:jc w:val="both"/>
        <w:rPr>
          <w:rFonts w:eastAsiaTheme="minorEastAsia"/>
          <w:b/>
          <w:sz w:val="20"/>
          <w:szCs w:val="20"/>
          <w:lang w:eastAsia="zh-CN"/>
        </w:rPr>
      </w:pPr>
    </w:p>
    <w:p w:rsidR="00340A14" w:rsidRDefault="00340A14">
      <w:pPr>
        <w:jc w:val="both"/>
        <w:rPr>
          <w:rFonts w:eastAsiaTheme="minorEastAsia"/>
          <w:b/>
          <w:sz w:val="20"/>
          <w:szCs w:val="20"/>
          <w:lang w:eastAsia="zh-CN"/>
        </w:rPr>
      </w:pPr>
    </w:p>
    <w:p w:rsidR="00340A14" w:rsidRPr="00340A14" w:rsidRDefault="00340A14">
      <w:pPr>
        <w:jc w:val="both"/>
        <w:rPr>
          <w:rFonts w:eastAsiaTheme="minorEastAsia"/>
          <w:b/>
          <w:sz w:val="20"/>
          <w:szCs w:val="20"/>
          <w:lang w:eastAsia="zh-CN"/>
        </w:rPr>
        <w:sectPr w:rsidR="00340A14" w:rsidRPr="00340A14">
          <w:type w:val="continuous"/>
          <w:pgSz w:w="12191" w:h="15819"/>
          <w:pgMar w:top="1440" w:right="1440" w:bottom="1440" w:left="1440" w:header="720" w:footer="720" w:gutter="0"/>
          <w:cols w:space="720"/>
          <w:titlePg/>
          <w:docGrid w:linePitch="360"/>
        </w:sectPr>
      </w:pPr>
    </w:p>
    <w:p w:rsidR="001D29EA" w:rsidRDefault="00FF2695">
      <w:pPr>
        <w:jc w:val="both"/>
        <w:rPr>
          <w:b/>
          <w:sz w:val="20"/>
          <w:szCs w:val="20"/>
        </w:rPr>
      </w:pPr>
      <w:r>
        <w:rPr>
          <w:b/>
          <w:sz w:val="20"/>
          <w:szCs w:val="20"/>
        </w:rPr>
        <w:lastRenderedPageBreak/>
        <w:t xml:space="preserve">Hypotheses </w:t>
      </w:r>
    </w:p>
    <w:p w:rsidR="001D29EA" w:rsidRDefault="00FF2695" w:rsidP="00340A14">
      <w:pPr>
        <w:pStyle w:val="NoSpacing"/>
        <w:ind w:leftChars="54" w:left="850" w:hanging="720"/>
        <w:rPr>
          <w:rFonts w:ascii="Times New Roman" w:hAnsi="Times New Roman" w:cs="Times New Roman"/>
          <w:sz w:val="20"/>
          <w:szCs w:val="20"/>
        </w:rPr>
      </w:pPr>
      <w:r>
        <w:rPr>
          <w:rFonts w:ascii="Times New Roman" w:hAnsi="Times New Roman" w:cs="Times New Roman"/>
          <w:sz w:val="20"/>
          <w:szCs w:val="20"/>
        </w:rPr>
        <w:t>H1:</w:t>
      </w:r>
      <w:r>
        <w:rPr>
          <w:rFonts w:ascii="Times New Roman" w:hAnsi="Times New Roman" w:cs="Times New Roman"/>
          <w:sz w:val="20"/>
          <w:szCs w:val="20"/>
        </w:rPr>
        <w:tab/>
        <w:t>There is a relationship of Agency banking, electronic banking and firm performance.</w:t>
      </w:r>
    </w:p>
    <w:p w:rsidR="001D29EA" w:rsidRDefault="00FF2695" w:rsidP="00340A14">
      <w:pPr>
        <w:pStyle w:val="NoSpacing"/>
        <w:ind w:leftChars="54" w:left="850" w:hanging="720"/>
        <w:rPr>
          <w:rFonts w:ascii="Times New Roman" w:hAnsi="Times New Roman" w:cs="Times New Roman"/>
          <w:sz w:val="20"/>
          <w:szCs w:val="20"/>
        </w:rPr>
      </w:pPr>
      <w:r>
        <w:rPr>
          <w:rFonts w:ascii="Times New Roman" w:hAnsi="Times New Roman" w:cs="Times New Roman"/>
          <w:sz w:val="20"/>
          <w:szCs w:val="20"/>
        </w:rPr>
        <w:t>H2:</w:t>
      </w:r>
      <w:r>
        <w:rPr>
          <w:rFonts w:ascii="Times New Roman" w:hAnsi="Times New Roman" w:cs="Times New Roman"/>
          <w:sz w:val="20"/>
          <w:szCs w:val="20"/>
        </w:rPr>
        <w:tab/>
        <w:t xml:space="preserve">Agency banking and Electronic banking has significant </w:t>
      </w:r>
      <w:r>
        <w:rPr>
          <w:rFonts w:ascii="Times New Roman" w:hAnsi="Times New Roman" w:cs="Times New Roman"/>
          <w:spacing w:val="-3"/>
          <w:sz w:val="20"/>
          <w:szCs w:val="20"/>
        </w:rPr>
        <w:t xml:space="preserve">effect </w:t>
      </w:r>
      <w:r>
        <w:rPr>
          <w:rFonts w:ascii="Times New Roman" w:hAnsi="Times New Roman" w:cs="Times New Roman"/>
          <w:sz w:val="20"/>
          <w:szCs w:val="20"/>
        </w:rPr>
        <w:t>on commercial bank’s financial performance.</w:t>
      </w:r>
    </w:p>
    <w:p w:rsidR="001D29EA" w:rsidRDefault="00FF2695">
      <w:pPr>
        <w:rPr>
          <w:b/>
          <w:sz w:val="20"/>
          <w:szCs w:val="20"/>
        </w:rPr>
      </w:pPr>
      <w:r>
        <w:rPr>
          <w:b/>
          <w:sz w:val="20"/>
          <w:szCs w:val="20"/>
        </w:rPr>
        <w:t>Research Methodology</w:t>
      </w:r>
    </w:p>
    <w:p w:rsidR="001D29EA" w:rsidRDefault="00340A14">
      <w:pPr>
        <w:pStyle w:val="NoSpacing"/>
        <w:tabs>
          <w:tab w:val="left" w:pos="0"/>
        </w:tabs>
        <w:jc w:val="mediumKashida"/>
        <w:rPr>
          <w:rFonts w:ascii="Times New Roman" w:eastAsia="Times New Roman" w:hAnsi="Times New Roman" w:cs="Times New Roman"/>
          <w:sz w:val="20"/>
          <w:szCs w:val="20"/>
          <w:lang w:bidi="en-US"/>
        </w:rPr>
      </w:pPr>
      <w:r>
        <w:rPr>
          <w:rFonts w:ascii="Times New Roman" w:eastAsiaTheme="minorEastAsia" w:hAnsi="Times New Roman" w:cs="Times New Roman" w:hint="eastAsia"/>
          <w:sz w:val="20"/>
          <w:szCs w:val="20"/>
          <w:lang w:eastAsia="zh-CN" w:bidi="en-US"/>
        </w:rPr>
        <w:tab/>
      </w:r>
      <w:r w:rsidR="00FF2695">
        <w:rPr>
          <w:rFonts w:ascii="Times New Roman" w:eastAsia="Times New Roman" w:hAnsi="Times New Roman" w:cs="Times New Roman"/>
          <w:sz w:val="20"/>
          <w:szCs w:val="20"/>
          <w:lang w:bidi="en-US"/>
        </w:rPr>
        <w:t xml:space="preserve">The methodology used for the analysis has been the aim of this chapter. The study </w:t>
      </w:r>
      <w:r w:rsidR="00FF2695">
        <w:rPr>
          <w:rFonts w:ascii="Times New Roman" w:eastAsia="Times New Roman" w:hAnsi="Times New Roman" w:cs="Times New Roman"/>
          <w:sz w:val="20"/>
          <w:szCs w:val="20"/>
          <w:lang w:bidi="en-US"/>
        </w:rPr>
        <w:lastRenderedPageBreak/>
        <w:t>design, the analytical model, the target population, the methods used to collect data, data collection techniques, review and report and how the study instruments' validity and reliability are dealt with.</w:t>
      </w:r>
    </w:p>
    <w:p w:rsidR="001D29EA" w:rsidRDefault="00FF2695" w:rsidP="00340A14">
      <w:pPr>
        <w:pStyle w:val="NoSpacing"/>
        <w:ind w:firstLine="720"/>
        <w:jc w:val="mediumKashida"/>
        <w:rPr>
          <w:rFonts w:ascii="Times New Roman" w:hAnsi="Times New Roman" w:cs="Times New Roman"/>
          <w:sz w:val="20"/>
          <w:szCs w:val="20"/>
        </w:rPr>
      </w:pPr>
      <w:r>
        <w:rPr>
          <w:rFonts w:ascii="Times New Roman" w:hAnsi="Times New Roman" w:cs="Times New Roman"/>
          <w:sz w:val="20"/>
          <w:szCs w:val="20"/>
        </w:rPr>
        <w:t xml:space="preserve">The sample of the study will consist of 34 Schedule </w:t>
      </w:r>
      <w:r w:rsidR="00340A14">
        <w:rPr>
          <w:rFonts w:ascii="Times New Roman" w:hAnsi="Times New Roman" w:cs="Times New Roman"/>
          <w:sz w:val="20"/>
          <w:szCs w:val="20"/>
        </w:rPr>
        <w:t>banks and</w:t>
      </w:r>
      <w:r>
        <w:rPr>
          <w:rFonts w:ascii="Times New Roman" w:hAnsi="Times New Roman" w:cs="Times New Roman"/>
          <w:sz w:val="20"/>
          <w:szCs w:val="20"/>
        </w:rPr>
        <w:t xml:space="preserve"> 15 Private banks from in banking organizations located in Peshawar as out </w:t>
      </w:r>
      <w:r>
        <w:rPr>
          <w:rFonts w:ascii="Times New Roman" w:hAnsi="Times New Roman" w:cs="Times New Roman"/>
          <w:sz w:val="20"/>
          <w:szCs w:val="20"/>
        </w:rPr>
        <w:lastRenderedPageBreak/>
        <w:t xml:space="preserve">of the total population these banks have branchless activities. </w:t>
      </w:r>
    </w:p>
    <w:p w:rsidR="001D29EA" w:rsidRDefault="00FF2695">
      <w:pPr>
        <w:pStyle w:val="Heading2"/>
        <w:spacing w:before="0"/>
        <w:rPr>
          <w:rFonts w:ascii="Times New Roman" w:hAnsi="Times New Roman" w:cs="Times New Roman"/>
          <w:color w:val="auto"/>
          <w:sz w:val="20"/>
          <w:szCs w:val="20"/>
        </w:rPr>
      </w:pPr>
      <w:bookmarkStart w:id="3" w:name="_Toc503578082"/>
      <w:r>
        <w:rPr>
          <w:rFonts w:ascii="Times New Roman" w:hAnsi="Times New Roman" w:cs="Times New Roman"/>
          <w:color w:val="auto"/>
          <w:sz w:val="20"/>
          <w:szCs w:val="20"/>
        </w:rPr>
        <w:t>Nature of Research</w:t>
      </w:r>
      <w:bookmarkEnd w:id="3"/>
    </w:p>
    <w:p w:rsidR="001D29EA" w:rsidRDefault="00FF2695" w:rsidP="00340A14">
      <w:pPr>
        <w:pStyle w:val="BodyText"/>
        <w:ind w:firstLine="720"/>
        <w:jc w:val="both"/>
        <w:rPr>
          <w:sz w:val="20"/>
          <w:szCs w:val="20"/>
        </w:rPr>
      </w:pPr>
      <w:r>
        <w:rPr>
          <w:sz w:val="20"/>
          <w:szCs w:val="20"/>
        </w:rPr>
        <w:t>This research is of quantitative type being post positivistic. The nature of research is descriptive and co-relational because the focus of the study is to find the impact of branchless banking system on the financial performance of the commercial banks. This thesis has followed a non-experimental exploratory approach for testing. This is because experiments were conducted in order to assess the influence of the independent variable on the dependent. The analysis has measured the independent (branchless) variable from the dependent (financial) variable.</w:t>
      </w:r>
    </w:p>
    <w:p w:rsidR="001D29EA" w:rsidRDefault="00FF2695">
      <w:pPr>
        <w:pStyle w:val="BodyText"/>
        <w:jc w:val="both"/>
        <w:rPr>
          <w:sz w:val="20"/>
          <w:szCs w:val="20"/>
        </w:rPr>
      </w:pPr>
      <w:r>
        <w:rPr>
          <w:sz w:val="20"/>
          <w:szCs w:val="20"/>
        </w:rPr>
        <w:t>The "cases analysis" research approach discussed in this chapter examined these problem, such issues. There are six main parts in this chapter. In the first section, the four paradigms of science are explored and the model of realism chosen for this inquiry as a case study is clarified. The next section includes a qualitative method of study rather than a quantitative method of analysis. The third section justifies the use of the reliability and validity tests carried out of the case study within the framework of realism.</w:t>
      </w:r>
    </w:p>
    <w:p w:rsidR="00340A14" w:rsidRDefault="00340A14">
      <w:pPr>
        <w:jc w:val="both"/>
        <w:rPr>
          <w:rFonts w:eastAsiaTheme="minorEastAsia"/>
          <w:b/>
          <w:sz w:val="20"/>
          <w:szCs w:val="20"/>
          <w:lang w:eastAsia="zh-CN"/>
        </w:rPr>
      </w:pPr>
    </w:p>
    <w:p w:rsidR="001D29EA" w:rsidRDefault="00FF2695">
      <w:pPr>
        <w:jc w:val="both"/>
        <w:rPr>
          <w:b/>
          <w:sz w:val="20"/>
          <w:szCs w:val="20"/>
        </w:rPr>
      </w:pPr>
      <w:r>
        <w:rPr>
          <w:b/>
          <w:sz w:val="20"/>
          <w:szCs w:val="20"/>
        </w:rPr>
        <w:t>Positivism:-</w:t>
      </w:r>
    </w:p>
    <w:p w:rsidR="001D29EA" w:rsidRDefault="00FF2695" w:rsidP="00340A14">
      <w:pPr>
        <w:pStyle w:val="BodyText"/>
        <w:ind w:firstLine="720"/>
        <w:jc w:val="both"/>
        <w:rPr>
          <w:sz w:val="20"/>
          <w:szCs w:val="20"/>
        </w:rPr>
      </w:pPr>
      <w:r>
        <w:rPr>
          <w:sz w:val="20"/>
          <w:szCs w:val="20"/>
        </w:rPr>
        <w:t xml:space="preserve">Positivism believes truth is human-independent. It is not mediated by one's senses and rules by unchanging laws. Positivists have an ontological stance that is rational. Good people tend to perceive the external world as </w:t>
      </w:r>
      <w:r w:rsidR="00340A14">
        <w:rPr>
          <w:sz w:val="20"/>
          <w:szCs w:val="20"/>
        </w:rPr>
        <w:t>natural. In</w:t>
      </w:r>
      <w:r>
        <w:rPr>
          <w:sz w:val="20"/>
          <w:szCs w:val="20"/>
        </w:rPr>
        <w:t xml:space="preserve"> essence, the interaction between phenomena is causal and once it has been established, it can be expected in the future for many reasons. The same goes with the inner environment and constructive campaigners. During a time and location various scholars work in separate environments to the same findings on a certain phenomenon as truth is context-free. Positivists' epistemological stance is objectivism. Researchers come to study events independently of them as neutral observers and they do not influence what is observed or perturb it. You can use vocabulary and metaphors, without any intervention, to define phenomena’s in their original shape as they exist. </w:t>
      </w:r>
      <w:r>
        <w:rPr>
          <w:spacing w:val="-3"/>
          <w:sz w:val="20"/>
          <w:szCs w:val="20"/>
        </w:rPr>
        <w:t>According to Hutchinson (1988), "positivists interpret the universe as 'out there' and more or less statically open for research" (cited in Gall et al., 2003, p. 14). Positivists feel that social phenomena are regulated by legislation and that these rules should be established by applying empirical principles and provided with objective claims.</w:t>
      </w:r>
    </w:p>
    <w:p w:rsidR="00340A14" w:rsidRDefault="00340A14">
      <w:pPr>
        <w:pStyle w:val="Heading1"/>
        <w:spacing w:before="0"/>
        <w:rPr>
          <w:rFonts w:ascii="Times New Roman" w:hAnsi="Times New Roman" w:cs="Times New Roman"/>
          <w:color w:val="auto"/>
          <w:sz w:val="20"/>
          <w:szCs w:val="20"/>
          <w:lang w:eastAsia="zh-CN"/>
        </w:rPr>
      </w:pPr>
      <w:bookmarkStart w:id="4" w:name="_Toc503578075"/>
    </w:p>
    <w:p w:rsidR="001D29EA" w:rsidRDefault="00FF2695">
      <w:pPr>
        <w:pStyle w:val="Heading1"/>
        <w:spacing w:before="0"/>
        <w:rPr>
          <w:rFonts w:ascii="Times New Roman" w:hAnsi="Times New Roman" w:cs="Times New Roman"/>
          <w:b w:val="0"/>
          <w:color w:val="auto"/>
          <w:sz w:val="20"/>
          <w:szCs w:val="20"/>
        </w:rPr>
      </w:pPr>
      <w:r>
        <w:rPr>
          <w:rFonts w:ascii="Times New Roman" w:hAnsi="Times New Roman" w:cs="Times New Roman"/>
          <w:color w:val="auto"/>
          <w:sz w:val="20"/>
          <w:szCs w:val="20"/>
        </w:rPr>
        <w:t>Population</w:t>
      </w:r>
      <w:bookmarkEnd w:id="4"/>
      <w:r>
        <w:rPr>
          <w:rFonts w:ascii="Times New Roman" w:hAnsi="Times New Roman" w:cs="Times New Roman"/>
          <w:color w:val="auto"/>
          <w:sz w:val="20"/>
          <w:szCs w:val="20"/>
        </w:rPr>
        <w:t xml:space="preserve"> and sampling</w:t>
      </w:r>
    </w:p>
    <w:p w:rsidR="00750A0D" w:rsidRDefault="00FF2695" w:rsidP="00750A0D">
      <w:pPr>
        <w:pStyle w:val="BodyText"/>
        <w:ind w:firstLine="720"/>
        <w:jc w:val="both"/>
        <w:rPr>
          <w:rFonts w:eastAsiaTheme="minorEastAsia"/>
          <w:sz w:val="20"/>
          <w:szCs w:val="20"/>
          <w:lang w:eastAsia="zh-CN"/>
        </w:rPr>
      </w:pPr>
      <w:r>
        <w:rPr>
          <w:sz w:val="20"/>
          <w:szCs w:val="20"/>
        </w:rPr>
        <w:t xml:space="preserve">According to Saunders, </w:t>
      </w:r>
      <w:r>
        <w:rPr>
          <w:i/>
          <w:sz w:val="20"/>
          <w:szCs w:val="20"/>
        </w:rPr>
        <w:t>et.</w:t>
      </w:r>
      <w:r w:rsidR="00340A14">
        <w:rPr>
          <w:rFonts w:eastAsiaTheme="minorEastAsia" w:hint="eastAsia"/>
          <w:i/>
          <w:sz w:val="20"/>
          <w:szCs w:val="20"/>
          <w:lang w:eastAsia="zh-CN"/>
        </w:rPr>
        <w:t xml:space="preserve"> </w:t>
      </w:r>
      <w:r>
        <w:rPr>
          <w:i/>
          <w:sz w:val="20"/>
          <w:szCs w:val="20"/>
        </w:rPr>
        <w:t xml:space="preserve">al </w:t>
      </w:r>
      <w:r>
        <w:rPr>
          <w:sz w:val="20"/>
          <w:szCs w:val="20"/>
        </w:rPr>
        <w:t xml:space="preserve">(2003) population is the full set of cases from which a sample </w:t>
      </w:r>
      <w:r>
        <w:rPr>
          <w:sz w:val="20"/>
          <w:szCs w:val="20"/>
        </w:rPr>
        <w:lastRenderedPageBreak/>
        <w:t>is taken. Total Schedule banks (34 banks) and 15 private sector banks operating in Peshawar are the total population of this study.</w:t>
      </w:r>
      <w:r w:rsidR="00340A14">
        <w:rPr>
          <w:rFonts w:eastAsiaTheme="minorEastAsia" w:hint="eastAsia"/>
          <w:sz w:val="20"/>
          <w:szCs w:val="20"/>
          <w:lang w:eastAsia="zh-CN"/>
        </w:rPr>
        <w:t xml:space="preserve"> </w:t>
      </w:r>
      <w:r>
        <w:rPr>
          <w:sz w:val="20"/>
          <w:szCs w:val="20"/>
        </w:rPr>
        <w:t>All 49 commercial Pakistani banks based at Peshawar will be examined. The implementation of branchless banking in the banking industry is not consistent and by the end of the financial year 2019. The study thus formed an imbalanced panel for some periods to care for missing data.</w:t>
      </w:r>
      <w:bookmarkStart w:id="5" w:name="_Toc503578077"/>
    </w:p>
    <w:p w:rsidR="00750A0D" w:rsidRDefault="00750A0D" w:rsidP="00750A0D">
      <w:pPr>
        <w:pStyle w:val="BodyText"/>
        <w:jc w:val="both"/>
        <w:rPr>
          <w:rFonts w:eastAsiaTheme="minorEastAsia"/>
          <w:sz w:val="20"/>
          <w:szCs w:val="20"/>
          <w:lang w:eastAsia="zh-CN"/>
        </w:rPr>
      </w:pPr>
    </w:p>
    <w:p w:rsidR="001D29EA" w:rsidRPr="00750A0D" w:rsidRDefault="00FF2695" w:rsidP="00750A0D">
      <w:pPr>
        <w:pStyle w:val="BodyText"/>
        <w:jc w:val="both"/>
        <w:rPr>
          <w:b/>
          <w:sz w:val="20"/>
          <w:szCs w:val="20"/>
        </w:rPr>
      </w:pPr>
      <w:r w:rsidRPr="00750A0D">
        <w:rPr>
          <w:b/>
          <w:sz w:val="20"/>
          <w:szCs w:val="20"/>
        </w:rPr>
        <w:t>Instrument of Data Collection</w:t>
      </w:r>
      <w:bookmarkEnd w:id="5"/>
    </w:p>
    <w:p w:rsidR="001D29EA" w:rsidRDefault="00FF2695">
      <w:pPr>
        <w:pStyle w:val="Heading1"/>
        <w:tabs>
          <w:tab w:val="left" w:pos="2160"/>
        </w:tabs>
        <w:spacing w:before="0"/>
        <w:rPr>
          <w:rFonts w:ascii="Times New Roman" w:hAnsi="Times New Roman" w:cs="Times New Roman"/>
          <w:color w:val="auto"/>
          <w:sz w:val="20"/>
          <w:szCs w:val="20"/>
        </w:rPr>
      </w:pPr>
      <w:bookmarkStart w:id="6" w:name="_Toc503578078"/>
      <w:r>
        <w:rPr>
          <w:rFonts w:ascii="Times New Roman" w:hAnsi="Times New Roman" w:cs="Times New Roman"/>
          <w:color w:val="auto"/>
          <w:sz w:val="20"/>
          <w:szCs w:val="20"/>
        </w:rPr>
        <w:t>Questionnaire</w:t>
      </w:r>
      <w:bookmarkEnd w:id="6"/>
    </w:p>
    <w:p w:rsidR="001D29EA" w:rsidRDefault="00FF2695">
      <w:pPr>
        <w:pStyle w:val="Heading2"/>
        <w:spacing w:before="0"/>
        <w:rPr>
          <w:rFonts w:ascii="Times New Roman" w:hAnsi="Times New Roman" w:cs="Times New Roman"/>
          <w:color w:val="auto"/>
          <w:sz w:val="20"/>
          <w:szCs w:val="20"/>
        </w:rPr>
      </w:pPr>
      <w:bookmarkStart w:id="7" w:name="_Toc503578079"/>
      <w:r>
        <w:rPr>
          <w:rFonts w:ascii="Times New Roman" w:hAnsi="Times New Roman" w:cs="Times New Roman"/>
          <w:color w:val="auto"/>
          <w:sz w:val="20"/>
          <w:szCs w:val="20"/>
        </w:rPr>
        <w:t>Administration of the Tools</w:t>
      </w:r>
      <w:bookmarkEnd w:id="7"/>
    </w:p>
    <w:p w:rsidR="001D29EA" w:rsidRDefault="00FF2695" w:rsidP="00340A14">
      <w:pPr>
        <w:pStyle w:val="NoSpacing"/>
        <w:ind w:firstLine="720"/>
        <w:contextualSpacing/>
        <w:jc w:val="mediumKashida"/>
        <w:rPr>
          <w:rFonts w:ascii="Times New Roman" w:eastAsiaTheme="minorEastAsia" w:hAnsi="Times New Roman" w:cs="Times New Roman"/>
          <w:sz w:val="20"/>
          <w:szCs w:val="20"/>
          <w:lang w:eastAsia="zh-CN"/>
        </w:rPr>
      </w:pPr>
      <w:r>
        <w:rPr>
          <w:rFonts w:ascii="Times New Roman" w:hAnsi="Times New Roman" w:cs="Times New Roman"/>
          <w:sz w:val="20"/>
          <w:szCs w:val="20"/>
        </w:rPr>
        <w:t>Primary data has been used. A questionnaire has been distributed to Head of Offices of all 49 scheduled banks and 15 private banks along with 09 branchless banks providers and then collected.  For data collection, the modified questionnaire has been used. Five Likert Scale Questioners to collect the data. The most prominent branchless banking are:</w:t>
      </w:r>
    </w:p>
    <w:p w:rsidR="00750A0D" w:rsidRPr="00750A0D" w:rsidRDefault="00750A0D" w:rsidP="00340A14">
      <w:pPr>
        <w:pStyle w:val="NoSpacing"/>
        <w:ind w:firstLine="720"/>
        <w:contextualSpacing/>
        <w:jc w:val="mediumKashida"/>
        <w:rPr>
          <w:rFonts w:ascii="Times New Roman" w:eastAsiaTheme="minorEastAsia" w:hAnsi="Times New Roman" w:cs="Times New Roman"/>
          <w:sz w:val="20"/>
          <w:szCs w:val="20"/>
          <w:lang w:eastAsia="zh-CN"/>
        </w:rPr>
      </w:pPr>
    </w:p>
    <w:tbl>
      <w:tblPr>
        <w:tblStyle w:val="TableGrid"/>
        <w:tblW w:w="5000" w:type="pct"/>
        <w:jc w:val="center"/>
        <w:tblLook w:val="04A0"/>
      </w:tblPr>
      <w:tblGrid>
        <w:gridCol w:w="1906"/>
        <w:gridCol w:w="2605"/>
      </w:tblGrid>
      <w:tr w:rsidR="001D29EA" w:rsidTr="00750A0D">
        <w:trPr>
          <w:trHeight w:val="223"/>
          <w:jc w:val="center"/>
        </w:trPr>
        <w:tc>
          <w:tcPr>
            <w:tcW w:w="2113" w:type="pct"/>
            <w:vAlign w:val="center"/>
          </w:tcPr>
          <w:p w:rsidR="001D29EA" w:rsidRDefault="00FF2695" w:rsidP="00750A0D">
            <w:pPr>
              <w:shd w:val="clear" w:color="auto" w:fill="FFFFFF"/>
              <w:rPr>
                <w:sz w:val="20"/>
                <w:szCs w:val="20"/>
              </w:rPr>
            </w:pPr>
            <w:r>
              <w:rPr>
                <w:rStyle w:val="Strong"/>
                <w:rFonts w:eastAsiaTheme="majorEastAsia"/>
                <w:b w:val="0"/>
                <w:sz w:val="20"/>
                <w:szCs w:val="20"/>
              </w:rPr>
              <w:t>Omni</w:t>
            </w:r>
          </w:p>
        </w:tc>
        <w:tc>
          <w:tcPr>
            <w:tcW w:w="2887" w:type="pct"/>
            <w:vAlign w:val="center"/>
          </w:tcPr>
          <w:p w:rsidR="001D29EA" w:rsidRDefault="00FF2695" w:rsidP="00750A0D">
            <w:pPr>
              <w:shd w:val="clear" w:color="auto" w:fill="FFFFFF"/>
              <w:rPr>
                <w:sz w:val="20"/>
                <w:szCs w:val="20"/>
              </w:rPr>
            </w:pPr>
            <w:r>
              <w:rPr>
                <w:rStyle w:val="Strong"/>
                <w:rFonts w:eastAsiaTheme="majorEastAsia"/>
                <w:b w:val="0"/>
                <w:sz w:val="20"/>
                <w:szCs w:val="20"/>
              </w:rPr>
              <w:t>Paymax</w:t>
            </w:r>
          </w:p>
        </w:tc>
      </w:tr>
      <w:tr w:rsidR="001D29EA" w:rsidTr="00750A0D">
        <w:trPr>
          <w:trHeight w:val="223"/>
          <w:jc w:val="center"/>
        </w:trPr>
        <w:tc>
          <w:tcPr>
            <w:tcW w:w="2113" w:type="pct"/>
            <w:vAlign w:val="center"/>
          </w:tcPr>
          <w:p w:rsidR="001D29EA" w:rsidRDefault="00FF2695" w:rsidP="00750A0D">
            <w:pPr>
              <w:shd w:val="clear" w:color="auto" w:fill="FFFFFF"/>
              <w:rPr>
                <w:b/>
                <w:sz w:val="20"/>
                <w:szCs w:val="20"/>
              </w:rPr>
            </w:pPr>
            <w:r>
              <w:rPr>
                <w:rStyle w:val="Strong"/>
                <w:rFonts w:eastAsiaTheme="majorEastAsia"/>
                <w:b w:val="0"/>
                <w:sz w:val="20"/>
                <w:szCs w:val="20"/>
              </w:rPr>
              <w:t>UBLomni</w:t>
            </w:r>
          </w:p>
        </w:tc>
        <w:tc>
          <w:tcPr>
            <w:tcW w:w="2887" w:type="pct"/>
            <w:vAlign w:val="center"/>
          </w:tcPr>
          <w:p w:rsidR="001D29EA" w:rsidRDefault="00FF2695" w:rsidP="00750A0D">
            <w:pPr>
              <w:shd w:val="clear" w:color="auto" w:fill="FFFFFF"/>
              <w:rPr>
                <w:sz w:val="20"/>
                <w:szCs w:val="20"/>
              </w:rPr>
            </w:pPr>
            <w:r>
              <w:rPr>
                <w:rStyle w:val="Strong"/>
                <w:rFonts w:eastAsiaTheme="majorEastAsia"/>
                <w:b w:val="0"/>
                <w:sz w:val="20"/>
                <w:szCs w:val="20"/>
              </w:rPr>
              <w:t>JS Bank</w:t>
            </w:r>
          </w:p>
        </w:tc>
      </w:tr>
      <w:tr w:rsidR="001D29EA" w:rsidTr="00750A0D">
        <w:trPr>
          <w:trHeight w:val="72"/>
          <w:jc w:val="center"/>
        </w:trPr>
        <w:tc>
          <w:tcPr>
            <w:tcW w:w="2113" w:type="pct"/>
            <w:vAlign w:val="center"/>
          </w:tcPr>
          <w:p w:rsidR="001D29EA" w:rsidRDefault="00FF2695" w:rsidP="00750A0D">
            <w:pPr>
              <w:shd w:val="clear" w:color="auto" w:fill="FFFFFF"/>
              <w:rPr>
                <w:rStyle w:val="Strong"/>
                <w:rFonts w:eastAsiaTheme="majorEastAsia"/>
                <w:sz w:val="20"/>
                <w:szCs w:val="20"/>
              </w:rPr>
            </w:pPr>
            <w:r>
              <w:rPr>
                <w:rStyle w:val="Strong"/>
                <w:rFonts w:eastAsiaTheme="majorEastAsia"/>
                <w:b w:val="0"/>
                <w:sz w:val="20"/>
                <w:szCs w:val="20"/>
              </w:rPr>
              <w:t>Jazzcash</w:t>
            </w:r>
          </w:p>
        </w:tc>
        <w:tc>
          <w:tcPr>
            <w:tcW w:w="2887" w:type="pct"/>
            <w:vAlign w:val="center"/>
          </w:tcPr>
          <w:p w:rsidR="001D29EA" w:rsidRDefault="00FF2695" w:rsidP="00750A0D">
            <w:pPr>
              <w:shd w:val="clear" w:color="auto" w:fill="FFFFFF"/>
              <w:rPr>
                <w:sz w:val="20"/>
                <w:szCs w:val="20"/>
              </w:rPr>
            </w:pPr>
            <w:r>
              <w:rPr>
                <w:rStyle w:val="Strong"/>
                <w:rFonts w:eastAsiaTheme="majorEastAsia"/>
                <w:b w:val="0"/>
                <w:sz w:val="20"/>
                <w:szCs w:val="20"/>
              </w:rPr>
              <w:t>HBL Express</w:t>
            </w:r>
          </w:p>
        </w:tc>
      </w:tr>
      <w:tr w:rsidR="001D29EA" w:rsidTr="00750A0D">
        <w:trPr>
          <w:trHeight w:val="223"/>
          <w:jc w:val="center"/>
        </w:trPr>
        <w:tc>
          <w:tcPr>
            <w:tcW w:w="2113" w:type="pct"/>
            <w:vAlign w:val="center"/>
          </w:tcPr>
          <w:p w:rsidR="001D29EA" w:rsidRDefault="00FF2695" w:rsidP="00750A0D">
            <w:pPr>
              <w:shd w:val="clear" w:color="auto" w:fill="FFFFFF"/>
              <w:rPr>
                <w:sz w:val="20"/>
                <w:szCs w:val="20"/>
              </w:rPr>
            </w:pPr>
            <w:r>
              <w:rPr>
                <w:rStyle w:val="Strong"/>
                <w:rFonts w:eastAsiaTheme="majorEastAsia"/>
                <w:b w:val="0"/>
                <w:sz w:val="20"/>
                <w:szCs w:val="20"/>
              </w:rPr>
              <w:t>Upaisa</w:t>
            </w:r>
          </w:p>
        </w:tc>
        <w:tc>
          <w:tcPr>
            <w:tcW w:w="2887" w:type="pct"/>
            <w:vAlign w:val="center"/>
          </w:tcPr>
          <w:p w:rsidR="001D29EA" w:rsidRDefault="00FF2695" w:rsidP="00750A0D">
            <w:pPr>
              <w:shd w:val="clear" w:color="auto" w:fill="FFFFFF"/>
              <w:rPr>
                <w:sz w:val="20"/>
                <w:szCs w:val="20"/>
              </w:rPr>
            </w:pPr>
            <w:r>
              <w:rPr>
                <w:rStyle w:val="Strong"/>
                <w:rFonts w:eastAsiaTheme="majorEastAsia"/>
                <w:b w:val="0"/>
                <w:sz w:val="20"/>
                <w:szCs w:val="20"/>
              </w:rPr>
              <w:t>MeezanUpaisa</w:t>
            </w:r>
          </w:p>
        </w:tc>
      </w:tr>
      <w:tr w:rsidR="001D29EA" w:rsidTr="00750A0D">
        <w:trPr>
          <w:trHeight w:val="232"/>
          <w:jc w:val="center"/>
        </w:trPr>
        <w:tc>
          <w:tcPr>
            <w:tcW w:w="2113" w:type="pct"/>
            <w:vAlign w:val="center"/>
          </w:tcPr>
          <w:p w:rsidR="001D29EA" w:rsidRDefault="00FF2695" w:rsidP="00750A0D">
            <w:pPr>
              <w:shd w:val="clear" w:color="auto" w:fill="FFFFFF"/>
              <w:rPr>
                <w:sz w:val="20"/>
                <w:szCs w:val="20"/>
              </w:rPr>
            </w:pPr>
            <w:r>
              <w:rPr>
                <w:rStyle w:val="Strong"/>
                <w:rFonts w:eastAsiaTheme="majorEastAsia"/>
                <w:b w:val="0"/>
                <w:sz w:val="20"/>
                <w:szCs w:val="20"/>
              </w:rPr>
              <w:t>EasyPaisa</w:t>
            </w:r>
          </w:p>
        </w:tc>
        <w:tc>
          <w:tcPr>
            <w:tcW w:w="2887" w:type="pct"/>
            <w:vAlign w:val="center"/>
          </w:tcPr>
          <w:p w:rsidR="001D29EA" w:rsidRDefault="001D29EA" w:rsidP="00750A0D">
            <w:pPr>
              <w:pStyle w:val="NoSpacing"/>
              <w:contextualSpacing/>
              <w:jc w:val="mediumKashida"/>
              <w:rPr>
                <w:rFonts w:ascii="Times New Roman" w:hAnsi="Times New Roman" w:cs="Times New Roman"/>
                <w:sz w:val="20"/>
                <w:szCs w:val="20"/>
              </w:rPr>
            </w:pPr>
          </w:p>
        </w:tc>
      </w:tr>
    </w:tbl>
    <w:p w:rsidR="001D29EA" w:rsidRDefault="001D29EA">
      <w:pPr>
        <w:pStyle w:val="NoSpacing"/>
        <w:contextualSpacing/>
        <w:jc w:val="mediumKashida"/>
        <w:rPr>
          <w:rFonts w:ascii="Times New Roman" w:hAnsi="Times New Roman" w:cs="Times New Roman"/>
          <w:sz w:val="20"/>
          <w:szCs w:val="20"/>
        </w:rPr>
      </w:pPr>
    </w:p>
    <w:p w:rsidR="001D29EA" w:rsidRDefault="001D29EA">
      <w:pPr>
        <w:pStyle w:val="Heading1"/>
        <w:spacing w:before="0"/>
        <w:contextualSpacing/>
        <w:rPr>
          <w:rFonts w:ascii="Times New Roman" w:hAnsi="Times New Roman" w:cs="Times New Roman"/>
          <w:color w:val="auto"/>
          <w:sz w:val="20"/>
          <w:szCs w:val="20"/>
        </w:rPr>
      </w:pPr>
      <w:bookmarkStart w:id="8" w:name="_Toc503578080"/>
    </w:p>
    <w:p w:rsidR="001D29EA" w:rsidRDefault="00FF2695">
      <w:pPr>
        <w:pStyle w:val="Heading1"/>
        <w:spacing w:before="0"/>
        <w:contextualSpacing/>
        <w:rPr>
          <w:rFonts w:ascii="Times New Roman" w:hAnsi="Times New Roman" w:cs="Times New Roman"/>
          <w:b w:val="0"/>
          <w:color w:val="auto"/>
          <w:sz w:val="20"/>
          <w:szCs w:val="20"/>
        </w:rPr>
      </w:pPr>
      <w:r>
        <w:rPr>
          <w:rFonts w:ascii="Times New Roman" w:hAnsi="Times New Roman" w:cs="Times New Roman"/>
          <w:color w:val="auto"/>
          <w:sz w:val="20"/>
          <w:szCs w:val="20"/>
        </w:rPr>
        <w:t>Metrics and Methods (Where Applicable).</w:t>
      </w:r>
      <w:bookmarkEnd w:id="8"/>
    </w:p>
    <w:p w:rsidR="001D29EA" w:rsidRDefault="00FF2695" w:rsidP="00340A14">
      <w:pPr>
        <w:pStyle w:val="NoSpacing"/>
        <w:ind w:firstLine="720"/>
        <w:contextualSpacing/>
        <w:jc w:val="mediumKashida"/>
        <w:rPr>
          <w:rFonts w:ascii="Times New Roman" w:hAnsi="Times New Roman" w:cs="Times New Roman"/>
          <w:sz w:val="20"/>
          <w:szCs w:val="20"/>
        </w:rPr>
      </w:pPr>
      <w:r>
        <w:rPr>
          <w:rFonts w:ascii="Times New Roman" w:hAnsi="Times New Roman" w:cs="Times New Roman"/>
          <w:sz w:val="20"/>
          <w:szCs w:val="20"/>
        </w:rPr>
        <w:t xml:space="preserve">To check the impact of branchless banking on the financial, data have been analyzed statistically through regression tests. </w:t>
      </w:r>
      <w:bookmarkStart w:id="9" w:name="_Toc503578081"/>
    </w:p>
    <w:p w:rsidR="00340A14" w:rsidRDefault="00340A14">
      <w:pPr>
        <w:pStyle w:val="NoSpacing"/>
        <w:contextualSpacing/>
        <w:jc w:val="mediumKashida"/>
        <w:rPr>
          <w:rFonts w:ascii="Times New Roman" w:eastAsiaTheme="minorEastAsia" w:hAnsi="Times New Roman" w:cs="Times New Roman"/>
          <w:b/>
          <w:sz w:val="20"/>
          <w:szCs w:val="20"/>
          <w:lang w:eastAsia="zh-CN"/>
        </w:rPr>
      </w:pPr>
    </w:p>
    <w:p w:rsidR="001D29EA" w:rsidRDefault="00FF2695">
      <w:pPr>
        <w:pStyle w:val="NoSpacing"/>
        <w:contextualSpacing/>
        <w:jc w:val="mediumKashida"/>
        <w:rPr>
          <w:rFonts w:ascii="Times New Roman" w:hAnsi="Times New Roman" w:cs="Times New Roman"/>
          <w:sz w:val="20"/>
          <w:szCs w:val="20"/>
        </w:rPr>
      </w:pPr>
      <w:r>
        <w:rPr>
          <w:rFonts w:ascii="Times New Roman" w:hAnsi="Times New Roman" w:cs="Times New Roman"/>
          <w:b/>
          <w:sz w:val="20"/>
          <w:szCs w:val="20"/>
        </w:rPr>
        <w:t>Data collection Procedure</w:t>
      </w:r>
    </w:p>
    <w:p w:rsidR="001D29EA" w:rsidRDefault="00FF2695" w:rsidP="00340A14">
      <w:pPr>
        <w:ind w:firstLine="720"/>
        <w:contextualSpacing/>
        <w:jc w:val="both"/>
        <w:rPr>
          <w:sz w:val="20"/>
          <w:szCs w:val="20"/>
        </w:rPr>
      </w:pPr>
      <w:r>
        <w:rPr>
          <w:sz w:val="20"/>
          <w:szCs w:val="20"/>
        </w:rPr>
        <w:t xml:space="preserve">Data has been collected through filling of questionnaires of Likert scale by the respondents during personal visits of the researcher. Follow ups issued through phone calls, </w:t>
      </w:r>
      <w:r w:rsidR="00340A14">
        <w:rPr>
          <w:sz w:val="20"/>
          <w:szCs w:val="20"/>
        </w:rPr>
        <w:t>what Sapp</w:t>
      </w:r>
      <w:r>
        <w:rPr>
          <w:sz w:val="20"/>
          <w:szCs w:val="20"/>
        </w:rPr>
        <w:t xml:space="preserve"> messages and emails. </w:t>
      </w:r>
    </w:p>
    <w:p w:rsidR="00340A14" w:rsidRDefault="00340A14">
      <w:pPr>
        <w:contextualSpacing/>
        <w:jc w:val="both"/>
        <w:rPr>
          <w:rFonts w:eastAsiaTheme="minorEastAsia"/>
          <w:b/>
          <w:sz w:val="20"/>
          <w:szCs w:val="20"/>
          <w:lang w:eastAsia="zh-CN"/>
        </w:rPr>
      </w:pPr>
    </w:p>
    <w:p w:rsidR="001D29EA" w:rsidRDefault="00FF2695">
      <w:pPr>
        <w:contextualSpacing/>
        <w:jc w:val="both"/>
        <w:rPr>
          <w:sz w:val="20"/>
          <w:szCs w:val="20"/>
        </w:rPr>
      </w:pPr>
      <w:r>
        <w:rPr>
          <w:b/>
          <w:sz w:val="20"/>
          <w:szCs w:val="20"/>
        </w:rPr>
        <w:t>Data Collection and Analysis</w:t>
      </w:r>
      <w:bookmarkEnd w:id="9"/>
    </w:p>
    <w:bookmarkEnd w:id="0"/>
    <w:p w:rsidR="001D29EA" w:rsidRDefault="00FF2695" w:rsidP="00340A14">
      <w:pPr>
        <w:pStyle w:val="BodyText"/>
        <w:ind w:firstLine="720"/>
        <w:jc w:val="both"/>
        <w:rPr>
          <w:b/>
          <w:sz w:val="18"/>
          <w:szCs w:val="18"/>
        </w:rPr>
      </w:pPr>
      <w:r>
        <w:rPr>
          <w:rFonts w:eastAsiaTheme="minorHAnsi"/>
          <w:sz w:val="20"/>
          <w:szCs w:val="20"/>
          <w:lang w:bidi="ar-SA"/>
        </w:rPr>
        <w:t xml:space="preserve">The sample consists of 34 banks operating in Peshawar. Since it is a simple and time-saving technique for regression analysis of data and correlation test, restrictive simple random sampling technique is </w:t>
      </w:r>
      <w:r w:rsidR="00340A14">
        <w:rPr>
          <w:rFonts w:eastAsiaTheme="minorHAnsi"/>
          <w:sz w:val="20"/>
          <w:szCs w:val="20"/>
          <w:lang w:bidi="ar-SA"/>
        </w:rPr>
        <w:t>chosen.</w:t>
      </w:r>
      <w:r w:rsidR="00340A14">
        <w:rPr>
          <w:sz w:val="20"/>
          <w:szCs w:val="20"/>
        </w:rPr>
        <w:t xml:space="preserve"> The</w:t>
      </w:r>
      <w:r>
        <w:rPr>
          <w:sz w:val="20"/>
          <w:szCs w:val="20"/>
        </w:rPr>
        <w:t xml:space="preserve"> collected data combined to create </w:t>
      </w:r>
      <w:r w:rsidR="00340A14">
        <w:rPr>
          <w:sz w:val="20"/>
          <w:szCs w:val="20"/>
        </w:rPr>
        <w:t>a worksheet</w:t>
      </w:r>
      <w:r>
        <w:rPr>
          <w:sz w:val="20"/>
          <w:szCs w:val="20"/>
        </w:rPr>
        <w:t xml:space="preserve">. The data shall be collected and arranged using Microsoft Excel and analyzed with SPSS and STATA (analysis) tools. Phase of data analysis started when descriptive statistics are measured and </w:t>
      </w:r>
      <w:r w:rsidR="00340A14">
        <w:rPr>
          <w:sz w:val="20"/>
          <w:szCs w:val="20"/>
        </w:rPr>
        <w:t>tabulated before</w:t>
      </w:r>
      <w:r>
        <w:rPr>
          <w:sz w:val="20"/>
          <w:szCs w:val="20"/>
        </w:rPr>
        <w:t> analysis.</w:t>
      </w:r>
    </w:p>
    <w:p w:rsidR="00340A14" w:rsidRDefault="00340A14">
      <w:pPr>
        <w:pStyle w:val="TableParagraph"/>
        <w:spacing w:before="111"/>
        <w:ind w:left="107"/>
        <w:rPr>
          <w:b/>
          <w:sz w:val="18"/>
          <w:szCs w:val="18"/>
        </w:rPr>
        <w:sectPr w:rsidR="00340A14">
          <w:type w:val="continuous"/>
          <w:pgSz w:w="12191" w:h="15819"/>
          <w:pgMar w:top="1440" w:right="1440" w:bottom="1440" w:left="1440" w:header="720" w:footer="720" w:gutter="0"/>
          <w:cols w:num="2" w:space="720" w:equalWidth="0">
            <w:col w:w="4443" w:space="425"/>
            <w:col w:w="4443"/>
          </w:cols>
          <w:titlePg/>
          <w:docGrid w:linePitch="360"/>
        </w:sectPr>
      </w:pPr>
    </w:p>
    <w:p w:rsidR="001D29EA" w:rsidRDefault="001D29EA">
      <w:pPr>
        <w:pStyle w:val="TableParagraph"/>
        <w:spacing w:before="111"/>
        <w:ind w:left="107"/>
        <w:rPr>
          <w:b/>
          <w:sz w:val="18"/>
          <w:szCs w:val="18"/>
        </w:rPr>
      </w:pPr>
    </w:p>
    <w:p w:rsidR="001D29EA" w:rsidRDefault="001D29EA">
      <w:pPr>
        <w:pStyle w:val="TableParagraph"/>
        <w:spacing w:before="111"/>
        <w:ind w:left="107"/>
        <w:rPr>
          <w:b/>
          <w:sz w:val="18"/>
          <w:szCs w:val="18"/>
        </w:rPr>
      </w:pPr>
    </w:p>
    <w:p w:rsidR="001D29EA" w:rsidRDefault="001D29EA">
      <w:pPr>
        <w:pStyle w:val="TableParagraph"/>
        <w:spacing w:before="111"/>
        <w:ind w:left="107"/>
        <w:rPr>
          <w:b/>
          <w:sz w:val="18"/>
          <w:szCs w:val="18"/>
        </w:rPr>
      </w:pPr>
    </w:p>
    <w:p w:rsidR="001D29EA" w:rsidRDefault="001D29EA">
      <w:pPr>
        <w:pStyle w:val="TableParagraph"/>
        <w:spacing w:before="111"/>
        <w:ind w:left="107"/>
        <w:rPr>
          <w:b/>
          <w:sz w:val="18"/>
          <w:szCs w:val="18"/>
        </w:rPr>
      </w:pPr>
    </w:p>
    <w:p w:rsidR="001D29EA" w:rsidRDefault="001D29EA">
      <w:pPr>
        <w:pStyle w:val="TableParagraph"/>
        <w:spacing w:before="111"/>
        <w:ind w:left="107"/>
        <w:rPr>
          <w:b/>
          <w:sz w:val="18"/>
          <w:szCs w:val="18"/>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796"/>
        <w:gridCol w:w="1206"/>
        <w:gridCol w:w="2465"/>
        <w:gridCol w:w="2421"/>
        <w:gridCol w:w="1433"/>
      </w:tblGrid>
      <w:tr w:rsidR="001D29EA" w:rsidTr="00340A14">
        <w:trPr>
          <w:cantSplit/>
          <w:jc w:val="center"/>
        </w:trPr>
        <w:tc>
          <w:tcPr>
            <w:tcW w:w="0" w:type="auto"/>
            <w:vAlign w:val="center"/>
          </w:tcPr>
          <w:p w:rsidR="001D29EA" w:rsidRDefault="00FF2695" w:rsidP="00340A14">
            <w:pPr>
              <w:pStyle w:val="TableParagraph"/>
              <w:spacing w:before="111"/>
              <w:ind w:left="107"/>
              <w:rPr>
                <w:b/>
                <w:sz w:val="18"/>
                <w:szCs w:val="18"/>
              </w:rPr>
            </w:pPr>
            <w:r>
              <w:rPr>
                <w:b/>
                <w:sz w:val="18"/>
                <w:szCs w:val="18"/>
              </w:rPr>
              <w:t>Variable</w:t>
            </w:r>
          </w:p>
        </w:tc>
        <w:tc>
          <w:tcPr>
            <w:tcW w:w="0" w:type="auto"/>
            <w:vAlign w:val="center"/>
          </w:tcPr>
          <w:p w:rsidR="001D29EA" w:rsidRDefault="00FF2695" w:rsidP="00340A14">
            <w:pPr>
              <w:pStyle w:val="TableParagraph"/>
              <w:spacing w:line="242" w:lineRule="auto"/>
              <w:ind w:left="105" w:right="387"/>
              <w:rPr>
                <w:b/>
                <w:sz w:val="18"/>
                <w:szCs w:val="18"/>
              </w:rPr>
            </w:pPr>
            <w:r>
              <w:rPr>
                <w:b/>
                <w:sz w:val="18"/>
                <w:szCs w:val="18"/>
              </w:rPr>
              <w:t>Type of variable</w:t>
            </w:r>
          </w:p>
        </w:tc>
        <w:tc>
          <w:tcPr>
            <w:tcW w:w="0" w:type="auto"/>
            <w:vAlign w:val="center"/>
          </w:tcPr>
          <w:p w:rsidR="001D29EA" w:rsidRDefault="00FF2695" w:rsidP="00340A14">
            <w:pPr>
              <w:pStyle w:val="TableParagraph"/>
              <w:spacing w:before="111"/>
              <w:ind w:left="108"/>
              <w:rPr>
                <w:b/>
                <w:sz w:val="18"/>
                <w:szCs w:val="18"/>
              </w:rPr>
            </w:pPr>
            <w:r>
              <w:rPr>
                <w:b/>
                <w:sz w:val="18"/>
                <w:szCs w:val="18"/>
              </w:rPr>
              <w:t>Operationalization</w:t>
            </w:r>
          </w:p>
        </w:tc>
        <w:tc>
          <w:tcPr>
            <w:tcW w:w="0" w:type="auto"/>
            <w:vAlign w:val="center"/>
          </w:tcPr>
          <w:p w:rsidR="001D29EA" w:rsidRDefault="00FF2695" w:rsidP="00340A14">
            <w:pPr>
              <w:pStyle w:val="TableParagraph"/>
              <w:spacing w:before="111"/>
              <w:ind w:left="108"/>
              <w:rPr>
                <w:b/>
                <w:sz w:val="18"/>
                <w:szCs w:val="18"/>
              </w:rPr>
            </w:pPr>
            <w:r>
              <w:rPr>
                <w:b/>
                <w:sz w:val="18"/>
                <w:szCs w:val="18"/>
              </w:rPr>
              <w:t>Indicators</w:t>
            </w:r>
          </w:p>
        </w:tc>
        <w:tc>
          <w:tcPr>
            <w:tcW w:w="0" w:type="auto"/>
            <w:vAlign w:val="center"/>
          </w:tcPr>
          <w:p w:rsidR="001D29EA" w:rsidRDefault="00FF2695" w:rsidP="00340A14">
            <w:pPr>
              <w:pStyle w:val="TableParagraph"/>
              <w:spacing w:before="94"/>
              <w:ind w:left="109"/>
              <w:rPr>
                <w:b/>
                <w:sz w:val="18"/>
                <w:szCs w:val="18"/>
              </w:rPr>
            </w:pPr>
            <w:r>
              <w:rPr>
                <w:b/>
                <w:sz w:val="18"/>
                <w:szCs w:val="18"/>
              </w:rPr>
              <w:t>Measurement in the research instruments</w:t>
            </w:r>
          </w:p>
        </w:tc>
      </w:tr>
      <w:tr w:rsidR="001D29EA" w:rsidTr="00340A14">
        <w:trPr>
          <w:cantSplit/>
          <w:trHeight w:val="575"/>
          <w:jc w:val="center"/>
        </w:trPr>
        <w:tc>
          <w:tcPr>
            <w:tcW w:w="0" w:type="auto"/>
            <w:vAlign w:val="center"/>
          </w:tcPr>
          <w:p w:rsidR="001D29EA" w:rsidRDefault="00FF2695" w:rsidP="00340A14">
            <w:pPr>
              <w:pStyle w:val="TableParagraph"/>
              <w:spacing w:before="2" w:line="276" w:lineRule="auto"/>
              <w:ind w:left="107"/>
              <w:rPr>
                <w:b/>
                <w:sz w:val="18"/>
                <w:szCs w:val="18"/>
              </w:rPr>
            </w:pPr>
            <w:r>
              <w:rPr>
                <w:b/>
                <w:sz w:val="18"/>
                <w:szCs w:val="18"/>
              </w:rPr>
              <w:t xml:space="preserve">Brach less banks financial </w:t>
            </w:r>
            <w:r>
              <w:rPr>
                <w:b/>
                <w:w w:val="95"/>
                <w:sz w:val="18"/>
                <w:szCs w:val="18"/>
              </w:rPr>
              <w:t>performance (</w:t>
            </w:r>
            <w:r>
              <w:rPr>
                <w:b/>
                <w:sz w:val="18"/>
                <w:szCs w:val="18"/>
              </w:rPr>
              <w:t>Return on Assets (ROA)</w:t>
            </w:r>
          </w:p>
        </w:tc>
        <w:tc>
          <w:tcPr>
            <w:tcW w:w="0" w:type="auto"/>
            <w:vAlign w:val="center"/>
          </w:tcPr>
          <w:p w:rsidR="001D29EA" w:rsidRDefault="00FF2695" w:rsidP="00340A14">
            <w:pPr>
              <w:pStyle w:val="TableParagraph"/>
              <w:ind w:left="105"/>
              <w:rPr>
                <w:sz w:val="18"/>
                <w:szCs w:val="18"/>
              </w:rPr>
            </w:pPr>
            <w:r>
              <w:rPr>
                <w:sz w:val="18"/>
                <w:szCs w:val="18"/>
              </w:rPr>
              <w:t>Dependent</w:t>
            </w:r>
          </w:p>
        </w:tc>
        <w:tc>
          <w:tcPr>
            <w:tcW w:w="0" w:type="auto"/>
            <w:vAlign w:val="center"/>
          </w:tcPr>
          <w:p w:rsidR="001D29EA" w:rsidRDefault="00FF2695" w:rsidP="00340A14">
            <w:pPr>
              <w:pStyle w:val="TableParagraph"/>
              <w:spacing w:before="167" w:line="276" w:lineRule="auto"/>
              <w:ind w:left="108" w:right="134"/>
              <w:rPr>
                <w:sz w:val="18"/>
                <w:szCs w:val="18"/>
              </w:rPr>
            </w:pPr>
            <w:r>
              <w:rPr>
                <w:sz w:val="18"/>
                <w:szCs w:val="18"/>
              </w:rPr>
              <w:t xml:space="preserve">Total </w:t>
            </w:r>
            <w:r>
              <w:rPr>
                <w:spacing w:val="-3"/>
                <w:sz w:val="18"/>
                <w:szCs w:val="18"/>
              </w:rPr>
              <w:t xml:space="preserve">bank’s </w:t>
            </w:r>
            <w:r>
              <w:rPr>
                <w:sz w:val="18"/>
                <w:szCs w:val="18"/>
              </w:rPr>
              <w:t>Net profit percentage of TotalAssets</w:t>
            </w:r>
          </w:p>
        </w:tc>
        <w:tc>
          <w:tcPr>
            <w:tcW w:w="0" w:type="auto"/>
            <w:vAlign w:val="center"/>
          </w:tcPr>
          <w:p w:rsidR="001D29EA" w:rsidRDefault="00FF2695" w:rsidP="00340A14">
            <w:pPr>
              <w:pStyle w:val="TableParagraph"/>
              <w:spacing w:before="167" w:line="276" w:lineRule="auto"/>
              <w:ind w:left="108"/>
              <w:rPr>
                <w:sz w:val="18"/>
                <w:szCs w:val="18"/>
              </w:rPr>
            </w:pPr>
            <w:r>
              <w:rPr>
                <w:sz w:val="18"/>
                <w:szCs w:val="18"/>
              </w:rPr>
              <w:t xml:space="preserve">Ratio of Net </w:t>
            </w:r>
            <w:r>
              <w:rPr>
                <w:w w:val="95"/>
                <w:sz w:val="18"/>
                <w:szCs w:val="18"/>
              </w:rPr>
              <w:t>Income/Assets</w:t>
            </w:r>
          </w:p>
        </w:tc>
        <w:tc>
          <w:tcPr>
            <w:tcW w:w="0" w:type="auto"/>
            <w:vAlign w:val="center"/>
          </w:tcPr>
          <w:p w:rsidR="001D29EA" w:rsidRDefault="00FF2695" w:rsidP="00340A14">
            <w:pPr>
              <w:pStyle w:val="TableParagraph"/>
              <w:spacing w:before="190" w:line="460" w:lineRule="atLeast"/>
              <w:ind w:left="109"/>
              <w:rPr>
                <w:sz w:val="18"/>
                <w:szCs w:val="18"/>
              </w:rPr>
            </w:pPr>
            <w:r>
              <w:rPr>
                <w:sz w:val="18"/>
                <w:szCs w:val="18"/>
              </w:rPr>
              <w:t>Data set</w:t>
            </w:r>
          </w:p>
        </w:tc>
      </w:tr>
      <w:tr w:rsidR="001D29EA" w:rsidTr="00340A14">
        <w:trPr>
          <w:cantSplit/>
          <w:jc w:val="center"/>
        </w:trPr>
        <w:tc>
          <w:tcPr>
            <w:tcW w:w="0" w:type="auto"/>
            <w:vAlign w:val="center"/>
          </w:tcPr>
          <w:p w:rsidR="001D29EA" w:rsidRDefault="00FF2695" w:rsidP="00340A14">
            <w:pPr>
              <w:pStyle w:val="TableParagraph"/>
              <w:spacing w:before="169" w:line="276" w:lineRule="auto"/>
              <w:ind w:left="107" w:right="125"/>
              <w:rPr>
                <w:b/>
                <w:sz w:val="18"/>
                <w:szCs w:val="18"/>
              </w:rPr>
            </w:pPr>
            <w:r>
              <w:rPr>
                <w:b/>
                <w:sz w:val="18"/>
                <w:szCs w:val="18"/>
              </w:rPr>
              <w:t xml:space="preserve">Agency </w:t>
            </w:r>
            <w:r>
              <w:rPr>
                <w:b/>
                <w:w w:val="95"/>
                <w:sz w:val="18"/>
                <w:szCs w:val="18"/>
              </w:rPr>
              <w:t>Banking</w:t>
            </w:r>
          </w:p>
        </w:tc>
        <w:tc>
          <w:tcPr>
            <w:tcW w:w="0" w:type="auto"/>
            <w:vAlign w:val="center"/>
          </w:tcPr>
          <w:p w:rsidR="001D29EA" w:rsidRDefault="00FF2695" w:rsidP="00340A14">
            <w:pPr>
              <w:pStyle w:val="TableParagraph"/>
              <w:ind w:left="105"/>
              <w:rPr>
                <w:sz w:val="18"/>
                <w:szCs w:val="18"/>
              </w:rPr>
            </w:pPr>
            <w:r>
              <w:rPr>
                <w:sz w:val="18"/>
                <w:szCs w:val="18"/>
              </w:rPr>
              <w:t>Independent</w:t>
            </w:r>
          </w:p>
        </w:tc>
        <w:tc>
          <w:tcPr>
            <w:tcW w:w="0" w:type="auto"/>
            <w:vAlign w:val="center"/>
          </w:tcPr>
          <w:p w:rsidR="001D29EA" w:rsidRDefault="00FF2695" w:rsidP="00340A14">
            <w:pPr>
              <w:pStyle w:val="TableParagraph"/>
              <w:spacing w:before="1" w:line="276" w:lineRule="auto"/>
              <w:ind w:left="108"/>
              <w:rPr>
                <w:sz w:val="18"/>
                <w:szCs w:val="18"/>
              </w:rPr>
            </w:pPr>
            <w:r>
              <w:rPr>
                <w:sz w:val="18"/>
                <w:szCs w:val="18"/>
              </w:rPr>
              <w:t>Amount of overall bank investment in agency banking</w:t>
            </w:r>
          </w:p>
        </w:tc>
        <w:tc>
          <w:tcPr>
            <w:tcW w:w="0" w:type="auto"/>
            <w:vAlign w:val="center"/>
          </w:tcPr>
          <w:p w:rsidR="001D29EA" w:rsidRDefault="00FF2695" w:rsidP="00340A14">
            <w:pPr>
              <w:pStyle w:val="TableParagraph"/>
              <w:spacing w:before="154" w:line="276" w:lineRule="auto"/>
              <w:ind w:left="108" w:right="159"/>
              <w:rPr>
                <w:sz w:val="18"/>
                <w:szCs w:val="18"/>
              </w:rPr>
            </w:pPr>
            <w:r>
              <w:rPr>
                <w:sz w:val="18"/>
                <w:szCs w:val="18"/>
              </w:rPr>
              <w:t>Amount of commercial bank’s annual investment in agency banking</w:t>
            </w:r>
          </w:p>
        </w:tc>
        <w:tc>
          <w:tcPr>
            <w:tcW w:w="0" w:type="auto"/>
            <w:vAlign w:val="center"/>
          </w:tcPr>
          <w:p w:rsidR="001D29EA" w:rsidRPr="00340A14" w:rsidRDefault="00FF2695" w:rsidP="00340A14">
            <w:pPr>
              <w:pStyle w:val="TableParagraph"/>
              <w:spacing w:before="53" w:line="276" w:lineRule="auto"/>
              <w:ind w:right="194"/>
              <w:rPr>
                <w:rFonts w:eastAsiaTheme="minorEastAsia"/>
                <w:sz w:val="18"/>
                <w:szCs w:val="18"/>
                <w:lang w:eastAsia="zh-CN"/>
              </w:rPr>
            </w:pPr>
            <w:r>
              <w:rPr>
                <w:w w:val="95"/>
                <w:sz w:val="18"/>
                <w:szCs w:val="18"/>
              </w:rPr>
              <w:t>Questionnaire</w:t>
            </w:r>
          </w:p>
        </w:tc>
      </w:tr>
      <w:tr w:rsidR="001D29EA" w:rsidTr="00340A14">
        <w:trPr>
          <w:cantSplit/>
          <w:jc w:val="center"/>
        </w:trPr>
        <w:tc>
          <w:tcPr>
            <w:tcW w:w="0" w:type="auto"/>
            <w:vAlign w:val="center"/>
          </w:tcPr>
          <w:p w:rsidR="001D29EA" w:rsidRDefault="00FF2695" w:rsidP="00340A14">
            <w:pPr>
              <w:pStyle w:val="TableParagraph"/>
              <w:spacing w:before="1" w:line="276" w:lineRule="auto"/>
              <w:ind w:left="107" w:right="408"/>
              <w:rPr>
                <w:b/>
                <w:sz w:val="18"/>
                <w:szCs w:val="18"/>
              </w:rPr>
            </w:pPr>
            <w:r>
              <w:rPr>
                <w:b/>
                <w:sz w:val="18"/>
                <w:szCs w:val="18"/>
              </w:rPr>
              <w:t>E:Banking</w:t>
            </w:r>
          </w:p>
        </w:tc>
        <w:tc>
          <w:tcPr>
            <w:tcW w:w="0" w:type="auto"/>
            <w:vAlign w:val="center"/>
          </w:tcPr>
          <w:p w:rsidR="001D29EA" w:rsidRDefault="00FF2695" w:rsidP="00340A14">
            <w:pPr>
              <w:pStyle w:val="TableParagraph"/>
              <w:spacing w:before="185"/>
              <w:ind w:left="105"/>
              <w:rPr>
                <w:sz w:val="18"/>
                <w:szCs w:val="18"/>
              </w:rPr>
            </w:pPr>
            <w:r>
              <w:rPr>
                <w:sz w:val="18"/>
                <w:szCs w:val="18"/>
              </w:rPr>
              <w:t>Independent</w:t>
            </w:r>
          </w:p>
        </w:tc>
        <w:tc>
          <w:tcPr>
            <w:tcW w:w="0" w:type="auto"/>
            <w:vAlign w:val="center"/>
          </w:tcPr>
          <w:p w:rsidR="001D29EA" w:rsidRDefault="00FF2695" w:rsidP="00340A14">
            <w:pPr>
              <w:pStyle w:val="TableParagraph"/>
              <w:spacing w:before="174" w:line="276" w:lineRule="auto"/>
              <w:ind w:left="108" w:right="295"/>
              <w:jc w:val="both"/>
              <w:rPr>
                <w:sz w:val="18"/>
                <w:szCs w:val="18"/>
              </w:rPr>
            </w:pPr>
            <w:r>
              <w:rPr>
                <w:sz w:val="18"/>
                <w:szCs w:val="18"/>
              </w:rPr>
              <w:t>Amount of overall bank investment in electronic banking</w:t>
            </w:r>
          </w:p>
        </w:tc>
        <w:tc>
          <w:tcPr>
            <w:tcW w:w="0" w:type="auto"/>
            <w:vAlign w:val="center"/>
          </w:tcPr>
          <w:p w:rsidR="001D29EA" w:rsidRDefault="00FF2695" w:rsidP="00340A14">
            <w:pPr>
              <w:pStyle w:val="TableParagraph"/>
              <w:spacing w:line="276" w:lineRule="auto"/>
              <w:ind w:left="108"/>
              <w:rPr>
                <w:sz w:val="18"/>
                <w:szCs w:val="18"/>
              </w:rPr>
            </w:pPr>
            <w:r>
              <w:rPr>
                <w:sz w:val="18"/>
                <w:szCs w:val="18"/>
              </w:rPr>
              <w:t>Amount commercial bank’s annual investment in electronic banking</w:t>
            </w:r>
          </w:p>
        </w:tc>
        <w:tc>
          <w:tcPr>
            <w:tcW w:w="0" w:type="auto"/>
            <w:vAlign w:val="center"/>
          </w:tcPr>
          <w:p w:rsidR="001D29EA" w:rsidRDefault="00FF2695" w:rsidP="00340A14">
            <w:pPr>
              <w:pStyle w:val="TableParagraph"/>
              <w:spacing w:line="276" w:lineRule="auto"/>
              <w:ind w:right="194"/>
              <w:rPr>
                <w:sz w:val="18"/>
                <w:szCs w:val="18"/>
              </w:rPr>
            </w:pPr>
            <w:r>
              <w:rPr>
                <w:w w:val="95"/>
                <w:sz w:val="18"/>
                <w:szCs w:val="18"/>
              </w:rPr>
              <w:t>Questionnaire</w:t>
            </w:r>
          </w:p>
        </w:tc>
      </w:tr>
      <w:tr w:rsidR="001D29EA" w:rsidTr="00340A14">
        <w:trPr>
          <w:cantSplit/>
          <w:jc w:val="center"/>
        </w:trPr>
        <w:tc>
          <w:tcPr>
            <w:tcW w:w="0" w:type="auto"/>
            <w:vAlign w:val="center"/>
          </w:tcPr>
          <w:p w:rsidR="001D29EA" w:rsidRDefault="00FF2695" w:rsidP="00340A14">
            <w:pPr>
              <w:pStyle w:val="TableParagraph"/>
              <w:spacing w:line="278" w:lineRule="auto"/>
              <w:ind w:left="107" w:right="485"/>
              <w:rPr>
                <w:b/>
                <w:sz w:val="18"/>
                <w:szCs w:val="18"/>
              </w:rPr>
            </w:pPr>
            <w:r>
              <w:rPr>
                <w:b/>
                <w:sz w:val="18"/>
                <w:szCs w:val="18"/>
              </w:rPr>
              <w:t>Financial</w:t>
            </w:r>
          </w:p>
          <w:p w:rsidR="001D29EA" w:rsidRDefault="00FF2695" w:rsidP="00340A14">
            <w:pPr>
              <w:pStyle w:val="TableParagraph"/>
              <w:spacing w:line="278" w:lineRule="auto"/>
              <w:ind w:left="107" w:right="485"/>
              <w:rPr>
                <w:b/>
                <w:sz w:val="18"/>
                <w:szCs w:val="18"/>
              </w:rPr>
            </w:pPr>
            <w:r>
              <w:rPr>
                <w:b/>
                <w:sz w:val="18"/>
                <w:szCs w:val="18"/>
              </w:rPr>
              <w:t>Inclusion</w:t>
            </w:r>
          </w:p>
        </w:tc>
        <w:tc>
          <w:tcPr>
            <w:tcW w:w="0" w:type="auto"/>
            <w:vAlign w:val="center"/>
          </w:tcPr>
          <w:p w:rsidR="001D29EA" w:rsidRDefault="00FF2695" w:rsidP="00340A14">
            <w:pPr>
              <w:pStyle w:val="TableParagraph"/>
              <w:ind w:left="105"/>
              <w:rPr>
                <w:sz w:val="18"/>
                <w:szCs w:val="18"/>
              </w:rPr>
            </w:pPr>
            <w:r>
              <w:rPr>
                <w:sz w:val="18"/>
                <w:szCs w:val="18"/>
              </w:rPr>
              <w:t>Mediating</w:t>
            </w:r>
          </w:p>
        </w:tc>
        <w:tc>
          <w:tcPr>
            <w:tcW w:w="0" w:type="auto"/>
            <w:vAlign w:val="center"/>
          </w:tcPr>
          <w:p w:rsidR="001D29EA" w:rsidRDefault="00FF2695" w:rsidP="00340A14">
            <w:pPr>
              <w:pStyle w:val="TableParagraph"/>
              <w:spacing w:before="53" w:line="276" w:lineRule="auto"/>
              <w:ind w:left="108" w:right="26"/>
              <w:rPr>
                <w:sz w:val="18"/>
                <w:szCs w:val="18"/>
              </w:rPr>
            </w:pPr>
            <w:r>
              <w:rPr>
                <w:sz w:val="18"/>
                <w:szCs w:val="18"/>
              </w:rPr>
              <w:t>Market share of Branchless banks, branchless banking accounts opened and transactions value through branchless banking</w:t>
            </w:r>
          </w:p>
        </w:tc>
        <w:tc>
          <w:tcPr>
            <w:tcW w:w="0" w:type="auto"/>
            <w:vAlign w:val="center"/>
          </w:tcPr>
          <w:p w:rsidR="001D29EA" w:rsidRDefault="00FF2695" w:rsidP="00340A14">
            <w:pPr>
              <w:pStyle w:val="TableParagraph"/>
              <w:spacing w:line="276" w:lineRule="auto"/>
              <w:ind w:left="108" w:right="197"/>
              <w:rPr>
                <w:sz w:val="18"/>
                <w:szCs w:val="18"/>
              </w:rPr>
            </w:pPr>
            <w:r>
              <w:rPr>
                <w:sz w:val="18"/>
                <w:szCs w:val="18"/>
              </w:rPr>
              <w:t>Deposits Market share of the commercial banks, accounts opened through branchless banking and value of transactions conducted through branchless banking</w:t>
            </w:r>
          </w:p>
        </w:tc>
        <w:tc>
          <w:tcPr>
            <w:tcW w:w="0" w:type="auto"/>
            <w:vAlign w:val="center"/>
          </w:tcPr>
          <w:p w:rsidR="001D29EA" w:rsidRDefault="00FF2695" w:rsidP="00340A14">
            <w:pPr>
              <w:pStyle w:val="TableParagraph"/>
              <w:spacing w:line="276" w:lineRule="auto"/>
              <w:ind w:right="132"/>
              <w:rPr>
                <w:sz w:val="18"/>
                <w:szCs w:val="18"/>
              </w:rPr>
            </w:pPr>
            <w:r>
              <w:rPr>
                <w:sz w:val="18"/>
                <w:szCs w:val="18"/>
              </w:rPr>
              <w:t xml:space="preserve">Questionnaire </w:t>
            </w:r>
          </w:p>
        </w:tc>
      </w:tr>
      <w:tr w:rsidR="001D29EA" w:rsidTr="00340A14">
        <w:trPr>
          <w:cantSplit/>
          <w:jc w:val="center"/>
        </w:trPr>
        <w:tc>
          <w:tcPr>
            <w:tcW w:w="0" w:type="auto"/>
            <w:vAlign w:val="center"/>
          </w:tcPr>
          <w:p w:rsidR="001D29EA" w:rsidRDefault="00FF2695" w:rsidP="00340A14">
            <w:pPr>
              <w:pStyle w:val="TableParagraph"/>
              <w:spacing w:line="276" w:lineRule="auto"/>
              <w:ind w:left="107"/>
              <w:rPr>
                <w:b/>
                <w:sz w:val="18"/>
                <w:szCs w:val="18"/>
              </w:rPr>
            </w:pPr>
            <w:r>
              <w:rPr>
                <w:b/>
                <w:w w:val="95"/>
                <w:sz w:val="18"/>
                <w:szCs w:val="18"/>
              </w:rPr>
              <w:t xml:space="preserve">Government </w:t>
            </w:r>
            <w:r>
              <w:rPr>
                <w:b/>
                <w:sz w:val="18"/>
                <w:szCs w:val="18"/>
              </w:rPr>
              <w:t>Policy</w:t>
            </w:r>
          </w:p>
        </w:tc>
        <w:tc>
          <w:tcPr>
            <w:tcW w:w="0" w:type="auto"/>
            <w:vAlign w:val="center"/>
          </w:tcPr>
          <w:p w:rsidR="001D29EA" w:rsidRDefault="00FF2695" w:rsidP="00340A14">
            <w:pPr>
              <w:pStyle w:val="TableParagraph"/>
              <w:ind w:left="105"/>
              <w:rPr>
                <w:sz w:val="18"/>
                <w:szCs w:val="18"/>
              </w:rPr>
            </w:pPr>
            <w:r>
              <w:rPr>
                <w:sz w:val="18"/>
                <w:szCs w:val="18"/>
              </w:rPr>
              <w:t>Moderating</w:t>
            </w:r>
          </w:p>
        </w:tc>
        <w:tc>
          <w:tcPr>
            <w:tcW w:w="0" w:type="auto"/>
            <w:vAlign w:val="center"/>
          </w:tcPr>
          <w:p w:rsidR="001D29EA" w:rsidRDefault="00FF2695" w:rsidP="00340A14">
            <w:pPr>
              <w:pStyle w:val="TableParagraph"/>
              <w:spacing w:line="276" w:lineRule="auto"/>
              <w:ind w:left="108" w:right="625"/>
              <w:rPr>
                <w:sz w:val="18"/>
                <w:szCs w:val="18"/>
              </w:rPr>
            </w:pPr>
            <w:r>
              <w:rPr>
                <w:sz w:val="18"/>
                <w:szCs w:val="18"/>
              </w:rPr>
              <w:t>Rules and regulation (Branchless Banking)</w:t>
            </w:r>
          </w:p>
        </w:tc>
        <w:tc>
          <w:tcPr>
            <w:tcW w:w="0" w:type="auto"/>
            <w:vAlign w:val="center"/>
          </w:tcPr>
          <w:p w:rsidR="001D29EA" w:rsidRDefault="00FF2695" w:rsidP="00340A14">
            <w:pPr>
              <w:pStyle w:val="TableParagraph"/>
              <w:spacing w:line="276" w:lineRule="auto"/>
              <w:ind w:left="108" w:right="86"/>
              <w:rPr>
                <w:sz w:val="18"/>
                <w:szCs w:val="18"/>
              </w:rPr>
            </w:pPr>
            <w:r>
              <w:rPr>
                <w:sz w:val="18"/>
                <w:szCs w:val="18"/>
              </w:rPr>
              <w:t>Extent of regulation, adequacy and effectiveness of regulation</w:t>
            </w:r>
          </w:p>
        </w:tc>
        <w:tc>
          <w:tcPr>
            <w:tcW w:w="0" w:type="auto"/>
            <w:vAlign w:val="center"/>
          </w:tcPr>
          <w:p w:rsidR="001D29EA" w:rsidRDefault="00FF2695" w:rsidP="00340A14">
            <w:pPr>
              <w:pStyle w:val="TableParagraph"/>
              <w:spacing w:before="194" w:line="276" w:lineRule="auto"/>
              <w:jc w:val="both"/>
              <w:rPr>
                <w:sz w:val="18"/>
                <w:szCs w:val="18"/>
              </w:rPr>
            </w:pPr>
            <w:r>
              <w:rPr>
                <w:sz w:val="18"/>
                <w:szCs w:val="18"/>
              </w:rPr>
              <w:t xml:space="preserve">Questionnaire </w:t>
            </w:r>
          </w:p>
        </w:tc>
      </w:tr>
    </w:tbl>
    <w:p w:rsidR="001D29EA" w:rsidRDefault="001D29EA">
      <w:pPr>
        <w:pStyle w:val="TableParagraph"/>
        <w:spacing w:before="111"/>
        <w:ind w:left="107"/>
        <w:rPr>
          <w:rFonts w:eastAsiaTheme="minorEastAsia"/>
          <w:b/>
          <w:sz w:val="18"/>
          <w:szCs w:val="18"/>
          <w:lang w:eastAsia="zh-CN"/>
        </w:rPr>
      </w:pPr>
    </w:p>
    <w:p w:rsidR="00750A0D" w:rsidRDefault="00750A0D">
      <w:pPr>
        <w:pStyle w:val="TableParagraph"/>
        <w:spacing w:before="111"/>
        <w:ind w:left="107"/>
        <w:rPr>
          <w:rFonts w:eastAsiaTheme="minorEastAsia"/>
          <w:b/>
          <w:sz w:val="18"/>
          <w:szCs w:val="18"/>
          <w:lang w:eastAsia="zh-CN"/>
        </w:rPr>
      </w:pPr>
    </w:p>
    <w:p w:rsidR="00750A0D" w:rsidRPr="00750A0D" w:rsidRDefault="00750A0D">
      <w:pPr>
        <w:pStyle w:val="TableParagraph"/>
        <w:spacing w:before="111"/>
        <w:ind w:left="107"/>
        <w:rPr>
          <w:rFonts w:eastAsiaTheme="minorEastAsia"/>
          <w:b/>
          <w:sz w:val="18"/>
          <w:szCs w:val="18"/>
          <w:lang w:eastAsia="zh-CN"/>
        </w:rPr>
      </w:pPr>
    </w:p>
    <w:p w:rsidR="001D29EA" w:rsidRDefault="00FF2695">
      <w:pPr>
        <w:rPr>
          <w:b/>
          <w:sz w:val="20"/>
          <w:szCs w:val="20"/>
        </w:rPr>
      </w:pPr>
      <w:r>
        <w:rPr>
          <w:i/>
          <w:sz w:val="20"/>
          <w:szCs w:val="20"/>
        </w:rPr>
        <w:t>Source; Author (2016)</w:t>
      </w:r>
    </w:p>
    <w:p w:rsidR="001D29EA" w:rsidRDefault="00FF2695" w:rsidP="00750A0D">
      <w:pPr>
        <w:ind w:firstLine="720"/>
        <w:jc w:val="both"/>
        <w:rPr>
          <w:rFonts w:eastAsiaTheme="minorEastAsia"/>
          <w:sz w:val="20"/>
          <w:szCs w:val="20"/>
          <w:lang w:eastAsia="zh-CN"/>
        </w:rPr>
      </w:pPr>
      <w:r>
        <w:rPr>
          <w:sz w:val="20"/>
          <w:szCs w:val="20"/>
        </w:rPr>
        <w:t xml:space="preserve">Money playing a vital role (likes blood in body) in the business. The banking industry is the life force of modern commerce and economic growth. Banks control, promote and incorporate economic </w:t>
      </w:r>
      <w:r w:rsidR="00340A14">
        <w:rPr>
          <w:sz w:val="20"/>
          <w:szCs w:val="20"/>
        </w:rPr>
        <w:t>practices</w:t>
      </w:r>
      <w:r>
        <w:rPr>
          <w:sz w:val="20"/>
          <w:szCs w:val="20"/>
        </w:rPr>
        <w:t xml:space="preserve">, such as </w:t>
      </w:r>
      <w:r w:rsidR="00340A14">
        <w:rPr>
          <w:sz w:val="20"/>
          <w:szCs w:val="20"/>
        </w:rPr>
        <w:t>mobilizing</w:t>
      </w:r>
      <w:r>
        <w:rPr>
          <w:sz w:val="20"/>
          <w:szCs w:val="20"/>
        </w:rPr>
        <w:t xml:space="preserve"> money, reducing hunger, generating and distributing public funds. The financial success of commercial banks in the financial sector and in the country as a whole has great consequences and will remain a major concern of all banking stakeholders. Commercial banks have invested extensively in techniques based banking methods such as branchless banking that includes use of agency-banks and </w:t>
      </w:r>
      <w:r w:rsidR="00340A14">
        <w:rPr>
          <w:sz w:val="20"/>
          <w:szCs w:val="20"/>
        </w:rPr>
        <w:t>electronically</w:t>
      </w:r>
      <w:r>
        <w:rPr>
          <w:sz w:val="20"/>
          <w:szCs w:val="20"/>
        </w:rPr>
        <w:t xml:space="preserve"> banking platforms for the delivery of banking products and services both locally and globally in order to boost financial efficiency. Despite this huge investment, though, the payouts related to these technology-based forms of banking are also difficult to identify. The early adopters in Pakistan of branchless banking had to focus on studies from South America which had a different geographic and social background. In addition, the literature available in Pakistan has taken into account either the isolation of branchless banking networks, used study plans and models that restrict the </w:t>
      </w:r>
      <w:r w:rsidR="00340A14">
        <w:rPr>
          <w:sz w:val="20"/>
          <w:szCs w:val="20"/>
        </w:rPr>
        <w:t>generalization</w:t>
      </w:r>
      <w:r>
        <w:rPr>
          <w:sz w:val="20"/>
          <w:szCs w:val="20"/>
        </w:rPr>
        <w:t xml:space="preserve"> of findings and have neglected to </w:t>
      </w:r>
      <w:r w:rsidR="00340A14">
        <w:rPr>
          <w:sz w:val="20"/>
          <w:szCs w:val="20"/>
        </w:rPr>
        <w:t>recognize</w:t>
      </w:r>
      <w:r>
        <w:rPr>
          <w:sz w:val="20"/>
          <w:szCs w:val="20"/>
        </w:rPr>
        <w:t xml:space="preserve"> the impact on the relationship between branchless banking and commercial-bank financial success in Pakistan of financial inclusion and policy by the government. This research was strongly anchored in the philosophy of financial mediation.</w:t>
      </w: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Default="00750A0D" w:rsidP="00750A0D">
      <w:pPr>
        <w:ind w:firstLine="720"/>
        <w:jc w:val="both"/>
        <w:rPr>
          <w:rFonts w:eastAsiaTheme="minorEastAsia"/>
          <w:sz w:val="20"/>
          <w:szCs w:val="20"/>
          <w:lang w:eastAsia="zh-CN"/>
        </w:rPr>
      </w:pPr>
    </w:p>
    <w:p w:rsidR="00750A0D" w:rsidRPr="00750A0D" w:rsidRDefault="00750A0D" w:rsidP="00750A0D">
      <w:pPr>
        <w:ind w:firstLine="720"/>
        <w:jc w:val="both"/>
        <w:rPr>
          <w:rFonts w:eastAsiaTheme="minorEastAsia"/>
          <w:sz w:val="20"/>
          <w:szCs w:val="20"/>
          <w:lang w:eastAsia="zh-CN"/>
        </w:rPr>
      </w:pPr>
    </w:p>
    <w:p w:rsidR="001D29EA" w:rsidRDefault="001D29EA">
      <w:pPr>
        <w:spacing w:after="200" w:line="276" w:lineRule="auto"/>
        <w:ind w:left="2160"/>
        <w:jc w:val="both"/>
      </w:pPr>
    </w:p>
    <w:tbl>
      <w:tblPr>
        <w:tblStyle w:val="LightShading"/>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tblPr>
      <w:tblGrid>
        <w:gridCol w:w="5533"/>
        <w:gridCol w:w="2071"/>
        <w:gridCol w:w="1923"/>
      </w:tblGrid>
      <w:tr w:rsidR="001D29EA" w:rsidTr="00750A0D">
        <w:trPr>
          <w:cnfStyle w:val="100000000000"/>
          <w:cantSplit/>
          <w:jc w:val="center"/>
        </w:trPr>
        <w:tc>
          <w:tcPr>
            <w:cnfStyle w:val="001000000000"/>
            <w:tcW w:w="2904"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1D29EA" w:rsidRDefault="00FF2695" w:rsidP="00750A0D">
            <w:pPr>
              <w:pStyle w:val="TableParagraph"/>
              <w:spacing w:before="17"/>
              <w:ind w:left="107"/>
              <w:jc w:val="both"/>
              <w:rPr>
                <w:bCs w:val="0"/>
                <w:color w:val="auto"/>
                <w:sz w:val="20"/>
              </w:rPr>
            </w:pPr>
            <w:r>
              <w:rPr>
                <w:color w:val="auto"/>
                <w:sz w:val="20"/>
                <w:u w:val="single"/>
              </w:rPr>
              <w:t>Item</w:t>
            </w:r>
          </w:p>
        </w:tc>
        <w:tc>
          <w:tcPr>
            <w:tcW w:w="1087"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1D29EA" w:rsidRDefault="00FF2695" w:rsidP="00750A0D">
            <w:pPr>
              <w:pStyle w:val="TableParagraph"/>
              <w:spacing w:before="17"/>
              <w:ind w:left="390" w:right="383"/>
              <w:jc w:val="both"/>
              <w:cnfStyle w:val="100000000000"/>
              <w:rPr>
                <w:bCs w:val="0"/>
                <w:color w:val="auto"/>
                <w:sz w:val="20"/>
              </w:rPr>
            </w:pPr>
            <w:r>
              <w:rPr>
                <w:color w:val="auto"/>
                <w:sz w:val="20"/>
                <w:u w:val="single"/>
              </w:rPr>
              <w:t>Pilot Test</w:t>
            </w:r>
          </w:p>
        </w:tc>
        <w:tc>
          <w:tcPr>
            <w:tcW w:w="1009" w:type="pct"/>
            <w:tcBorders>
              <w:top w:val="none" w:sz="0" w:space="0" w:color="auto"/>
              <w:left w:val="none" w:sz="0" w:space="0" w:color="auto"/>
              <w:bottom w:val="none" w:sz="0" w:space="0" w:color="auto"/>
              <w:right w:val="none" w:sz="0" w:space="0" w:color="auto"/>
            </w:tcBorders>
            <w:shd w:val="clear" w:color="auto" w:fill="FFFFFF" w:themeFill="background1"/>
            <w:vAlign w:val="center"/>
          </w:tcPr>
          <w:p w:rsidR="001D29EA" w:rsidRDefault="00FF2695" w:rsidP="00750A0D">
            <w:pPr>
              <w:pStyle w:val="TableParagraph"/>
              <w:spacing w:before="17"/>
              <w:ind w:left="279" w:right="276"/>
              <w:jc w:val="both"/>
              <w:cnfStyle w:val="100000000000"/>
              <w:rPr>
                <w:bCs w:val="0"/>
                <w:color w:val="auto"/>
                <w:sz w:val="20"/>
              </w:rPr>
            </w:pPr>
            <w:r>
              <w:rPr>
                <w:color w:val="auto"/>
                <w:sz w:val="20"/>
                <w:u w:val="single"/>
              </w:rPr>
              <w:t>Main Survey</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Cronbach Alpha</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0.733</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0.764</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7"/>
              <w:ind w:left="107"/>
              <w:jc w:val="both"/>
              <w:rPr>
                <w:bCs w:val="0"/>
                <w:color w:val="auto"/>
                <w:sz w:val="20"/>
              </w:rPr>
            </w:pPr>
            <w:r>
              <w:rPr>
                <w:color w:val="auto"/>
                <w:sz w:val="20"/>
                <w:u w:val="single"/>
              </w:rPr>
              <w:t>Scale Statistics</w:t>
            </w: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Mean</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15.52</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15.84</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Standard Deviation</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6.979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5.629</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No. of Items</w:t>
            </w:r>
          </w:p>
        </w:tc>
        <w:tc>
          <w:tcPr>
            <w:tcW w:w="1087" w:type="pct"/>
            <w:shd w:val="clear" w:color="auto" w:fill="FFFFFF" w:themeFill="background1"/>
            <w:vAlign w:val="center"/>
          </w:tcPr>
          <w:p w:rsidR="001D29EA" w:rsidRDefault="00FF2695" w:rsidP="00750A0D">
            <w:pPr>
              <w:pStyle w:val="TableParagraph"/>
              <w:spacing w:before="12"/>
              <w:ind w:left="8"/>
              <w:jc w:val="center"/>
              <w:cnfStyle w:val="000000000000"/>
              <w:rPr>
                <w:color w:val="auto"/>
                <w:sz w:val="20"/>
              </w:rPr>
            </w:pPr>
            <w:r>
              <w:rPr>
                <w:color w:val="auto"/>
                <w:w w:val="99"/>
                <w:sz w:val="20"/>
              </w:rPr>
              <w:t>4</w:t>
            </w:r>
          </w:p>
        </w:tc>
        <w:tc>
          <w:tcPr>
            <w:tcW w:w="1009" w:type="pct"/>
            <w:shd w:val="clear" w:color="auto" w:fill="FFFFFF" w:themeFill="background1"/>
            <w:vAlign w:val="center"/>
          </w:tcPr>
          <w:p w:rsidR="001D29EA" w:rsidRDefault="00FF2695" w:rsidP="00750A0D">
            <w:pPr>
              <w:pStyle w:val="TableParagraph"/>
              <w:spacing w:before="12"/>
              <w:ind w:left="6"/>
              <w:jc w:val="center"/>
              <w:cnfStyle w:val="000000000000"/>
              <w:rPr>
                <w:b/>
                <w:bCs/>
                <w:color w:val="auto"/>
                <w:sz w:val="20"/>
              </w:rPr>
            </w:pPr>
            <w:r>
              <w:rPr>
                <w:b/>
                <w:bCs/>
                <w:color w:val="auto"/>
                <w:w w:val="99"/>
                <w:sz w:val="20"/>
              </w:rPr>
              <w:t>4</w:t>
            </w:r>
          </w:p>
        </w:tc>
      </w:tr>
      <w:tr w:rsidR="001D29EA" w:rsidTr="00750A0D">
        <w:trPr>
          <w:cantSplit/>
          <w:jc w:val="center"/>
        </w:trPr>
        <w:tc>
          <w:tcPr>
            <w:cnfStyle w:val="001000000000"/>
            <w:tcW w:w="2904" w:type="pct"/>
            <w:shd w:val="clear" w:color="auto" w:fill="FFFFFF" w:themeFill="background1"/>
            <w:vAlign w:val="center"/>
          </w:tcPr>
          <w:p w:rsidR="001D29EA" w:rsidRDefault="001D29EA" w:rsidP="00750A0D">
            <w:pPr>
              <w:pStyle w:val="TableParagraph"/>
              <w:jc w:val="both"/>
              <w:rPr>
                <w:b w:val="0"/>
                <w:bCs w:val="0"/>
                <w:color w:val="auto"/>
                <w:sz w:val="18"/>
              </w:rPr>
            </w:pP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7"/>
              <w:ind w:left="107"/>
              <w:jc w:val="both"/>
              <w:rPr>
                <w:bCs w:val="0"/>
                <w:color w:val="auto"/>
                <w:sz w:val="20"/>
              </w:rPr>
            </w:pPr>
            <w:r>
              <w:rPr>
                <w:color w:val="auto"/>
                <w:sz w:val="20"/>
                <w:u w:val="single"/>
              </w:rPr>
              <w:t>Inter-item correlation between:</w:t>
            </w: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Branchless banking and financial performance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0.477</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0.489</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3"/>
              <w:ind w:left="107"/>
              <w:jc w:val="both"/>
              <w:rPr>
                <w:b w:val="0"/>
                <w:bCs w:val="0"/>
                <w:color w:val="auto"/>
                <w:sz w:val="20"/>
              </w:rPr>
            </w:pPr>
            <w:r>
              <w:rPr>
                <w:color w:val="auto"/>
                <w:sz w:val="20"/>
              </w:rPr>
              <w:t>Branchless banking and financial inclusion</w:t>
            </w:r>
          </w:p>
        </w:tc>
        <w:tc>
          <w:tcPr>
            <w:tcW w:w="1087" w:type="pct"/>
            <w:shd w:val="clear" w:color="auto" w:fill="FFFFFF" w:themeFill="background1"/>
            <w:vAlign w:val="center"/>
          </w:tcPr>
          <w:p w:rsidR="001D29EA" w:rsidRDefault="00FF2695" w:rsidP="00750A0D">
            <w:pPr>
              <w:pStyle w:val="TableParagraph"/>
              <w:spacing w:before="13"/>
              <w:ind w:left="392" w:right="383"/>
              <w:jc w:val="both"/>
              <w:cnfStyle w:val="000000000000"/>
              <w:rPr>
                <w:color w:val="auto"/>
                <w:sz w:val="20"/>
              </w:rPr>
            </w:pPr>
            <w:r>
              <w:rPr>
                <w:color w:val="auto"/>
                <w:sz w:val="20"/>
              </w:rPr>
              <w:t>0.586</w:t>
            </w:r>
          </w:p>
        </w:tc>
        <w:tc>
          <w:tcPr>
            <w:tcW w:w="1009" w:type="pct"/>
            <w:shd w:val="clear" w:color="auto" w:fill="FFFFFF" w:themeFill="background1"/>
            <w:vAlign w:val="center"/>
          </w:tcPr>
          <w:p w:rsidR="001D29EA" w:rsidRDefault="00FF2695" w:rsidP="00750A0D">
            <w:pPr>
              <w:pStyle w:val="TableParagraph"/>
              <w:spacing w:before="13"/>
              <w:ind w:left="279" w:right="272"/>
              <w:jc w:val="both"/>
              <w:cnfStyle w:val="000000000000"/>
              <w:rPr>
                <w:b/>
                <w:bCs/>
                <w:color w:val="auto"/>
                <w:sz w:val="20"/>
              </w:rPr>
            </w:pPr>
            <w:r>
              <w:rPr>
                <w:b/>
                <w:bCs/>
                <w:color w:val="auto"/>
                <w:sz w:val="20"/>
              </w:rPr>
              <w:t>0.601</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Branchless banking and government policy</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0.579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0.609</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Financial inclusion and financial performance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0.493</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0.491</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Government policy and financial performance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0.424</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0.459</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Government policy and financial inclusion</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0.553</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0.599</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Range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0.424 -0.586</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0.459 -0.609</w:t>
            </w:r>
          </w:p>
        </w:tc>
      </w:tr>
      <w:tr w:rsidR="001D29EA" w:rsidTr="00750A0D">
        <w:trPr>
          <w:cantSplit/>
          <w:jc w:val="center"/>
        </w:trPr>
        <w:tc>
          <w:tcPr>
            <w:cnfStyle w:val="001000000000"/>
            <w:tcW w:w="2904" w:type="pct"/>
            <w:shd w:val="clear" w:color="auto" w:fill="FFFFFF" w:themeFill="background1"/>
            <w:vAlign w:val="center"/>
          </w:tcPr>
          <w:p w:rsidR="001D29EA" w:rsidRDefault="001D29EA" w:rsidP="00750A0D">
            <w:pPr>
              <w:pStyle w:val="TableParagraph"/>
              <w:jc w:val="both"/>
              <w:rPr>
                <w:b w:val="0"/>
                <w:bCs w:val="0"/>
                <w:color w:val="auto"/>
                <w:sz w:val="18"/>
              </w:rPr>
            </w:pP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7"/>
              <w:ind w:left="107"/>
              <w:jc w:val="both"/>
              <w:rPr>
                <w:bCs w:val="0"/>
                <w:color w:val="auto"/>
                <w:sz w:val="20"/>
              </w:rPr>
            </w:pPr>
            <w:r>
              <w:rPr>
                <w:color w:val="auto"/>
                <w:sz w:val="20"/>
                <w:u w:val="single"/>
              </w:rPr>
              <w:t>Corrected item- total correlation</w:t>
            </w: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Branchless Banking</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0.773</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0.791</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Financial performance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0.408</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0.441</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Financial inclusion</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0.603</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0.621</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Government Policy</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0.489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0.505</w:t>
            </w:r>
          </w:p>
        </w:tc>
      </w:tr>
      <w:tr w:rsidR="001D29EA" w:rsidTr="00750A0D">
        <w:trPr>
          <w:cantSplit/>
          <w:jc w:val="center"/>
        </w:trPr>
        <w:tc>
          <w:tcPr>
            <w:cnfStyle w:val="001000000000"/>
            <w:tcW w:w="2904" w:type="pct"/>
            <w:shd w:val="clear" w:color="auto" w:fill="FFFFFF" w:themeFill="background1"/>
            <w:vAlign w:val="center"/>
          </w:tcPr>
          <w:p w:rsidR="001D29EA" w:rsidRDefault="001D29EA" w:rsidP="00750A0D">
            <w:pPr>
              <w:pStyle w:val="TableParagraph"/>
              <w:jc w:val="both"/>
              <w:rPr>
                <w:b w:val="0"/>
                <w:bCs w:val="0"/>
                <w:color w:val="auto"/>
                <w:sz w:val="18"/>
              </w:rPr>
            </w:pP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7"/>
              <w:ind w:left="107"/>
              <w:jc w:val="both"/>
              <w:rPr>
                <w:bCs w:val="0"/>
                <w:color w:val="auto"/>
                <w:sz w:val="20"/>
              </w:rPr>
            </w:pPr>
            <w:r>
              <w:rPr>
                <w:color w:val="auto"/>
                <w:sz w:val="20"/>
                <w:u w:val="single"/>
              </w:rPr>
              <w:t>Cronbach alpha if item is deleted</w:t>
            </w:r>
          </w:p>
        </w:tc>
        <w:tc>
          <w:tcPr>
            <w:tcW w:w="1087" w:type="pct"/>
            <w:shd w:val="clear" w:color="auto" w:fill="FFFFFF" w:themeFill="background1"/>
            <w:vAlign w:val="center"/>
          </w:tcPr>
          <w:p w:rsidR="001D29EA" w:rsidRDefault="001D29EA" w:rsidP="00750A0D">
            <w:pPr>
              <w:pStyle w:val="TableParagraph"/>
              <w:jc w:val="both"/>
              <w:cnfStyle w:val="000000000000"/>
              <w:rPr>
                <w:color w:val="auto"/>
                <w:sz w:val="18"/>
              </w:rPr>
            </w:pPr>
          </w:p>
        </w:tc>
        <w:tc>
          <w:tcPr>
            <w:tcW w:w="1009" w:type="pct"/>
            <w:shd w:val="clear" w:color="auto" w:fill="FFFFFF" w:themeFill="background1"/>
            <w:vAlign w:val="center"/>
          </w:tcPr>
          <w:p w:rsidR="001D29EA" w:rsidRDefault="001D29EA" w:rsidP="00750A0D">
            <w:pPr>
              <w:pStyle w:val="TableParagraph"/>
              <w:jc w:val="both"/>
              <w:cnfStyle w:val="000000000000"/>
              <w:rPr>
                <w:b/>
                <w:bCs/>
                <w:color w:val="auto"/>
                <w:sz w:val="18"/>
              </w:rPr>
            </w:pP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Branchless Banking</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0.609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0.633</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Financial performance</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0.751</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0.767</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Financial inclusion</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color w:val="auto"/>
                <w:sz w:val="20"/>
              </w:rPr>
            </w:pPr>
            <w:r>
              <w:rPr>
                <w:color w:val="auto"/>
                <w:sz w:val="20"/>
              </w:rPr>
              <w:t>0.659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0.697</w:t>
            </w:r>
          </w:p>
        </w:tc>
      </w:tr>
      <w:tr w:rsidR="001D29EA" w:rsidTr="00750A0D">
        <w:trPr>
          <w:cantSplit/>
          <w:jc w:val="center"/>
        </w:trPr>
        <w:tc>
          <w:tcPr>
            <w:cnfStyle w:val="001000000000"/>
            <w:tcW w:w="2904" w:type="pct"/>
            <w:shd w:val="clear" w:color="auto" w:fill="FFFFFF" w:themeFill="background1"/>
            <w:vAlign w:val="center"/>
          </w:tcPr>
          <w:p w:rsidR="001D29EA" w:rsidRDefault="00FF2695" w:rsidP="00750A0D">
            <w:pPr>
              <w:pStyle w:val="TableParagraph"/>
              <w:spacing w:before="12"/>
              <w:ind w:left="107"/>
              <w:jc w:val="both"/>
              <w:rPr>
                <w:b w:val="0"/>
                <w:bCs w:val="0"/>
                <w:color w:val="auto"/>
                <w:sz w:val="20"/>
              </w:rPr>
            </w:pPr>
            <w:r>
              <w:rPr>
                <w:color w:val="auto"/>
                <w:sz w:val="20"/>
              </w:rPr>
              <w:t>Government Policy</w:t>
            </w:r>
          </w:p>
        </w:tc>
        <w:tc>
          <w:tcPr>
            <w:tcW w:w="1087" w:type="pct"/>
            <w:shd w:val="clear" w:color="auto" w:fill="FFFFFF" w:themeFill="background1"/>
            <w:vAlign w:val="center"/>
          </w:tcPr>
          <w:p w:rsidR="001D29EA" w:rsidRDefault="00FF2695" w:rsidP="00750A0D">
            <w:pPr>
              <w:pStyle w:val="TableParagraph"/>
              <w:spacing w:before="12"/>
              <w:ind w:left="392" w:right="383"/>
              <w:jc w:val="both"/>
              <w:cnfStyle w:val="000000000000"/>
              <w:rPr>
                <w:b/>
                <w:bCs/>
                <w:color w:val="auto"/>
                <w:sz w:val="20"/>
              </w:rPr>
            </w:pPr>
            <w:r>
              <w:rPr>
                <w:b/>
                <w:bCs/>
                <w:color w:val="auto"/>
                <w:sz w:val="20"/>
              </w:rPr>
              <w:t>0.789</w:t>
            </w:r>
          </w:p>
        </w:tc>
        <w:tc>
          <w:tcPr>
            <w:tcW w:w="1009" w:type="pct"/>
            <w:shd w:val="clear" w:color="auto" w:fill="FFFFFF" w:themeFill="background1"/>
            <w:vAlign w:val="center"/>
          </w:tcPr>
          <w:p w:rsidR="001D29EA" w:rsidRDefault="00FF2695" w:rsidP="00750A0D">
            <w:pPr>
              <w:pStyle w:val="TableParagraph"/>
              <w:spacing w:before="12"/>
              <w:ind w:left="279" w:right="272"/>
              <w:jc w:val="both"/>
              <w:cnfStyle w:val="000000000000"/>
              <w:rPr>
                <w:b/>
                <w:bCs/>
                <w:color w:val="auto"/>
                <w:sz w:val="20"/>
              </w:rPr>
            </w:pPr>
            <w:r>
              <w:rPr>
                <w:b/>
                <w:bCs/>
                <w:color w:val="auto"/>
                <w:sz w:val="20"/>
              </w:rPr>
              <w:t>0.801</w:t>
            </w:r>
          </w:p>
        </w:tc>
      </w:tr>
    </w:tbl>
    <w:p w:rsidR="001D29EA" w:rsidRDefault="001D29EA">
      <w:pPr>
        <w:spacing w:after="200" w:line="276" w:lineRule="auto"/>
        <w:rPr>
          <w:rFonts w:eastAsiaTheme="minorEastAsia"/>
          <w:b/>
          <w:lang w:eastAsia="zh-CN"/>
        </w:rPr>
      </w:pPr>
    </w:p>
    <w:p w:rsidR="00750A0D" w:rsidRDefault="00750A0D">
      <w:pPr>
        <w:spacing w:after="200" w:line="276" w:lineRule="auto"/>
        <w:rPr>
          <w:rFonts w:eastAsiaTheme="minorEastAsia"/>
          <w:b/>
          <w:lang w:eastAsia="zh-CN"/>
        </w:rPr>
      </w:pPr>
    </w:p>
    <w:p w:rsidR="00750A0D" w:rsidRPr="00750A0D" w:rsidRDefault="00750A0D">
      <w:pPr>
        <w:spacing w:after="200" w:line="276" w:lineRule="auto"/>
        <w:rPr>
          <w:rFonts w:eastAsiaTheme="minorEastAsia"/>
          <w:b/>
          <w:lang w:eastAsia="zh-CN"/>
        </w:rPr>
      </w:pPr>
    </w:p>
    <w:p w:rsidR="00750A0D" w:rsidRDefault="00750A0D">
      <w:pPr>
        <w:rPr>
          <w:rFonts w:eastAsia="宋体"/>
          <w:sz w:val="20"/>
          <w:szCs w:val="20"/>
          <w:lang w:eastAsia="zh-CN"/>
        </w:rPr>
        <w:sectPr w:rsidR="00750A0D" w:rsidSect="00750A0D">
          <w:type w:val="continuous"/>
          <w:pgSz w:w="12191" w:h="15819"/>
          <w:pgMar w:top="1440" w:right="1440" w:bottom="1440" w:left="1440" w:header="720" w:footer="720" w:gutter="0"/>
          <w:cols w:space="720"/>
          <w:titlePg/>
          <w:docGrid w:linePitch="360"/>
        </w:sectPr>
      </w:pPr>
    </w:p>
    <w:p w:rsidR="001D29EA" w:rsidRDefault="00FF2695" w:rsidP="00750A0D">
      <w:pPr>
        <w:ind w:firstLine="720"/>
        <w:jc w:val="both"/>
        <w:rPr>
          <w:rFonts w:eastAsiaTheme="majorEastAsia"/>
          <w:b/>
          <w:bCs/>
          <w:sz w:val="20"/>
          <w:szCs w:val="20"/>
        </w:rPr>
      </w:pPr>
      <w:r>
        <w:rPr>
          <w:sz w:val="20"/>
          <w:szCs w:val="20"/>
        </w:rPr>
        <w:lastRenderedPageBreak/>
        <w:t xml:space="preserve">As financial inclusion indices, deposit market share, branchless bank accounts and transaction volume is used. This detail is collected through a questionnaire from the corresponding commercial banks. Analysis of predictive data was performed with statistical tools SPSS and STATA. Hypothesis checks, description statistics and diagnosis tests have been performed. Using tables and maps, data was introduced. Results of the survey showed the major negative impact on financial performance in isolation; both agencies and electronic banking. However, if agency and electronic banking platforms were used together as a multi-channel approach, the financial result was significantly positively affected at a 5 percent average. Secondly, to allow the industry to gain optimum returns from branchesless banks, the </w:t>
      </w:r>
      <w:r>
        <w:rPr>
          <w:sz w:val="20"/>
          <w:szCs w:val="20"/>
        </w:rPr>
        <w:lastRenderedPageBreak/>
        <w:t>government should develop policies to promote financial integration in the banking market. Finally, to enhance its efficacy in resolving the risks and opportunities associated with the branchless bank models of banking in Pakistan, the Government should revisit policies on branchless banking.</w:t>
      </w:r>
    </w:p>
    <w:p w:rsidR="001D29EA" w:rsidRDefault="001D29EA">
      <w:pPr>
        <w:pStyle w:val="Heading2"/>
        <w:keepNext w:val="0"/>
        <w:keepLines w:val="0"/>
        <w:widowControl w:val="0"/>
        <w:tabs>
          <w:tab w:val="left" w:pos="1405"/>
        </w:tabs>
        <w:autoSpaceDE w:val="0"/>
        <w:autoSpaceDN w:val="0"/>
        <w:spacing w:before="0"/>
        <w:rPr>
          <w:rFonts w:ascii="Times New Roman" w:hAnsi="Times New Roman" w:cs="Times New Roman"/>
          <w:color w:val="auto"/>
          <w:sz w:val="20"/>
          <w:szCs w:val="20"/>
          <w:lang w:eastAsia="zh-CN"/>
        </w:rPr>
      </w:pPr>
    </w:p>
    <w:p w:rsidR="00750A0D" w:rsidRPr="00750A0D" w:rsidRDefault="00750A0D" w:rsidP="00750A0D">
      <w:pPr>
        <w:rPr>
          <w:rFonts w:eastAsiaTheme="minorEastAsia"/>
          <w:lang w:eastAsia="zh-CN"/>
        </w:rPr>
      </w:pPr>
    </w:p>
    <w:p w:rsidR="001D29EA" w:rsidRDefault="00FF2695">
      <w:pPr>
        <w:pStyle w:val="Heading2"/>
        <w:keepNext w:val="0"/>
        <w:keepLines w:val="0"/>
        <w:widowControl w:val="0"/>
        <w:tabs>
          <w:tab w:val="left" w:pos="1405"/>
        </w:tabs>
        <w:autoSpaceDE w:val="0"/>
        <w:autoSpaceDN w:val="0"/>
        <w:spacing w:before="0"/>
        <w:rPr>
          <w:rFonts w:ascii="Times New Roman" w:hAnsi="Times New Roman" w:cs="Times New Roman"/>
          <w:color w:val="auto"/>
          <w:sz w:val="20"/>
          <w:szCs w:val="20"/>
        </w:rPr>
      </w:pPr>
      <w:r>
        <w:rPr>
          <w:rFonts w:ascii="Times New Roman" w:hAnsi="Times New Roman" w:cs="Times New Roman"/>
          <w:color w:val="auto"/>
          <w:sz w:val="20"/>
          <w:szCs w:val="20"/>
        </w:rPr>
        <w:t>Conclusions</w:t>
      </w:r>
    </w:p>
    <w:p w:rsidR="001D29EA" w:rsidRDefault="00FF2695" w:rsidP="00750A0D">
      <w:pPr>
        <w:pStyle w:val="BodyText"/>
        <w:ind w:firstLine="720"/>
        <w:jc w:val="both"/>
        <w:rPr>
          <w:sz w:val="20"/>
          <w:szCs w:val="20"/>
        </w:rPr>
      </w:pPr>
      <w:r>
        <w:rPr>
          <w:sz w:val="20"/>
          <w:szCs w:val="20"/>
        </w:rPr>
        <w:t xml:space="preserve">The purpose of this analysis was to determine the effects of branchless banking on commercial banks' financial results in Pakistan. The thesis draws four main conclusions from the research results and the interpretations given. First, it was found that the financial performance of commercial banks in Pakistan is significantly affected by agency banking. Secondly, </w:t>
      </w:r>
      <w:r>
        <w:rPr>
          <w:sz w:val="20"/>
          <w:szCs w:val="20"/>
        </w:rPr>
        <w:lastRenderedPageBreak/>
        <w:t xml:space="preserve">the report also concludes that the financial success of commercial banks is being affected by electronic banking. The study found the substantial negative impact on the financial performance of commercial banks in Pakistan. When, however, both </w:t>
      </w:r>
      <w:r w:rsidR="00340A14">
        <w:rPr>
          <w:sz w:val="20"/>
          <w:szCs w:val="20"/>
        </w:rPr>
        <w:t>organization</w:t>
      </w:r>
      <w:r>
        <w:rPr>
          <w:sz w:val="20"/>
          <w:szCs w:val="20"/>
        </w:rPr>
        <w:t xml:space="preserve"> and electronic banking were used as a multi-channel approach, they had a strong and important impact on financial results. Therefore, the two channels balance one another, and if they used a Multichanal Approach in place of a single channel Strategy, banks would benefit more from their branchless banking investment. Agency banking and electronic banking establish synergies that can be clarified by the synergy principles of processes, where the total exceeds the number of its components. The third conclusion is that financial inclusion mediates in part the interaction between branchless banking and commercial banks' financial success in Pakistan. The studies indicate that the extent of the relationship between branchless banking and commercial banks' financial success in Pakistan depends on financial inclusion. Finally, the analysis concludes that government policy moderates in part the relationship between branchless banking and Pakistan's commercial banks' financial efficiency. The findings of descriptive analyses also show that controlling branchless banking is relevant and government policies have been able to overcome branchless banking danger and potential.</w:t>
      </w:r>
    </w:p>
    <w:p w:rsidR="001D29EA" w:rsidRDefault="001D29EA">
      <w:pPr>
        <w:pStyle w:val="BodyText"/>
        <w:jc w:val="both"/>
        <w:rPr>
          <w:rFonts w:eastAsiaTheme="minorEastAsia"/>
          <w:sz w:val="20"/>
          <w:szCs w:val="20"/>
          <w:lang w:eastAsia="zh-CN"/>
        </w:rPr>
      </w:pPr>
    </w:p>
    <w:p w:rsidR="00750A0D" w:rsidRPr="00750A0D" w:rsidRDefault="00750A0D">
      <w:pPr>
        <w:pStyle w:val="BodyText"/>
        <w:jc w:val="both"/>
        <w:rPr>
          <w:rFonts w:eastAsiaTheme="minorEastAsia"/>
          <w:b/>
          <w:sz w:val="20"/>
          <w:szCs w:val="20"/>
          <w:lang w:eastAsia="zh-CN"/>
        </w:rPr>
      </w:pPr>
      <w:r w:rsidRPr="00750A0D">
        <w:rPr>
          <w:rFonts w:eastAsiaTheme="minorEastAsia" w:hint="eastAsia"/>
          <w:b/>
          <w:sz w:val="20"/>
          <w:szCs w:val="20"/>
          <w:lang w:eastAsia="zh-CN"/>
        </w:rPr>
        <w:t>Authors</w:t>
      </w:r>
      <w:r>
        <w:rPr>
          <w:rFonts w:eastAsiaTheme="minorEastAsia" w:hint="eastAsia"/>
          <w:b/>
          <w:sz w:val="20"/>
          <w:szCs w:val="20"/>
          <w:lang w:eastAsia="zh-CN"/>
        </w:rPr>
        <w:t>:</w:t>
      </w:r>
    </w:p>
    <w:p w:rsidR="00750A0D" w:rsidRDefault="00750A0D" w:rsidP="00750A0D">
      <w:pPr>
        <w:autoSpaceDE w:val="0"/>
        <w:autoSpaceDN w:val="0"/>
        <w:adjustRightInd w:val="0"/>
        <w:rPr>
          <w:rFonts w:eastAsiaTheme="minorEastAsia"/>
          <w:color w:val="000000"/>
          <w:sz w:val="20"/>
          <w:szCs w:val="20"/>
          <w:lang w:eastAsia="zh-CN"/>
        </w:rPr>
      </w:pPr>
      <w:r w:rsidRPr="00340A14">
        <w:rPr>
          <w:color w:val="000000"/>
          <w:sz w:val="20"/>
          <w:szCs w:val="20"/>
        </w:rPr>
        <w:t xml:space="preserve">Dr. </w:t>
      </w:r>
      <w:proofErr w:type="spellStart"/>
      <w:r w:rsidRPr="00340A14">
        <w:rPr>
          <w:color w:val="000000"/>
          <w:sz w:val="20"/>
          <w:szCs w:val="20"/>
        </w:rPr>
        <w:t>Yasir</w:t>
      </w:r>
      <w:proofErr w:type="spellEnd"/>
      <w:r w:rsidRPr="00340A14">
        <w:rPr>
          <w:color w:val="000000"/>
          <w:sz w:val="20"/>
          <w:szCs w:val="20"/>
        </w:rPr>
        <w:t xml:space="preserve"> Khan</w:t>
      </w:r>
      <w:r w:rsidRPr="00340A14">
        <w:rPr>
          <w:rFonts w:eastAsiaTheme="minorEastAsia" w:hint="eastAsia"/>
          <w:color w:val="000000"/>
          <w:sz w:val="20"/>
          <w:szCs w:val="20"/>
          <w:lang w:eastAsia="zh-CN"/>
        </w:rPr>
        <w:t xml:space="preserve">, </w:t>
      </w:r>
    </w:p>
    <w:p w:rsidR="00750A0D" w:rsidRDefault="00750A0D" w:rsidP="00750A0D">
      <w:pPr>
        <w:autoSpaceDE w:val="0"/>
        <w:autoSpaceDN w:val="0"/>
        <w:adjustRightInd w:val="0"/>
        <w:rPr>
          <w:rFonts w:eastAsiaTheme="minorEastAsia"/>
          <w:color w:val="000000"/>
          <w:sz w:val="20"/>
          <w:szCs w:val="20"/>
          <w:lang w:eastAsia="zh-CN"/>
        </w:rPr>
      </w:pPr>
      <w:r w:rsidRPr="00340A14">
        <w:rPr>
          <w:color w:val="000000"/>
          <w:sz w:val="20"/>
          <w:szCs w:val="20"/>
        </w:rPr>
        <w:t xml:space="preserve">Assistant Professor </w:t>
      </w:r>
      <w:proofErr w:type="spellStart"/>
      <w:r w:rsidRPr="00340A14">
        <w:rPr>
          <w:color w:val="000000"/>
          <w:sz w:val="20"/>
          <w:szCs w:val="20"/>
        </w:rPr>
        <w:t>Abasyn</w:t>
      </w:r>
      <w:proofErr w:type="spellEnd"/>
      <w:r w:rsidRPr="00340A14">
        <w:rPr>
          <w:color w:val="000000"/>
          <w:sz w:val="20"/>
          <w:szCs w:val="20"/>
        </w:rPr>
        <w:t xml:space="preserve"> University Peshawar</w:t>
      </w:r>
      <w:r>
        <w:rPr>
          <w:rFonts w:eastAsiaTheme="minorEastAsia" w:hint="eastAsia"/>
          <w:color w:val="000000"/>
          <w:sz w:val="20"/>
          <w:szCs w:val="20"/>
          <w:lang w:eastAsia="zh-CN"/>
        </w:rPr>
        <w:t xml:space="preserve">, </w:t>
      </w:r>
    </w:p>
    <w:p w:rsidR="00750A0D" w:rsidRDefault="00750A0D" w:rsidP="00750A0D">
      <w:pPr>
        <w:autoSpaceDE w:val="0"/>
        <w:autoSpaceDN w:val="0"/>
        <w:adjustRightInd w:val="0"/>
        <w:rPr>
          <w:rStyle w:val="Hyperlink"/>
          <w:rFonts w:eastAsiaTheme="minorEastAsia"/>
          <w:sz w:val="20"/>
          <w:szCs w:val="20"/>
          <w:lang w:eastAsia="zh-CN"/>
        </w:rPr>
      </w:pPr>
      <w:r w:rsidRPr="00340A14">
        <w:rPr>
          <w:color w:val="000000"/>
          <w:sz w:val="20"/>
          <w:szCs w:val="20"/>
        </w:rPr>
        <w:t xml:space="preserve">E-mail: </w:t>
      </w:r>
      <w:hyperlink r:id="rId18" w:history="1">
        <w:r w:rsidRPr="00340A14">
          <w:rPr>
            <w:rStyle w:val="Hyperlink"/>
            <w:sz w:val="20"/>
            <w:szCs w:val="20"/>
          </w:rPr>
          <w:t>yasirok62@yahoo.com</w:t>
        </w:r>
      </w:hyperlink>
    </w:p>
    <w:p w:rsidR="00750A0D" w:rsidRPr="00750A0D" w:rsidRDefault="00750A0D" w:rsidP="00750A0D">
      <w:pPr>
        <w:autoSpaceDE w:val="0"/>
        <w:autoSpaceDN w:val="0"/>
        <w:adjustRightInd w:val="0"/>
        <w:rPr>
          <w:rFonts w:eastAsiaTheme="minorEastAsia"/>
          <w:color w:val="000000"/>
          <w:sz w:val="20"/>
          <w:szCs w:val="20"/>
          <w:lang w:eastAsia="zh-CN"/>
        </w:rPr>
      </w:pPr>
    </w:p>
    <w:p w:rsidR="00750A0D" w:rsidRDefault="00750A0D" w:rsidP="00750A0D">
      <w:pPr>
        <w:autoSpaceDE w:val="0"/>
        <w:autoSpaceDN w:val="0"/>
        <w:adjustRightInd w:val="0"/>
        <w:rPr>
          <w:rFonts w:eastAsiaTheme="minorEastAsia"/>
          <w:color w:val="000000"/>
          <w:sz w:val="20"/>
          <w:szCs w:val="20"/>
          <w:lang w:eastAsia="zh-CN"/>
        </w:rPr>
      </w:pPr>
      <w:r w:rsidRPr="00340A14">
        <w:rPr>
          <w:color w:val="000000"/>
          <w:sz w:val="20"/>
          <w:szCs w:val="20"/>
        </w:rPr>
        <w:t xml:space="preserve">Dr. </w:t>
      </w:r>
      <w:proofErr w:type="spellStart"/>
      <w:r w:rsidRPr="00340A14">
        <w:rPr>
          <w:color w:val="000000"/>
          <w:sz w:val="20"/>
          <w:szCs w:val="20"/>
        </w:rPr>
        <w:t>Walied</w:t>
      </w:r>
      <w:proofErr w:type="spellEnd"/>
      <w:r w:rsidRPr="00340A14">
        <w:rPr>
          <w:color w:val="000000"/>
          <w:sz w:val="20"/>
          <w:szCs w:val="20"/>
        </w:rPr>
        <w:t xml:space="preserve"> </w:t>
      </w:r>
      <w:proofErr w:type="spellStart"/>
      <w:r w:rsidRPr="00340A14">
        <w:rPr>
          <w:color w:val="000000"/>
          <w:sz w:val="20"/>
          <w:szCs w:val="20"/>
        </w:rPr>
        <w:t>Askarzai</w:t>
      </w:r>
      <w:proofErr w:type="spellEnd"/>
      <w:r w:rsidRPr="00340A14">
        <w:rPr>
          <w:rFonts w:eastAsiaTheme="minorEastAsia" w:hint="eastAsia"/>
          <w:color w:val="000000"/>
          <w:sz w:val="20"/>
          <w:szCs w:val="20"/>
          <w:lang w:eastAsia="zh-CN"/>
        </w:rPr>
        <w:t>,</w:t>
      </w:r>
      <w:r>
        <w:rPr>
          <w:rFonts w:eastAsiaTheme="minorEastAsia" w:hint="eastAsia"/>
          <w:color w:val="000000"/>
          <w:sz w:val="20"/>
          <w:szCs w:val="20"/>
          <w:lang w:eastAsia="zh-CN"/>
        </w:rPr>
        <w:t xml:space="preserve"> </w:t>
      </w:r>
    </w:p>
    <w:p w:rsidR="00750A0D" w:rsidRDefault="00750A0D" w:rsidP="00750A0D">
      <w:pPr>
        <w:autoSpaceDE w:val="0"/>
        <w:autoSpaceDN w:val="0"/>
        <w:adjustRightInd w:val="0"/>
        <w:rPr>
          <w:rFonts w:eastAsiaTheme="minorEastAsia"/>
          <w:color w:val="000000"/>
          <w:sz w:val="20"/>
          <w:szCs w:val="20"/>
          <w:lang w:eastAsia="zh-CN"/>
        </w:rPr>
      </w:pPr>
      <w:r w:rsidRPr="00340A14">
        <w:rPr>
          <w:color w:val="000000"/>
          <w:sz w:val="20"/>
          <w:szCs w:val="20"/>
        </w:rPr>
        <w:t>Academies Australasia-Polytechnic</w:t>
      </w:r>
      <w:r>
        <w:rPr>
          <w:rFonts w:eastAsiaTheme="minorEastAsia" w:hint="eastAsia"/>
          <w:color w:val="000000"/>
          <w:sz w:val="20"/>
          <w:szCs w:val="20"/>
          <w:lang w:eastAsia="zh-CN"/>
        </w:rPr>
        <w:t xml:space="preserve">, </w:t>
      </w:r>
    </w:p>
    <w:p w:rsidR="00750A0D" w:rsidRPr="00340A14" w:rsidRDefault="00750A0D" w:rsidP="00750A0D">
      <w:pPr>
        <w:autoSpaceDE w:val="0"/>
        <w:autoSpaceDN w:val="0"/>
        <w:adjustRightInd w:val="0"/>
        <w:rPr>
          <w:rStyle w:val="Hyperlink"/>
          <w:sz w:val="20"/>
          <w:szCs w:val="20"/>
        </w:rPr>
      </w:pPr>
      <w:r w:rsidRPr="00340A14">
        <w:rPr>
          <w:color w:val="000000"/>
          <w:sz w:val="20"/>
          <w:szCs w:val="20"/>
        </w:rPr>
        <w:t xml:space="preserve">E-mail: </w:t>
      </w:r>
      <w:hyperlink r:id="rId19" w:history="1">
        <w:r w:rsidRPr="00340A14">
          <w:rPr>
            <w:rStyle w:val="Hyperlink"/>
            <w:sz w:val="20"/>
            <w:szCs w:val="20"/>
          </w:rPr>
          <w:t>w.askarzai@aapoly.edu.au</w:t>
        </w:r>
      </w:hyperlink>
    </w:p>
    <w:p w:rsidR="00750A0D" w:rsidRDefault="00750A0D" w:rsidP="00750A0D">
      <w:pPr>
        <w:autoSpaceDE w:val="0"/>
        <w:autoSpaceDN w:val="0"/>
        <w:adjustRightInd w:val="0"/>
        <w:rPr>
          <w:rFonts w:eastAsiaTheme="minorEastAsia"/>
          <w:color w:val="000000"/>
          <w:sz w:val="20"/>
          <w:szCs w:val="20"/>
          <w:lang w:eastAsia="zh-CN"/>
        </w:rPr>
      </w:pPr>
    </w:p>
    <w:p w:rsidR="00750A0D" w:rsidRPr="00340A14" w:rsidRDefault="00750A0D" w:rsidP="00750A0D">
      <w:pPr>
        <w:autoSpaceDE w:val="0"/>
        <w:autoSpaceDN w:val="0"/>
        <w:adjustRightInd w:val="0"/>
        <w:rPr>
          <w:rFonts w:eastAsiaTheme="minorEastAsia"/>
          <w:color w:val="000000"/>
          <w:sz w:val="20"/>
          <w:szCs w:val="20"/>
          <w:lang w:eastAsia="zh-CN"/>
        </w:rPr>
      </w:pPr>
      <w:proofErr w:type="spellStart"/>
      <w:r w:rsidRPr="00340A14">
        <w:rPr>
          <w:color w:val="000000"/>
          <w:sz w:val="20"/>
          <w:szCs w:val="20"/>
        </w:rPr>
        <w:t>Zubir</w:t>
      </w:r>
      <w:proofErr w:type="spellEnd"/>
      <w:r w:rsidRPr="00340A14">
        <w:rPr>
          <w:color w:val="000000"/>
          <w:sz w:val="20"/>
          <w:szCs w:val="20"/>
        </w:rPr>
        <w:t xml:space="preserve"> Khan</w:t>
      </w:r>
    </w:p>
    <w:p w:rsidR="00750A0D" w:rsidRDefault="00750A0D" w:rsidP="00750A0D">
      <w:pPr>
        <w:pStyle w:val="BodyText"/>
        <w:rPr>
          <w:rFonts w:eastAsiaTheme="minorEastAsia"/>
          <w:color w:val="000000"/>
          <w:sz w:val="20"/>
          <w:szCs w:val="20"/>
          <w:lang w:eastAsia="zh-CN"/>
        </w:rPr>
      </w:pPr>
      <w:proofErr w:type="spellStart"/>
      <w:r w:rsidRPr="00340A14">
        <w:rPr>
          <w:color w:val="000000"/>
          <w:sz w:val="20"/>
          <w:szCs w:val="20"/>
        </w:rPr>
        <w:t>Ph.D</w:t>
      </w:r>
      <w:proofErr w:type="spellEnd"/>
      <w:r w:rsidRPr="00340A14">
        <w:rPr>
          <w:color w:val="000000"/>
          <w:sz w:val="20"/>
          <w:szCs w:val="20"/>
        </w:rPr>
        <w:t xml:space="preserve"> Scholar University of Canberra</w:t>
      </w:r>
      <w:r>
        <w:rPr>
          <w:rFonts w:eastAsiaTheme="minorEastAsia" w:hint="eastAsia"/>
          <w:color w:val="000000"/>
          <w:sz w:val="20"/>
          <w:szCs w:val="20"/>
          <w:lang w:eastAsia="zh-CN"/>
        </w:rPr>
        <w:t xml:space="preserve">, </w:t>
      </w:r>
    </w:p>
    <w:p w:rsidR="00750A0D" w:rsidRDefault="00750A0D" w:rsidP="00750A0D">
      <w:pPr>
        <w:pStyle w:val="BodyText"/>
        <w:rPr>
          <w:rFonts w:eastAsiaTheme="minorEastAsia"/>
          <w:sz w:val="20"/>
          <w:szCs w:val="20"/>
          <w:lang w:eastAsia="zh-CN"/>
        </w:rPr>
      </w:pPr>
      <w:r w:rsidRPr="00340A14">
        <w:rPr>
          <w:color w:val="000000"/>
          <w:sz w:val="20"/>
          <w:szCs w:val="20"/>
        </w:rPr>
        <w:t>E-mail:</w:t>
      </w:r>
      <w:r w:rsidRPr="00340A14">
        <w:rPr>
          <w:color w:val="1D41D5"/>
          <w:sz w:val="20"/>
          <w:szCs w:val="20"/>
        </w:rPr>
        <w:t xml:space="preserve"> </w:t>
      </w:r>
      <w:hyperlink r:id="rId20" w:history="1">
        <w:r w:rsidRPr="00340A14">
          <w:rPr>
            <w:color w:val="1D41D5"/>
            <w:sz w:val="20"/>
            <w:szCs w:val="20"/>
          </w:rPr>
          <w:t>zubairkhan1982@gmail.com</w:t>
        </w:r>
      </w:hyperlink>
    </w:p>
    <w:p w:rsidR="00750A0D" w:rsidRPr="00750A0D" w:rsidRDefault="00750A0D">
      <w:pPr>
        <w:pStyle w:val="BodyText"/>
        <w:jc w:val="both"/>
        <w:rPr>
          <w:rFonts w:eastAsiaTheme="minorEastAsia"/>
          <w:sz w:val="20"/>
          <w:szCs w:val="20"/>
          <w:lang w:eastAsia="zh-CN"/>
        </w:rPr>
      </w:pPr>
    </w:p>
    <w:p w:rsidR="001D29EA" w:rsidRDefault="00FF2695">
      <w:pPr>
        <w:pStyle w:val="BodyText"/>
        <w:jc w:val="both"/>
        <w:rPr>
          <w:b/>
          <w:sz w:val="20"/>
          <w:szCs w:val="20"/>
        </w:rPr>
      </w:pPr>
      <w:r>
        <w:rPr>
          <w:b/>
          <w:sz w:val="20"/>
          <w:szCs w:val="20"/>
        </w:rPr>
        <w:t xml:space="preserve">References </w:t>
      </w:r>
    </w:p>
    <w:p w:rsidR="001D29EA" w:rsidRDefault="00FF2695">
      <w:pPr>
        <w:numPr>
          <w:ilvl w:val="0"/>
          <w:numId w:val="2"/>
        </w:numPr>
        <w:jc w:val="both"/>
        <w:rPr>
          <w:sz w:val="20"/>
          <w:szCs w:val="20"/>
        </w:rPr>
      </w:pPr>
      <w:r>
        <w:rPr>
          <w:sz w:val="20"/>
          <w:szCs w:val="20"/>
        </w:rPr>
        <w:t xml:space="preserve">Accenture (2008). </w:t>
      </w:r>
      <w:r>
        <w:rPr>
          <w:i/>
          <w:sz w:val="20"/>
          <w:szCs w:val="20"/>
        </w:rPr>
        <w:t xml:space="preserve">A Strategic Approach to Cost Reduction in Banking. Achieving High Performance in Uncertain Times. </w:t>
      </w:r>
      <w:r>
        <w:rPr>
          <w:sz w:val="20"/>
          <w:szCs w:val="20"/>
        </w:rPr>
        <w:t>Retrieved on 11</w:t>
      </w:r>
      <w:r>
        <w:rPr>
          <w:sz w:val="20"/>
          <w:szCs w:val="20"/>
          <w:vertAlign w:val="superscript"/>
        </w:rPr>
        <w:t>th</w:t>
      </w:r>
      <w:r>
        <w:rPr>
          <w:sz w:val="20"/>
          <w:szCs w:val="20"/>
        </w:rPr>
        <w:t xml:space="preserve"> Aug 2014 from </w:t>
      </w:r>
      <w:hyperlink r:id="rId21">
        <w:r>
          <w:rPr>
            <w:color w:val="0000FF"/>
            <w:sz w:val="20"/>
            <w:szCs w:val="20"/>
            <w:u w:val="single" w:color="0000FF"/>
          </w:rPr>
          <w:t>Www.accenture.com</w:t>
        </w:r>
        <w:r>
          <w:rPr>
            <w:sz w:val="20"/>
            <w:szCs w:val="20"/>
          </w:rPr>
          <w:t>.</w:t>
        </w:r>
      </w:hyperlink>
    </w:p>
    <w:p w:rsidR="001D29EA" w:rsidRDefault="00FF2695">
      <w:pPr>
        <w:numPr>
          <w:ilvl w:val="0"/>
          <w:numId w:val="2"/>
        </w:numPr>
        <w:jc w:val="both"/>
        <w:rPr>
          <w:i/>
          <w:sz w:val="20"/>
          <w:szCs w:val="20"/>
        </w:rPr>
      </w:pPr>
      <w:r>
        <w:rPr>
          <w:sz w:val="20"/>
          <w:szCs w:val="20"/>
        </w:rPr>
        <w:t xml:space="preserve">Aduda, Josiah and Kingoo, Nancy (2011). The Relationship between Electronic Banking and Financial Performance among Commercial Banks in Pakistan. </w:t>
      </w:r>
      <w:r>
        <w:rPr>
          <w:i/>
          <w:sz w:val="20"/>
          <w:szCs w:val="20"/>
        </w:rPr>
        <w:t>Journal of Finance and Investment Analysis, vol.1, no.3, 2012,99-118.</w:t>
      </w:r>
    </w:p>
    <w:p w:rsidR="001D29EA" w:rsidRDefault="00FF2695">
      <w:pPr>
        <w:numPr>
          <w:ilvl w:val="0"/>
          <w:numId w:val="2"/>
        </w:numPr>
        <w:jc w:val="both"/>
        <w:rPr>
          <w:sz w:val="20"/>
          <w:szCs w:val="20"/>
        </w:rPr>
      </w:pPr>
      <w:r>
        <w:rPr>
          <w:sz w:val="20"/>
          <w:szCs w:val="20"/>
        </w:rPr>
        <w:t>Bertelsmann Stiftung, BTI (2012). Pakistan Country Report. Gütersloh: Bertelsmann Stiftung, 2012.</w:t>
      </w:r>
    </w:p>
    <w:p w:rsidR="001D29EA" w:rsidRDefault="00FF2695">
      <w:pPr>
        <w:numPr>
          <w:ilvl w:val="0"/>
          <w:numId w:val="2"/>
        </w:numPr>
        <w:jc w:val="both"/>
        <w:rPr>
          <w:b/>
          <w:i/>
          <w:sz w:val="20"/>
          <w:szCs w:val="20"/>
        </w:rPr>
      </w:pPr>
      <w:r>
        <w:rPr>
          <w:sz w:val="20"/>
          <w:szCs w:val="20"/>
        </w:rPr>
        <w:lastRenderedPageBreak/>
        <w:t xml:space="preserve">Boniface., R. M, &amp; Ambrose., J. (2015). Mobile Banking and Financial Performance of Commercial Banks in Pakistan. </w:t>
      </w:r>
      <w:r>
        <w:rPr>
          <w:i/>
          <w:sz w:val="20"/>
          <w:szCs w:val="20"/>
        </w:rPr>
        <w:t>International Journal of Finance and Current Business Studies 4(12)16-31</w:t>
      </w:r>
      <w:r>
        <w:rPr>
          <w:b/>
          <w:i/>
          <w:sz w:val="20"/>
          <w:szCs w:val="20"/>
        </w:rPr>
        <w:t>.</w:t>
      </w:r>
    </w:p>
    <w:p w:rsidR="001D29EA" w:rsidRDefault="00FF2695">
      <w:pPr>
        <w:numPr>
          <w:ilvl w:val="0"/>
          <w:numId w:val="2"/>
        </w:numPr>
        <w:tabs>
          <w:tab w:val="clear" w:pos="420"/>
          <w:tab w:val="left" w:pos="10800"/>
        </w:tabs>
        <w:jc w:val="both"/>
        <w:rPr>
          <w:sz w:val="20"/>
          <w:szCs w:val="20"/>
        </w:rPr>
      </w:pPr>
      <w:r>
        <w:rPr>
          <w:sz w:val="20"/>
          <w:szCs w:val="20"/>
        </w:rPr>
        <w:t xml:space="preserve">Bush, R., Kick, T. (2009); </w:t>
      </w:r>
      <w:r>
        <w:rPr>
          <w:i/>
          <w:sz w:val="20"/>
          <w:szCs w:val="20"/>
        </w:rPr>
        <w:t>Income diversification in the German banking industry, Discussion paper Series 2</w:t>
      </w:r>
      <w:r>
        <w:rPr>
          <w:sz w:val="20"/>
          <w:szCs w:val="20"/>
        </w:rPr>
        <w:t>: Banking and Financial studies No 09/2009.</w:t>
      </w:r>
    </w:p>
    <w:p w:rsidR="001D29EA" w:rsidRDefault="00FF2695">
      <w:pPr>
        <w:numPr>
          <w:ilvl w:val="0"/>
          <w:numId w:val="2"/>
        </w:numPr>
        <w:jc w:val="both"/>
        <w:rPr>
          <w:sz w:val="20"/>
          <w:szCs w:val="20"/>
        </w:rPr>
      </w:pPr>
      <w:r>
        <w:rPr>
          <w:sz w:val="20"/>
          <w:szCs w:val="20"/>
        </w:rPr>
        <w:t xml:space="preserve">Capgemini (2012). </w:t>
      </w:r>
      <w:r>
        <w:rPr>
          <w:i/>
          <w:sz w:val="20"/>
          <w:szCs w:val="20"/>
        </w:rPr>
        <w:t>Trends in Retail Banking Channels: Improving Client Service and Operating Costs</w:t>
      </w:r>
      <w:r>
        <w:rPr>
          <w:sz w:val="20"/>
          <w:szCs w:val="20"/>
        </w:rPr>
        <w:t xml:space="preserve">. Retrieved March 24, 2015 </w:t>
      </w:r>
      <w:r>
        <w:rPr>
          <w:sz w:val="20"/>
          <w:szCs w:val="20"/>
          <w:u w:val="single"/>
        </w:rPr>
        <w:t xml:space="preserve">from </w:t>
      </w:r>
      <w:hyperlink r:id="rId22">
        <w:r>
          <w:rPr>
            <w:sz w:val="20"/>
            <w:szCs w:val="20"/>
            <w:u w:val="single"/>
          </w:rPr>
          <w:t>www.capgemini.com/banking</w:t>
        </w:r>
      </w:hyperlink>
      <w:r w:rsidR="00750A0D">
        <w:rPr>
          <w:sz w:val="20"/>
          <w:szCs w:val="20"/>
        </w:rPr>
        <w:t>.</w:t>
      </w:r>
    </w:p>
    <w:p w:rsidR="001D29EA" w:rsidRDefault="00FF2695">
      <w:pPr>
        <w:numPr>
          <w:ilvl w:val="0"/>
          <w:numId w:val="2"/>
        </w:numPr>
        <w:jc w:val="both"/>
        <w:rPr>
          <w:sz w:val="20"/>
          <w:szCs w:val="20"/>
        </w:rPr>
      </w:pPr>
      <w:r>
        <w:rPr>
          <w:sz w:val="20"/>
          <w:szCs w:val="20"/>
        </w:rPr>
        <w:t xml:space="preserve">Central Bank of Pakistan (2015). Pakistan </w:t>
      </w:r>
      <w:r>
        <w:rPr>
          <w:i/>
          <w:sz w:val="20"/>
          <w:szCs w:val="20"/>
        </w:rPr>
        <w:t>Financial Sector Stability Report 2014</w:t>
      </w:r>
      <w:r w:rsidR="00750A0D">
        <w:rPr>
          <w:rFonts w:eastAsiaTheme="minorEastAsia" w:hint="eastAsia"/>
          <w:i/>
          <w:sz w:val="20"/>
          <w:szCs w:val="20"/>
          <w:lang w:eastAsia="zh-CN"/>
        </w:rPr>
        <w:t xml:space="preserve"> </w:t>
      </w:r>
      <w:r>
        <w:rPr>
          <w:i/>
          <w:sz w:val="20"/>
          <w:szCs w:val="20"/>
        </w:rPr>
        <w:t>G</w:t>
      </w:r>
      <w:r>
        <w:rPr>
          <w:sz w:val="20"/>
          <w:szCs w:val="20"/>
        </w:rPr>
        <w:t>overnment Printers, Nairobi Pakistan</w:t>
      </w:r>
      <w:r w:rsidR="00750A0D">
        <w:rPr>
          <w:sz w:val="20"/>
          <w:szCs w:val="20"/>
        </w:rPr>
        <w:t>.</w:t>
      </w:r>
    </w:p>
    <w:p w:rsidR="001D29EA" w:rsidRDefault="00FF2695">
      <w:pPr>
        <w:numPr>
          <w:ilvl w:val="0"/>
          <w:numId w:val="2"/>
        </w:numPr>
        <w:jc w:val="both"/>
        <w:rPr>
          <w:sz w:val="20"/>
          <w:szCs w:val="20"/>
        </w:rPr>
      </w:pPr>
      <w:r>
        <w:rPr>
          <w:sz w:val="20"/>
          <w:szCs w:val="20"/>
        </w:rPr>
        <w:t>CGAP (2006</w:t>
      </w:r>
      <w:r>
        <w:rPr>
          <w:i/>
          <w:sz w:val="20"/>
          <w:szCs w:val="20"/>
        </w:rPr>
        <w:t>). Use of Agents in Branchless banking for the poor: Risks, Rewards and Regulation</w:t>
      </w:r>
      <w:r>
        <w:rPr>
          <w:sz w:val="20"/>
          <w:szCs w:val="20"/>
        </w:rPr>
        <w:t>. Washington. Focus Note no.38, DC: CGAP/World Bank</w:t>
      </w:r>
    </w:p>
    <w:p w:rsidR="001D29EA" w:rsidRDefault="00FF2695">
      <w:pPr>
        <w:numPr>
          <w:ilvl w:val="0"/>
          <w:numId w:val="2"/>
        </w:numPr>
        <w:tabs>
          <w:tab w:val="clear" w:pos="420"/>
          <w:tab w:val="left" w:pos="10530"/>
        </w:tabs>
        <w:jc w:val="both"/>
        <w:rPr>
          <w:sz w:val="20"/>
          <w:szCs w:val="20"/>
        </w:rPr>
      </w:pPr>
      <w:r>
        <w:rPr>
          <w:sz w:val="20"/>
          <w:szCs w:val="20"/>
        </w:rPr>
        <w:t xml:space="preserve">CGAP (2008). </w:t>
      </w:r>
      <w:r>
        <w:rPr>
          <w:i/>
          <w:sz w:val="20"/>
          <w:szCs w:val="20"/>
        </w:rPr>
        <w:t>Banking through Network of Retail Agents</w:t>
      </w:r>
      <w:r>
        <w:rPr>
          <w:sz w:val="20"/>
          <w:szCs w:val="20"/>
        </w:rPr>
        <w:t>. Washington, DC: CGAP/World Bank.</w:t>
      </w:r>
    </w:p>
    <w:p w:rsidR="001D29EA" w:rsidRDefault="00FF2695">
      <w:pPr>
        <w:numPr>
          <w:ilvl w:val="0"/>
          <w:numId w:val="2"/>
        </w:numPr>
        <w:jc w:val="both"/>
        <w:rPr>
          <w:sz w:val="20"/>
          <w:szCs w:val="20"/>
        </w:rPr>
      </w:pPr>
      <w:r>
        <w:rPr>
          <w:sz w:val="20"/>
          <w:szCs w:val="20"/>
        </w:rPr>
        <w:t xml:space="preserve">CGAP, IFC (2013). </w:t>
      </w:r>
      <w:r>
        <w:rPr>
          <w:i/>
          <w:sz w:val="20"/>
          <w:szCs w:val="20"/>
        </w:rPr>
        <w:t xml:space="preserve">Financial Access 2012: Getting to a more Comprehensive Picture. </w:t>
      </w:r>
      <w:r>
        <w:rPr>
          <w:sz w:val="20"/>
          <w:szCs w:val="20"/>
        </w:rPr>
        <w:t>Access to Finance Forum Reports by CGAP and Its Partners No. 6, June 2013.</w:t>
      </w:r>
    </w:p>
    <w:p w:rsidR="001D29EA" w:rsidRDefault="00FF2695">
      <w:pPr>
        <w:numPr>
          <w:ilvl w:val="0"/>
          <w:numId w:val="2"/>
        </w:numPr>
        <w:jc w:val="both"/>
        <w:rPr>
          <w:sz w:val="20"/>
          <w:szCs w:val="20"/>
        </w:rPr>
      </w:pPr>
      <w:r>
        <w:rPr>
          <w:sz w:val="20"/>
          <w:szCs w:val="20"/>
        </w:rPr>
        <w:t>Ehrbeck, T &amp; and Tarazi M (2011</w:t>
      </w:r>
      <w:r>
        <w:rPr>
          <w:i/>
          <w:sz w:val="20"/>
          <w:szCs w:val="20"/>
        </w:rPr>
        <w:t>). Putting the Banking in Branchless Banking: Regulation and the Case for Interest-Bearing and Insured E‑money Savings Accounts</w:t>
      </w:r>
      <w:r>
        <w:rPr>
          <w:sz w:val="20"/>
          <w:szCs w:val="20"/>
        </w:rPr>
        <w:t>. World Economic Forum’s Mobile Financial Services Development Report2011.</w:t>
      </w:r>
    </w:p>
    <w:p w:rsidR="001D29EA" w:rsidRDefault="00FF2695">
      <w:pPr>
        <w:numPr>
          <w:ilvl w:val="0"/>
          <w:numId w:val="2"/>
        </w:numPr>
        <w:jc w:val="both"/>
        <w:rPr>
          <w:sz w:val="20"/>
          <w:szCs w:val="20"/>
        </w:rPr>
      </w:pPr>
      <w:r>
        <w:rPr>
          <w:sz w:val="20"/>
          <w:szCs w:val="20"/>
        </w:rPr>
        <w:t xml:space="preserve">European Investment Bank (2013). </w:t>
      </w:r>
      <w:r>
        <w:rPr>
          <w:i/>
          <w:sz w:val="20"/>
          <w:szCs w:val="20"/>
        </w:rPr>
        <w:t xml:space="preserve">Banking in sub-Saharan Africa, Challenges and Opportunities. </w:t>
      </w:r>
      <w:r>
        <w:rPr>
          <w:sz w:val="20"/>
          <w:szCs w:val="20"/>
        </w:rPr>
        <w:t>EIB’s Economics Department, 2013</w:t>
      </w:r>
      <w:r w:rsidR="00750A0D">
        <w:rPr>
          <w:sz w:val="20"/>
          <w:szCs w:val="20"/>
        </w:rPr>
        <w:t>.</w:t>
      </w:r>
    </w:p>
    <w:p w:rsidR="001D29EA" w:rsidRDefault="00FF2695">
      <w:pPr>
        <w:numPr>
          <w:ilvl w:val="0"/>
          <w:numId w:val="2"/>
        </w:numPr>
        <w:jc w:val="both"/>
        <w:rPr>
          <w:sz w:val="20"/>
          <w:szCs w:val="20"/>
        </w:rPr>
      </w:pPr>
      <w:r>
        <w:rPr>
          <w:sz w:val="20"/>
          <w:szCs w:val="20"/>
        </w:rPr>
        <w:t>Faure, A.P (2013) 1</w:t>
      </w:r>
      <w:r>
        <w:rPr>
          <w:sz w:val="20"/>
          <w:szCs w:val="20"/>
          <w:vertAlign w:val="superscript"/>
        </w:rPr>
        <w:t>st</w:t>
      </w:r>
      <w:r>
        <w:rPr>
          <w:sz w:val="20"/>
          <w:szCs w:val="20"/>
        </w:rPr>
        <w:t xml:space="preserve"> Edition. </w:t>
      </w:r>
      <w:r>
        <w:rPr>
          <w:i/>
          <w:sz w:val="20"/>
          <w:szCs w:val="20"/>
        </w:rPr>
        <w:t>Banking: An Introduction</w:t>
      </w:r>
      <w:r>
        <w:rPr>
          <w:sz w:val="20"/>
          <w:szCs w:val="20"/>
        </w:rPr>
        <w:t>. Quoin Institute (Pty) Limited, USA</w:t>
      </w:r>
    </w:p>
    <w:p w:rsidR="001D29EA" w:rsidRDefault="00FF2695">
      <w:pPr>
        <w:numPr>
          <w:ilvl w:val="0"/>
          <w:numId w:val="2"/>
        </w:numPr>
        <w:jc w:val="both"/>
        <w:rPr>
          <w:sz w:val="20"/>
          <w:szCs w:val="20"/>
        </w:rPr>
      </w:pPr>
      <w:r>
        <w:rPr>
          <w:sz w:val="20"/>
          <w:szCs w:val="20"/>
        </w:rPr>
        <w:t xml:space="preserve">Frei, Frances X, Harker, Patrick T and Hunter Larry W. (1998). </w:t>
      </w:r>
      <w:r>
        <w:rPr>
          <w:i/>
          <w:sz w:val="20"/>
          <w:szCs w:val="20"/>
        </w:rPr>
        <w:t xml:space="preserve">Innovation in Retail Banking. </w:t>
      </w:r>
      <w:r>
        <w:rPr>
          <w:sz w:val="20"/>
          <w:szCs w:val="20"/>
        </w:rPr>
        <w:t>The Wharton Financial institutions Centre Publication. University of Pennsylvania.</w:t>
      </w:r>
    </w:p>
    <w:p w:rsidR="001D29EA" w:rsidRDefault="00FF2695">
      <w:pPr>
        <w:numPr>
          <w:ilvl w:val="0"/>
          <w:numId w:val="2"/>
        </w:numPr>
        <w:jc w:val="both"/>
        <w:rPr>
          <w:sz w:val="20"/>
          <w:szCs w:val="20"/>
        </w:rPr>
      </w:pPr>
      <w:r>
        <w:rPr>
          <w:sz w:val="20"/>
          <w:szCs w:val="20"/>
        </w:rPr>
        <w:t xml:space="preserve">International Monetary Fund (2010). </w:t>
      </w:r>
      <w:r>
        <w:rPr>
          <w:i/>
          <w:sz w:val="20"/>
          <w:szCs w:val="20"/>
        </w:rPr>
        <w:t>Banking Efficiency and Financial Development in Sub- Saharan Africa</w:t>
      </w:r>
      <w:r>
        <w:rPr>
          <w:b/>
          <w:i/>
          <w:sz w:val="20"/>
          <w:szCs w:val="20"/>
        </w:rPr>
        <w:t xml:space="preserve">, </w:t>
      </w:r>
      <w:r>
        <w:rPr>
          <w:sz w:val="20"/>
          <w:szCs w:val="20"/>
        </w:rPr>
        <w:t>IMF Working Paper, June 2010</w:t>
      </w:r>
      <w:r w:rsidR="00750A0D">
        <w:rPr>
          <w:sz w:val="20"/>
          <w:szCs w:val="20"/>
        </w:rPr>
        <w:t>.</w:t>
      </w:r>
    </w:p>
    <w:p w:rsidR="001D29EA" w:rsidRDefault="00FF2695">
      <w:pPr>
        <w:numPr>
          <w:ilvl w:val="0"/>
          <w:numId w:val="2"/>
        </w:numPr>
        <w:jc w:val="both"/>
        <w:rPr>
          <w:i/>
          <w:sz w:val="20"/>
          <w:szCs w:val="20"/>
        </w:rPr>
      </w:pPr>
      <w:r>
        <w:rPr>
          <w:sz w:val="20"/>
          <w:szCs w:val="20"/>
        </w:rPr>
        <w:t xml:space="preserve">Kamau Anne W. (2011). Intermediation efficiency and productivity of the Banking sector in Pakistan. </w:t>
      </w:r>
      <w:r>
        <w:rPr>
          <w:i/>
          <w:sz w:val="20"/>
          <w:szCs w:val="20"/>
        </w:rPr>
        <w:t>Interdisciplinary Journal of Research in Business, Vol. 1, Issue. 9, pp.12- 26, September, October, 2011, Washington.</w:t>
      </w:r>
    </w:p>
    <w:p w:rsidR="001D29EA" w:rsidRDefault="00FF2695">
      <w:pPr>
        <w:numPr>
          <w:ilvl w:val="0"/>
          <w:numId w:val="2"/>
        </w:numPr>
        <w:jc w:val="both"/>
        <w:rPr>
          <w:sz w:val="20"/>
          <w:szCs w:val="20"/>
        </w:rPr>
      </w:pPr>
      <w:r>
        <w:rPr>
          <w:sz w:val="20"/>
          <w:szCs w:val="20"/>
        </w:rPr>
        <w:t>Khan, Y., Gul, M. S., &amp;Shah, M. (2017). Exploring the Impact of Retention Strategies on job Satisfaction and Organizational Commitment in Commercial Banks of Khyber Pakhtunkha, Pakistan.</w:t>
      </w:r>
    </w:p>
    <w:p w:rsidR="001D29EA" w:rsidRDefault="00FF2695">
      <w:pPr>
        <w:numPr>
          <w:ilvl w:val="0"/>
          <w:numId w:val="2"/>
        </w:numPr>
        <w:jc w:val="both"/>
        <w:rPr>
          <w:sz w:val="20"/>
          <w:szCs w:val="20"/>
        </w:rPr>
      </w:pPr>
      <w:r>
        <w:rPr>
          <w:sz w:val="20"/>
          <w:szCs w:val="20"/>
        </w:rPr>
        <w:lastRenderedPageBreak/>
        <w:t xml:space="preserve">Lind Douglas. A, (2008). </w:t>
      </w:r>
      <w:r>
        <w:rPr>
          <w:i/>
          <w:sz w:val="20"/>
          <w:szCs w:val="20"/>
        </w:rPr>
        <w:t>Basic Statistics for Business and Economics</w:t>
      </w:r>
      <w:r>
        <w:rPr>
          <w:sz w:val="20"/>
          <w:szCs w:val="20"/>
        </w:rPr>
        <w:t>. MC Graw Hill, 6</w:t>
      </w:r>
      <w:r>
        <w:rPr>
          <w:sz w:val="20"/>
          <w:szCs w:val="20"/>
          <w:vertAlign w:val="superscript"/>
        </w:rPr>
        <w:t>th</w:t>
      </w:r>
      <w:r>
        <w:rPr>
          <w:sz w:val="20"/>
          <w:szCs w:val="20"/>
        </w:rPr>
        <w:t xml:space="preserve"> Edition, USA</w:t>
      </w:r>
      <w:r w:rsidR="00750A0D">
        <w:rPr>
          <w:sz w:val="20"/>
          <w:szCs w:val="20"/>
        </w:rPr>
        <w:t>.</w:t>
      </w:r>
    </w:p>
    <w:p w:rsidR="001D29EA" w:rsidRDefault="00FF2695">
      <w:pPr>
        <w:numPr>
          <w:ilvl w:val="0"/>
          <w:numId w:val="2"/>
        </w:numPr>
        <w:jc w:val="both"/>
        <w:rPr>
          <w:sz w:val="20"/>
          <w:szCs w:val="20"/>
        </w:rPr>
      </w:pPr>
      <w:r>
        <w:rPr>
          <w:sz w:val="20"/>
          <w:szCs w:val="20"/>
        </w:rPr>
        <w:t xml:space="preserve">Malhotra P, Singh B (2009). The Impact of Internet Banking on Bank Performance and Risk: The Indian Experience. </w:t>
      </w:r>
      <w:r>
        <w:rPr>
          <w:i/>
          <w:sz w:val="20"/>
          <w:szCs w:val="20"/>
        </w:rPr>
        <w:t>Eurasian Journal of Business and Economics,43-62</w:t>
      </w:r>
      <w:r>
        <w:rPr>
          <w:sz w:val="20"/>
          <w:szCs w:val="20"/>
        </w:rPr>
        <w:t>.</w:t>
      </w:r>
    </w:p>
    <w:p w:rsidR="001D29EA" w:rsidRDefault="00FF2695">
      <w:pPr>
        <w:numPr>
          <w:ilvl w:val="0"/>
          <w:numId w:val="2"/>
        </w:numPr>
        <w:jc w:val="both"/>
        <w:rPr>
          <w:sz w:val="20"/>
          <w:szCs w:val="20"/>
        </w:rPr>
      </w:pPr>
      <w:r>
        <w:rPr>
          <w:sz w:val="20"/>
          <w:szCs w:val="20"/>
        </w:rPr>
        <w:t xml:space="preserve">Musau,S. A. Jagongo. A. (2015) Analysis of the Utilization of Agency Banking on the </w:t>
      </w:r>
      <w:r>
        <w:rPr>
          <w:sz w:val="20"/>
          <w:szCs w:val="20"/>
        </w:rPr>
        <w:lastRenderedPageBreak/>
        <w:t>Performance of Pakistann Banks</w:t>
      </w:r>
      <w:r>
        <w:rPr>
          <w:b/>
          <w:sz w:val="20"/>
          <w:szCs w:val="20"/>
        </w:rPr>
        <w:t xml:space="preserve">. </w:t>
      </w:r>
      <w:r>
        <w:rPr>
          <w:i/>
          <w:sz w:val="20"/>
          <w:szCs w:val="20"/>
        </w:rPr>
        <w:t>International Journal of Finance and Accounting 4 (12), 1-16.</w:t>
      </w:r>
    </w:p>
    <w:p w:rsidR="001D29EA" w:rsidRDefault="00FF2695">
      <w:pPr>
        <w:numPr>
          <w:ilvl w:val="0"/>
          <w:numId w:val="2"/>
        </w:numPr>
        <w:jc w:val="both"/>
        <w:rPr>
          <w:i/>
          <w:sz w:val="20"/>
          <w:szCs w:val="20"/>
        </w:rPr>
      </w:pPr>
      <w:r>
        <w:rPr>
          <w:sz w:val="20"/>
          <w:szCs w:val="20"/>
        </w:rPr>
        <w:t>Ongore V.O and Kusa</w:t>
      </w:r>
      <w:r w:rsidR="00340A14">
        <w:rPr>
          <w:rFonts w:eastAsiaTheme="minorEastAsia" w:hint="eastAsia"/>
          <w:sz w:val="20"/>
          <w:szCs w:val="20"/>
          <w:lang w:eastAsia="zh-CN"/>
        </w:rPr>
        <w:t xml:space="preserve"> </w:t>
      </w:r>
      <w:r>
        <w:rPr>
          <w:sz w:val="20"/>
          <w:szCs w:val="20"/>
        </w:rPr>
        <w:t>G.B</w:t>
      </w:r>
      <w:r w:rsidR="00340A14">
        <w:rPr>
          <w:rFonts w:eastAsiaTheme="minorEastAsia" w:hint="eastAsia"/>
          <w:sz w:val="20"/>
          <w:szCs w:val="20"/>
          <w:lang w:eastAsia="zh-CN"/>
        </w:rPr>
        <w:t xml:space="preserve"> </w:t>
      </w:r>
      <w:r>
        <w:rPr>
          <w:sz w:val="20"/>
          <w:szCs w:val="20"/>
        </w:rPr>
        <w:t>(2012). Determinants of Financial Performance of Commercial Banks in Pakistan</w:t>
      </w:r>
      <w:r>
        <w:rPr>
          <w:i/>
          <w:sz w:val="20"/>
          <w:szCs w:val="20"/>
        </w:rPr>
        <w:t>. International Journal of Economics and Financial Issues Vol. 3, No. 1, 2013, pp.237-252</w:t>
      </w:r>
      <w:r w:rsidR="00750A0D">
        <w:rPr>
          <w:sz w:val="20"/>
          <w:szCs w:val="20"/>
        </w:rPr>
        <w:t>.</w:t>
      </w:r>
    </w:p>
    <w:p w:rsidR="001D29EA" w:rsidRPr="00750A0D" w:rsidRDefault="00FF2695">
      <w:pPr>
        <w:numPr>
          <w:ilvl w:val="0"/>
          <w:numId w:val="2"/>
        </w:numPr>
        <w:jc w:val="both"/>
        <w:rPr>
          <w:sz w:val="20"/>
          <w:szCs w:val="20"/>
        </w:rPr>
      </w:pPr>
      <w:r>
        <w:rPr>
          <w:sz w:val="20"/>
          <w:szCs w:val="20"/>
        </w:rPr>
        <w:t>Saunders, M., Lewis, P., &amp;</w:t>
      </w:r>
      <w:r w:rsidR="00340A14">
        <w:rPr>
          <w:rFonts w:eastAsiaTheme="minorEastAsia" w:hint="eastAsia"/>
          <w:sz w:val="20"/>
          <w:szCs w:val="20"/>
          <w:lang w:eastAsia="zh-CN"/>
        </w:rPr>
        <w:t xml:space="preserve"> </w:t>
      </w:r>
      <w:r>
        <w:rPr>
          <w:sz w:val="20"/>
          <w:szCs w:val="20"/>
        </w:rPr>
        <w:t xml:space="preserve">Thornhill, A. (2009). </w:t>
      </w:r>
      <w:r>
        <w:rPr>
          <w:i/>
          <w:sz w:val="20"/>
          <w:szCs w:val="20"/>
        </w:rPr>
        <w:t>Research Methods for business students 4th edition</w:t>
      </w:r>
      <w:r>
        <w:rPr>
          <w:sz w:val="20"/>
          <w:szCs w:val="20"/>
        </w:rPr>
        <w:t>. Pearson education limited.</w:t>
      </w:r>
    </w:p>
    <w:p w:rsidR="00750A0D" w:rsidRDefault="00750A0D" w:rsidP="00750A0D">
      <w:pPr>
        <w:tabs>
          <w:tab w:val="left" w:pos="420"/>
        </w:tabs>
        <w:jc w:val="both"/>
        <w:rPr>
          <w:rFonts w:eastAsiaTheme="minorEastAsia"/>
          <w:sz w:val="20"/>
          <w:szCs w:val="20"/>
          <w:lang w:eastAsia="zh-CN"/>
        </w:rPr>
        <w:sectPr w:rsidR="00750A0D" w:rsidSect="001D29EA">
          <w:type w:val="continuous"/>
          <w:pgSz w:w="12191" w:h="15819"/>
          <w:pgMar w:top="1440" w:right="1440" w:bottom="1440" w:left="1440" w:header="720" w:footer="720" w:gutter="0"/>
          <w:cols w:num="2" w:space="720" w:equalWidth="0">
            <w:col w:w="4443" w:space="425"/>
            <w:col w:w="4443"/>
          </w:cols>
          <w:titlePg/>
          <w:docGrid w:linePitch="360"/>
        </w:sectPr>
      </w:pPr>
    </w:p>
    <w:p w:rsidR="00750A0D" w:rsidRDefault="00750A0D" w:rsidP="00750A0D">
      <w:pPr>
        <w:tabs>
          <w:tab w:val="left" w:pos="420"/>
        </w:tabs>
        <w:jc w:val="both"/>
        <w:rPr>
          <w:rFonts w:eastAsiaTheme="minorEastAsia"/>
          <w:sz w:val="20"/>
          <w:szCs w:val="20"/>
          <w:lang w:eastAsia="zh-CN"/>
        </w:rPr>
      </w:pPr>
    </w:p>
    <w:p w:rsidR="00750A0D" w:rsidRDefault="00750A0D" w:rsidP="00750A0D">
      <w:pPr>
        <w:tabs>
          <w:tab w:val="left" w:pos="420"/>
        </w:tabs>
        <w:jc w:val="both"/>
        <w:rPr>
          <w:rFonts w:eastAsiaTheme="minorEastAsia"/>
          <w:sz w:val="20"/>
          <w:szCs w:val="20"/>
          <w:lang w:eastAsia="zh-CN"/>
        </w:rPr>
      </w:pPr>
    </w:p>
    <w:p w:rsidR="00750A0D" w:rsidRDefault="00750A0D" w:rsidP="00750A0D">
      <w:pPr>
        <w:tabs>
          <w:tab w:val="left" w:pos="420"/>
        </w:tabs>
        <w:jc w:val="both"/>
        <w:rPr>
          <w:sz w:val="20"/>
          <w:szCs w:val="20"/>
        </w:rPr>
      </w:pPr>
      <w:r>
        <w:rPr>
          <w:rFonts w:eastAsiaTheme="minorEastAsia" w:hint="eastAsia"/>
          <w:sz w:val="20"/>
          <w:szCs w:val="20"/>
          <w:lang w:eastAsia="zh-CN"/>
        </w:rPr>
        <w:t>3/25/2021</w:t>
      </w:r>
    </w:p>
    <w:sectPr w:rsidR="00750A0D" w:rsidSect="00750A0D">
      <w:type w:val="continuous"/>
      <w:pgSz w:w="12191" w:h="15819"/>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1E10" w:rsidRDefault="008E1E10" w:rsidP="001D29EA">
      <w:r>
        <w:separator/>
      </w:r>
    </w:p>
  </w:endnote>
  <w:endnote w:type="continuationSeparator" w:id="0">
    <w:p w:rsidR="008E1E10" w:rsidRDefault="008E1E10" w:rsidP="001D29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Italic">
    <w:altName w:val="Times New Roman"/>
    <w:charset w:val="00"/>
    <w:family w:val="roman"/>
    <w:pitch w:val="default"/>
    <w:sig w:usb0="00000000" w:usb1="00000000" w:usb2="00000000" w:usb3="00000000" w:csb0="00000000" w:csb1="00000000"/>
  </w:font>
  <w:font w:name="Book Antiqua">
    <w:altName w:val="Segoe Print"/>
    <w:charset w:val="00"/>
    <w:family w:val="roman"/>
    <w:pitch w:val="default"/>
    <w:sig w:usb0="00000000"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EA" w:rsidRPr="00750A0D" w:rsidRDefault="00B60C86" w:rsidP="00750A0D">
    <w:pPr>
      <w:pStyle w:val="Footer"/>
      <w:rPr>
        <w:rFonts w:eastAsiaTheme="minorEastAsia"/>
        <w:lang w:eastAsia="zh-CN"/>
      </w:rPr>
    </w:pPr>
    <w:r w:rsidRPr="00B60C86">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sdt>
                <w:sdtPr>
                  <w:id w:val="1887388926"/>
                </w:sdtPr>
                <w:sdtContent>
                  <w:p w:rsidR="001D29EA" w:rsidRPr="00750A0D" w:rsidRDefault="00B60C86" w:rsidP="00750A0D">
                    <w:pPr>
                      <w:pStyle w:val="Footer"/>
                      <w:jc w:val="center"/>
                    </w:pPr>
                    <w:r>
                      <w:rPr>
                        <w:sz w:val="20"/>
                        <w:szCs w:val="20"/>
                      </w:rPr>
                      <w:fldChar w:fldCharType="begin"/>
                    </w:r>
                    <w:r w:rsidR="00FF2695">
                      <w:rPr>
                        <w:sz w:val="20"/>
                        <w:szCs w:val="20"/>
                      </w:rPr>
                      <w:instrText xml:space="preserve"> PAGE   \* MERGEFORMAT </w:instrText>
                    </w:r>
                    <w:r>
                      <w:rPr>
                        <w:sz w:val="20"/>
                        <w:szCs w:val="20"/>
                      </w:rPr>
                      <w:fldChar w:fldCharType="separate"/>
                    </w:r>
                    <w:r w:rsidR="00325BCB">
                      <w:rPr>
                        <w:noProof/>
                        <w:sz w:val="20"/>
                        <w:szCs w:val="20"/>
                      </w:rPr>
                      <w:t>33</w:t>
                    </w:r>
                    <w:r>
                      <w:rPr>
                        <w:sz w:val="20"/>
                        <w:szCs w:val="20"/>
                      </w:rPr>
                      <w:fldChar w:fldCharType="end"/>
                    </w:r>
                  </w:p>
                </w:sdtContent>
              </w:sdt>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EA" w:rsidRDefault="00B60C86">
    <w:pPr>
      <w:pStyle w:val="Footer"/>
      <w:jc w:val="center"/>
    </w:pPr>
    <w:r>
      <w:pict>
        <v:shapetype id="_x0000_t202" coordsize="21600,21600" o:spt="202" path="m,l,21600r21600,l21600,xe">
          <v:stroke joinstyle="miter"/>
          <v:path gradientshapeok="t" o:connecttype="rect"/>
        </v:shapetype>
        <v:shape id="_x0000_s2050" type="#_x0000_t202" style="position:absolute;left:0;text-align:left;margin-left:0;margin-top:0;width:2in;height:2in;z-index:251659264;mso-wrap-style:none;mso-position-horizontal:center;mso-position-horizontal-relative:margin" filled="f" stroked="f">
          <v:textbox style="mso-fit-shape-to-text:t" inset="0,0,0,0">
            <w:txbxContent>
              <w:sdt>
                <w:sdtPr>
                  <w:id w:val="1887388925"/>
                </w:sdtPr>
                <w:sdtContent>
                  <w:p w:rsidR="001D29EA" w:rsidRDefault="00B60C86">
                    <w:pPr>
                      <w:pStyle w:val="Footer"/>
                      <w:jc w:val="center"/>
                    </w:pPr>
                    <w:r>
                      <w:rPr>
                        <w:sz w:val="20"/>
                        <w:szCs w:val="20"/>
                      </w:rPr>
                      <w:fldChar w:fldCharType="begin"/>
                    </w:r>
                    <w:r w:rsidR="00FF2695">
                      <w:rPr>
                        <w:sz w:val="20"/>
                        <w:szCs w:val="20"/>
                      </w:rPr>
                      <w:instrText xml:space="preserve"> PAGE   \* MERGEFORMAT </w:instrText>
                    </w:r>
                    <w:r>
                      <w:rPr>
                        <w:sz w:val="20"/>
                        <w:szCs w:val="20"/>
                      </w:rPr>
                      <w:fldChar w:fldCharType="separate"/>
                    </w:r>
                    <w:r w:rsidR="00325BCB">
                      <w:rPr>
                        <w:noProof/>
                        <w:sz w:val="20"/>
                        <w:szCs w:val="20"/>
                      </w:rPr>
                      <w:t>26</w:t>
                    </w:r>
                    <w:r>
                      <w:rPr>
                        <w:sz w:val="20"/>
                        <w:szCs w:val="20"/>
                      </w:rPr>
                      <w:fldChar w:fldCharType="end"/>
                    </w:r>
                  </w:p>
                </w:sdtContent>
              </w:sdt>
              <w:p w:rsidR="001D29EA" w:rsidRDefault="001D29EA"/>
            </w:txbxContent>
          </v:textbox>
          <w10:wrap anchorx="margin"/>
        </v:shape>
      </w:pict>
    </w:r>
  </w:p>
  <w:p w:rsidR="001D29EA" w:rsidRDefault="001D29E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1E10" w:rsidRDefault="008E1E10" w:rsidP="001D29EA">
      <w:r>
        <w:separator/>
      </w:r>
    </w:p>
  </w:footnote>
  <w:footnote w:type="continuationSeparator" w:id="0">
    <w:p w:rsidR="008E1E10" w:rsidRDefault="008E1E10" w:rsidP="001D29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EA" w:rsidRDefault="00FF2695">
    <w:pPr>
      <w:pBdr>
        <w:bottom w:val="thinThickMediumGap" w:sz="12" w:space="1" w:color="auto"/>
      </w:pBdr>
      <w:tabs>
        <w:tab w:val="left" w:pos="851"/>
        <w:tab w:val="right" w:pos="8364"/>
      </w:tabs>
      <w:adjustRightInd w:val="0"/>
      <w:snapToGrid w:val="0"/>
      <w:ind w:firstLineChars="600" w:firstLine="1200"/>
      <w:jc w:val="both"/>
      <w:rPr>
        <w:iCs/>
        <w:sz w:val="20"/>
        <w:szCs w:val="20"/>
      </w:rPr>
    </w:pPr>
    <w:r>
      <w:rPr>
        <w:iCs/>
        <w:color w:val="000000"/>
        <w:sz w:val="20"/>
        <w:szCs w:val="20"/>
      </w:rPr>
      <w:t xml:space="preserve">Researcher </w:t>
    </w:r>
    <w:r>
      <w:rPr>
        <w:iCs/>
        <w:sz w:val="20"/>
        <w:szCs w:val="20"/>
      </w:rPr>
      <w:t>20</w:t>
    </w:r>
    <w:r>
      <w:rPr>
        <w:rFonts w:hint="eastAsia"/>
        <w:iCs/>
        <w:sz w:val="20"/>
        <w:szCs w:val="20"/>
      </w:rPr>
      <w:t>21</w:t>
    </w:r>
    <w:r>
      <w:rPr>
        <w:iCs/>
        <w:sz w:val="20"/>
        <w:szCs w:val="20"/>
      </w:rPr>
      <w:t>;</w:t>
    </w:r>
    <w:r>
      <w:rPr>
        <w:rFonts w:hint="eastAsia"/>
        <w:iCs/>
        <w:sz w:val="20"/>
        <w:szCs w:val="20"/>
      </w:rPr>
      <w:t>13</w:t>
    </w:r>
    <w:r>
      <w:rPr>
        <w:iCs/>
        <w:sz w:val="20"/>
        <w:szCs w:val="20"/>
      </w:rPr>
      <w:t>(</w:t>
    </w:r>
    <w:r>
      <w:rPr>
        <w:rFonts w:hint="eastAsia"/>
        <w:iCs/>
        <w:sz w:val="20"/>
        <w:szCs w:val="20"/>
      </w:rPr>
      <w:t>3</w:t>
    </w:r>
    <w:r>
      <w:rPr>
        <w:iCs/>
        <w:sz w:val="20"/>
        <w:szCs w:val="20"/>
      </w:rPr>
      <w:t xml:space="preserve">)  </w:t>
    </w:r>
    <w:r>
      <w:rPr>
        <w:rFonts w:hint="eastAsia"/>
        <w:iCs/>
        <w:sz w:val="20"/>
        <w:szCs w:val="20"/>
      </w:rPr>
      <w:t xml:space="preserve"> </w:t>
    </w:r>
    <w:r>
      <w:rPr>
        <w:iCs/>
        <w:sz w:val="20"/>
        <w:szCs w:val="20"/>
      </w:rPr>
      <w:t xml:space="preserve"> </w:t>
    </w:r>
    <w:r>
      <w:rPr>
        <w:rFonts w:hint="eastAsia"/>
        <w:iCs/>
        <w:sz w:val="20"/>
        <w:szCs w:val="20"/>
      </w:rPr>
      <w:tab/>
    </w:r>
    <w:r>
      <w:rPr>
        <w:iCs/>
        <w:sz w:val="20"/>
        <w:szCs w:val="20"/>
      </w:rPr>
      <w:t xml:space="preserve">    </w:t>
    </w:r>
    <w:r>
      <w:rPr>
        <w:sz w:val="20"/>
        <w:szCs w:val="20"/>
      </w:rPr>
      <w:t xml:space="preserve"> </w:t>
    </w:r>
    <w:hyperlink r:id="rId1" w:history="1">
      <w:r>
        <w:rPr>
          <w:rStyle w:val="Hyperlink"/>
          <w:sz w:val="20"/>
          <w:szCs w:val="20"/>
        </w:rPr>
        <w:t>http://www.sciencepub.net/researcher</w:t>
      </w:r>
    </w:hyperlink>
    <w:r>
      <w:rPr>
        <w:rFonts w:hint="eastAsia"/>
        <w:sz w:val="20"/>
      </w:rPr>
      <w:t xml:space="preserve">   </w:t>
    </w:r>
    <w:r>
      <w:rPr>
        <w:rFonts w:hint="eastAsia"/>
        <w:b/>
        <w:i/>
        <w:color w:val="FF0000"/>
        <w:sz w:val="20"/>
        <w:szCs w:val="20"/>
        <w:bdr w:val="single" w:sz="4" w:space="0" w:color="FF0000"/>
      </w:rPr>
      <w:t>RSJ</w:t>
    </w:r>
  </w:p>
  <w:p w:rsidR="001D29EA" w:rsidRDefault="001D29E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9EA" w:rsidRDefault="00FF2695">
    <w:pPr>
      <w:pStyle w:val="Header"/>
    </w:pPr>
    <w:r>
      <w:rPr>
        <w:noProof/>
        <w:szCs w:val="20"/>
        <w:lang w:eastAsia="zh-CN"/>
      </w:rPr>
      <w:drawing>
        <wp:inline distT="0" distB="0" distL="0" distR="0">
          <wp:extent cx="5981700" cy="8102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stretch>
                    <a:fillRect/>
                  </a:stretch>
                </pic:blipFill>
                <pic:spPr>
                  <a:xfrm>
                    <a:off x="0" y="0"/>
                    <a:ext cx="5981700" cy="81026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DE87"/>
    <w:multiLevelType w:val="singleLevel"/>
    <w:tmpl w:val="1D88DE87"/>
    <w:lvl w:ilvl="0">
      <w:start w:val="1"/>
      <w:numFmt w:val="decimal"/>
      <w:lvlText w:val="[%1]."/>
      <w:lvlJc w:val="left"/>
      <w:pPr>
        <w:tabs>
          <w:tab w:val="left" w:pos="420"/>
        </w:tabs>
        <w:ind w:left="425" w:hanging="425"/>
      </w:pPr>
      <w:rPr>
        <w:rFonts w:hint="default"/>
      </w:rPr>
    </w:lvl>
  </w:abstractNum>
  <w:abstractNum w:abstractNumId="1">
    <w:nsid w:val="280A483C"/>
    <w:multiLevelType w:val="multilevel"/>
    <w:tmpl w:val="280A483C"/>
    <w:lvl w:ilvl="0">
      <w:start w:val="1"/>
      <w:numFmt w:val="decimal"/>
      <w:lvlText w:val="%1."/>
      <w:lvlJc w:val="left"/>
      <w:pPr>
        <w:ind w:left="2880" w:hanging="360"/>
      </w:pPr>
      <w:rPr>
        <w:rFonts w:hint="default"/>
        <w:b w:val="0"/>
        <w:sz w:val="24"/>
        <w:szCs w:val="24"/>
      </w:rPr>
    </w:lvl>
    <w:lvl w:ilvl="1">
      <w:start w:val="1"/>
      <w:numFmt w:val="decimal"/>
      <w:isLgl/>
      <w:lvlText w:val="%1.%2"/>
      <w:lvlJc w:val="left"/>
      <w:pPr>
        <w:ind w:left="2520" w:hanging="360"/>
      </w:pPr>
      <w:rPr>
        <w:rFonts w:ascii="Times New Roman" w:hAnsi="Times New Roman" w:cs="Times New Roman" w:hint="default"/>
        <w:color w:val="auto"/>
      </w:rPr>
    </w:lvl>
    <w:lvl w:ilvl="2">
      <w:start w:val="1"/>
      <w:numFmt w:val="decimal"/>
      <w:isLgl/>
      <w:lvlText w:val="%1.%2.%3"/>
      <w:lvlJc w:val="left"/>
      <w:pPr>
        <w:ind w:left="3240" w:hanging="720"/>
      </w:pPr>
      <w:rPr>
        <w:rFonts w:ascii="Times New Roman" w:hAnsi="Times New Roman" w:cs="Times New Roman" w:hint="default"/>
        <w:color w:val="auto"/>
      </w:rPr>
    </w:lvl>
    <w:lvl w:ilvl="3">
      <w:start w:val="1"/>
      <w:numFmt w:val="decimal"/>
      <w:isLgl/>
      <w:lvlText w:val="%1.%2.%3.%4"/>
      <w:lvlJc w:val="left"/>
      <w:pPr>
        <w:ind w:left="3240" w:hanging="720"/>
      </w:pPr>
      <w:rPr>
        <w:rFonts w:ascii="Times New Roman" w:hAnsi="Times New Roman" w:cs="Times New Roman" w:hint="default"/>
        <w:color w:val="auto"/>
      </w:rPr>
    </w:lvl>
    <w:lvl w:ilvl="4">
      <w:start w:val="1"/>
      <w:numFmt w:val="decimal"/>
      <w:isLgl/>
      <w:lvlText w:val="%1.%2.%3.%4.%5"/>
      <w:lvlJc w:val="left"/>
      <w:pPr>
        <w:ind w:left="3600" w:hanging="1080"/>
      </w:pPr>
      <w:rPr>
        <w:rFonts w:ascii="Times New Roman" w:hAnsi="Times New Roman" w:cs="Times New Roman" w:hint="default"/>
        <w:color w:val="auto"/>
      </w:rPr>
    </w:lvl>
    <w:lvl w:ilvl="5">
      <w:start w:val="1"/>
      <w:numFmt w:val="decimal"/>
      <w:isLgl/>
      <w:lvlText w:val="%1.%2.%3.%4.%5.%6"/>
      <w:lvlJc w:val="left"/>
      <w:pPr>
        <w:ind w:left="3600" w:hanging="1080"/>
      </w:pPr>
      <w:rPr>
        <w:rFonts w:ascii="Times New Roman" w:hAnsi="Times New Roman" w:cs="Times New Roman" w:hint="default"/>
        <w:color w:val="auto"/>
      </w:rPr>
    </w:lvl>
    <w:lvl w:ilvl="6">
      <w:start w:val="1"/>
      <w:numFmt w:val="decimal"/>
      <w:isLgl/>
      <w:lvlText w:val="%1.%2.%3.%4.%5.%6.%7"/>
      <w:lvlJc w:val="left"/>
      <w:pPr>
        <w:ind w:left="3960" w:hanging="1440"/>
      </w:pPr>
      <w:rPr>
        <w:rFonts w:ascii="Times New Roman" w:hAnsi="Times New Roman" w:cs="Times New Roman" w:hint="default"/>
        <w:color w:val="auto"/>
      </w:rPr>
    </w:lvl>
    <w:lvl w:ilvl="7">
      <w:start w:val="1"/>
      <w:numFmt w:val="decimal"/>
      <w:isLgl/>
      <w:lvlText w:val="%1.%2.%3.%4.%5.%6.%7.%8"/>
      <w:lvlJc w:val="left"/>
      <w:pPr>
        <w:ind w:left="3960" w:hanging="1440"/>
      </w:pPr>
      <w:rPr>
        <w:rFonts w:ascii="Times New Roman" w:hAnsi="Times New Roman" w:cs="Times New Roman" w:hint="default"/>
        <w:color w:val="auto"/>
      </w:rPr>
    </w:lvl>
    <w:lvl w:ilvl="8">
      <w:start w:val="1"/>
      <w:numFmt w:val="decimal"/>
      <w:isLgl/>
      <w:lvlText w:val="%1.%2.%3.%4.%5.%6.%7.%8.%9"/>
      <w:lvlJc w:val="left"/>
      <w:pPr>
        <w:ind w:left="4320" w:hanging="1800"/>
      </w:pPr>
      <w:rPr>
        <w:rFonts w:ascii="Times New Roman" w:hAnsi="Times New Roman" w:cs="Times New Roman" w:hint="default"/>
        <w:color w:val="auto"/>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useFELayout/>
  </w:compat>
  <w:rsids>
    <w:rsidRoot w:val="002617E3"/>
    <w:rsid w:val="00011320"/>
    <w:rsid w:val="000126D2"/>
    <w:rsid w:val="00015431"/>
    <w:rsid w:val="0001684F"/>
    <w:rsid w:val="000221E6"/>
    <w:rsid w:val="00027FD4"/>
    <w:rsid w:val="0004146C"/>
    <w:rsid w:val="00043270"/>
    <w:rsid w:val="00074DAE"/>
    <w:rsid w:val="0007542B"/>
    <w:rsid w:val="000763A1"/>
    <w:rsid w:val="00092008"/>
    <w:rsid w:val="00094B81"/>
    <w:rsid w:val="00096D0F"/>
    <w:rsid w:val="000B7C2A"/>
    <w:rsid w:val="000C2D20"/>
    <w:rsid w:val="000C651B"/>
    <w:rsid w:val="000D769F"/>
    <w:rsid w:val="000E22AA"/>
    <w:rsid w:val="000E362F"/>
    <w:rsid w:val="000F2DDE"/>
    <w:rsid w:val="000F3447"/>
    <w:rsid w:val="00127F4C"/>
    <w:rsid w:val="00143B51"/>
    <w:rsid w:val="00144773"/>
    <w:rsid w:val="00145452"/>
    <w:rsid w:val="00162678"/>
    <w:rsid w:val="00170263"/>
    <w:rsid w:val="00172C24"/>
    <w:rsid w:val="001854E4"/>
    <w:rsid w:val="001A7152"/>
    <w:rsid w:val="001C3D05"/>
    <w:rsid w:val="001C44BD"/>
    <w:rsid w:val="001D29EA"/>
    <w:rsid w:val="001E21FD"/>
    <w:rsid w:val="001F1562"/>
    <w:rsid w:val="001F384A"/>
    <w:rsid w:val="001F6A85"/>
    <w:rsid w:val="00207B1B"/>
    <w:rsid w:val="0021068C"/>
    <w:rsid w:val="0021248F"/>
    <w:rsid w:val="0022666A"/>
    <w:rsid w:val="002301B5"/>
    <w:rsid w:val="00230F5C"/>
    <w:rsid w:val="002327BB"/>
    <w:rsid w:val="0023729B"/>
    <w:rsid w:val="00244B43"/>
    <w:rsid w:val="00256A99"/>
    <w:rsid w:val="00257900"/>
    <w:rsid w:val="002617E3"/>
    <w:rsid w:val="00274AE6"/>
    <w:rsid w:val="00285974"/>
    <w:rsid w:val="002971D8"/>
    <w:rsid w:val="002A2556"/>
    <w:rsid w:val="002A5511"/>
    <w:rsid w:val="002A7170"/>
    <w:rsid w:val="002B241B"/>
    <w:rsid w:val="002B73A5"/>
    <w:rsid w:val="002C431A"/>
    <w:rsid w:val="002D541B"/>
    <w:rsid w:val="002D6870"/>
    <w:rsid w:val="002E407B"/>
    <w:rsid w:val="002F08A6"/>
    <w:rsid w:val="00302EFB"/>
    <w:rsid w:val="00316C33"/>
    <w:rsid w:val="00321888"/>
    <w:rsid w:val="00325BCB"/>
    <w:rsid w:val="003401FD"/>
    <w:rsid w:val="00340A14"/>
    <w:rsid w:val="0035256F"/>
    <w:rsid w:val="00374F45"/>
    <w:rsid w:val="003851AA"/>
    <w:rsid w:val="003A21C3"/>
    <w:rsid w:val="003B0B66"/>
    <w:rsid w:val="003B0E06"/>
    <w:rsid w:val="003C2878"/>
    <w:rsid w:val="003C68CD"/>
    <w:rsid w:val="003D60AF"/>
    <w:rsid w:val="004074B6"/>
    <w:rsid w:val="00413328"/>
    <w:rsid w:val="00416D68"/>
    <w:rsid w:val="00417A2B"/>
    <w:rsid w:val="00420437"/>
    <w:rsid w:val="004250F2"/>
    <w:rsid w:val="004342D1"/>
    <w:rsid w:val="00452103"/>
    <w:rsid w:val="0046742F"/>
    <w:rsid w:val="004A2DE0"/>
    <w:rsid w:val="004A33E1"/>
    <w:rsid w:val="004B4BFC"/>
    <w:rsid w:val="004C114E"/>
    <w:rsid w:val="004C2202"/>
    <w:rsid w:val="004C5D5D"/>
    <w:rsid w:val="004D2646"/>
    <w:rsid w:val="004E618A"/>
    <w:rsid w:val="004F1E12"/>
    <w:rsid w:val="004F33A7"/>
    <w:rsid w:val="00502314"/>
    <w:rsid w:val="0051525C"/>
    <w:rsid w:val="00520CCF"/>
    <w:rsid w:val="00555034"/>
    <w:rsid w:val="00584453"/>
    <w:rsid w:val="005868C6"/>
    <w:rsid w:val="005B4196"/>
    <w:rsid w:val="005B73B4"/>
    <w:rsid w:val="005D5979"/>
    <w:rsid w:val="005E289D"/>
    <w:rsid w:val="005E2ABD"/>
    <w:rsid w:val="006023AC"/>
    <w:rsid w:val="00602631"/>
    <w:rsid w:val="00607306"/>
    <w:rsid w:val="00640D06"/>
    <w:rsid w:val="006429D1"/>
    <w:rsid w:val="00650CDD"/>
    <w:rsid w:val="00651E14"/>
    <w:rsid w:val="006532BA"/>
    <w:rsid w:val="006550D1"/>
    <w:rsid w:val="00667692"/>
    <w:rsid w:val="006729C5"/>
    <w:rsid w:val="00677B5A"/>
    <w:rsid w:val="006823E3"/>
    <w:rsid w:val="006A3F5A"/>
    <w:rsid w:val="006B4F90"/>
    <w:rsid w:val="006B6F52"/>
    <w:rsid w:val="006B7CE4"/>
    <w:rsid w:val="006C14DA"/>
    <w:rsid w:val="006E07E3"/>
    <w:rsid w:val="006E1C93"/>
    <w:rsid w:val="006E7284"/>
    <w:rsid w:val="006E7549"/>
    <w:rsid w:val="00716D8D"/>
    <w:rsid w:val="007336E7"/>
    <w:rsid w:val="00734F47"/>
    <w:rsid w:val="00736E69"/>
    <w:rsid w:val="00750A0D"/>
    <w:rsid w:val="007511AB"/>
    <w:rsid w:val="00756AE4"/>
    <w:rsid w:val="00765909"/>
    <w:rsid w:val="0077183D"/>
    <w:rsid w:val="00775573"/>
    <w:rsid w:val="007820C4"/>
    <w:rsid w:val="00787C1F"/>
    <w:rsid w:val="007C310D"/>
    <w:rsid w:val="007C4B6B"/>
    <w:rsid w:val="007D2F63"/>
    <w:rsid w:val="007D58A5"/>
    <w:rsid w:val="007D5E76"/>
    <w:rsid w:val="007D6BF4"/>
    <w:rsid w:val="007E4395"/>
    <w:rsid w:val="00811A99"/>
    <w:rsid w:val="0081284B"/>
    <w:rsid w:val="008155C6"/>
    <w:rsid w:val="00823291"/>
    <w:rsid w:val="008406E5"/>
    <w:rsid w:val="00847255"/>
    <w:rsid w:val="008664A1"/>
    <w:rsid w:val="00867BDA"/>
    <w:rsid w:val="008706EB"/>
    <w:rsid w:val="00871004"/>
    <w:rsid w:val="00872EA2"/>
    <w:rsid w:val="00874CD4"/>
    <w:rsid w:val="00883E0E"/>
    <w:rsid w:val="008A4F88"/>
    <w:rsid w:val="008A515E"/>
    <w:rsid w:val="008B3F8D"/>
    <w:rsid w:val="008D74CB"/>
    <w:rsid w:val="008E1E10"/>
    <w:rsid w:val="008F116F"/>
    <w:rsid w:val="008F3B00"/>
    <w:rsid w:val="00907090"/>
    <w:rsid w:val="00913656"/>
    <w:rsid w:val="009210A2"/>
    <w:rsid w:val="00932EAB"/>
    <w:rsid w:val="00947619"/>
    <w:rsid w:val="00947D1D"/>
    <w:rsid w:val="00954851"/>
    <w:rsid w:val="00984BB7"/>
    <w:rsid w:val="00992BE6"/>
    <w:rsid w:val="00994A09"/>
    <w:rsid w:val="009A0F9D"/>
    <w:rsid w:val="009B4EBF"/>
    <w:rsid w:val="009C2C6D"/>
    <w:rsid w:val="009C3AEE"/>
    <w:rsid w:val="009E0882"/>
    <w:rsid w:val="009E47EB"/>
    <w:rsid w:val="00A066E9"/>
    <w:rsid w:val="00A1741E"/>
    <w:rsid w:val="00A204BC"/>
    <w:rsid w:val="00A2269E"/>
    <w:rsid w:val="00A44C63"/>
    <w:rsid w:val="00A627E2"/>
    <w:rsid w:val="00A91B45"/>
    <w:rsid w:val="00A96C2F"/>
    <w:rsid w:val="00AA10E5"/>
    <w:rsid w:val="00AB4DC6"/>
    <w:rsid w:val="00AC343B"/>
    <w:rsid w:val="00AC6954"/>
    <w:rsid w:val="00AD17DE"/>
    <w:rsid w:val="00AD437E"/>
    <w:rsid w:val="00AD5801"/>
    <w:rsid w:val="00AF0907"/>
    <w:rsid w:val="00B04FB1"/>
    <w:rsid w:val="00B06256"/>
    <w:rsid w:val="00B068C3"/>
    <w:rsid w:val="00B12237"/>
    <w:rsid w:val="00B128D9"/>
    <w:rsid w:val="00B1717A"/>
    <w:rsid w:val="00B258EF"/>
    <w:rsid w:val="00B330EE"/>
    <w:rsid w:val="00B3390F"/>
    <w:rsid w:val="00B53B1C"/>
    <w:rsid w:val="00B60C86"/>
    <w:rsid w:val="00B74AF2"/>
    <w:rsid w:val="00B774CB"/>
    <w:rsid w:val="00BA3507"/>
    <w:rsid w:val="00BA6369"/>
    <w:rsid w:val="00BB0D22"/>
    <w:rsid w:val="00BB3453"/>
    <w:rsid w:val="00BC69A4"/>
    <w:rsid w:val="00BE7703"/>
    <w:rsid w:val="00BF2B29"/>
    <w:rsid w:val="00C02AF6"/>
    <w:rsid w:val="00C11984"/>
    <w:rsid w:val="00C43A11"/>
    <w:rsid w:val="00C45FCB"/>
    <w:rsid w:val="00C51869"/>
    <w:rsid w:val="00C63A0D"/>
    <w:rsid w:val="00C77041"/>
    <w:rsid w:val="00CF4DE7"/>
    <w:rsid w:val="00D1621C"/>
    <w:rsid w:val="00D26B94"/>
    <w:rsid w:val="00D3606D"/>
    <w:rsid w:val="00D376B1"/>
    <w:rsid w:val="00D4079E"/>
    <w:rsid w:val="00D43D2F"/>
    <w:rsid w:val="00D648A0"/>
    <w:rsid w:val="00D7268D"/>
    <w:rsid w:val="00D819CD"/>
    <w:rsid w:val="00D90557"/>
    <w:rsid w:val="00DA0848"/>
    <w:rsid w:val="00DB731E"/>
    <w:rsid w:val="00DC608F"/>
    <w:rsid w:val="00DE0E18"/>
    <w:rsid w:val="00DE3CD1"/>
    <w:rsid w:val="00E12B41"/>
    <w:rsid w:val="00E31A35"/>
    <w:rsid w:val="00E400C9"/>
    <w:rsid w:val="00E4380C"/>
    <w:rsid w:val="00E43E51"/>
    <w:rsid w:val="00E525F6"/>
    <w:rsid w:val="00E55FD6"/>
    <w:rsid w:val="00E6083A"/>
    <w:rsid w:val="00E93155"/>
    <w:rsid w:val="00E94846"/>
    <w:rsid w:val="00E94B24"/>
    <w:rsid w:val="00E9636E"/>
    <w:rsid w:val="00EA0488"/>
    <w:rsid w:val="00EA0E76"/>
    <w:rsid w:val="00EA4A5F"/>
    <w:rsid w:val="00EB4113"/>
    <w:rsid w:val="00EC0650"/>
    <w:rsid w:val="00EC1EA1"/>
    <w:rsid w:val="00EE2FAB"/>
    <w:rsid w:val="00EF053C"/>
    <w:rsid w:val="00EF54CE"/>
    <w:rsid w:val="00F06DBC"/>
    <w:rsid w:val="00F53FDA"/>
    <w:rsid w:val="00F56A7E"/>
    <w:rsid w:val="00F65AE9"/>
    <w:rsid w:val="00F65D22"/>
    <w:rsid w:val="00F803C3"/>
    <w:rsid w:val="00F93998"/>
    <w:rsid w:val="00F97838"/>
    <w:rsid w:val="00FA2469"/>
    <w:rsid w:val="00FB73BA"/>
    <w:rsid w:val="00FC2F6E"/>
    <w:rsid w:val="00FC72E4"/>
    <w:rsid w:val="00FD37B5"/>
    <w:rsid w:val="00FF2695"/>
    <w:rsid w:val="00FF3E1C"/>
    <w:rsid w:val="153D37EF"/>
    <w:rsid w:val="3B281C7D"/>
    <w:rsid w:val="54704B90"/>
    <w:rsid w:val="7F0763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o:shapedefaults>
    <o:shapelayout v:ext="edit">
      <o:idmap v:ext="edit" data="1"/>
      <o:rules v:ext="edit">
        <o:r id="V:Rule3" type="connector" idref="#Straight Arrow Connector 28"/>
        <o:r id="V:Rule4" type="connector" idref="#Straight Arrow Connector 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qFormat="1"/>
    <w:lsdException w:name="footer" w:semiHidden="0" w:qFormat="1"/>
    <w:lsdException w:name="caption" w:uiPriority="35" w:qFormat="1"/>
    <w:lsdException w:name="Title" w:semiHidden="0" w:uiPriority="10" w:unhideWhenUsed="0" w:qFormat="1"/>
    <w:lsdException w:name="Default Paragraph Font" w:uiPriority="1" w:qFormat="1"/>
    <w:lsdException w:name="Body Text" w:semiHidden="0" w:uiPriority="1"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qFormat="1"/>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qFormat="1"/>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29EA"/>
    <w:pPr>
      <w:spacing w:after="0" w:line="240" w:lineRule="auto"/>
    </w:pPr>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1D29E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D29E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D29EA"/>
    <w:pPr>
      <w:widowControl w:val="0"/>
      <w:autoSpaceDE w:val="0"/>
      <w:autoSpaceDN w:val="0"/>
    </w:pPr>
    <w:rPr>
      <w:lang w:bidi="en-US"/>
    </w:rPr>
  </w:style>
  <w:style w:type="paragraph" w:styleId="BalloonText">
    <w:name w:val="Balloon Text"/>
    <w:basedOn w:val="Normal"/>
    <w:link w:val="BalloonTextChar"/>
    <w:uiPriority w:val="99"/>
    <w:semiHidden/>
    <w:unhideWhenUsed/>
    <w:qFormat/>
    <w:rsid w:val="001D29EA"/>
    <w:rPr>
      <w:rFonts w:ascii="Tahoma" w:hAnsi="Tahoma" w:cs="Tahoma"/>
      <w:sz w:val="16"/>
      <w:szCs w:val="16"/>
    </w:rPr>
  </w:style>
  <w:style w:type="paragraph" w:styleId="Footer">
    <w:name w:val="footer"/>
    <w:basedOn w:val="Normal"/>
    <w:link w:val="FooterChar"/>
    <w:uiPriority w:val="99"/>
    <w:unhideWhenUsed/>
    <w:qFormat/>
    <w:rsid w:val="001D29EA"/>
    <w:pPr>
      <w:tabs>
        <w:tab w:val="center" w:pos="4680"/>
        <w:tab w:val="right" w:pos="9360"/>
      </w:tabs>
    </w:pPr>
  </w:style>
  <w:style w:type="paragraph" w:styleId="Header">
    <w:name w:val="header"/>
    <w:basedOn w:val="Normal"/>
    <w:link w:val="HeaderChar"/>
    <w:uiPriority w:val="99"/>
    <w:qFormat/>
    <w:rsid w:val="001D29EA"/>
    <w:pPr>
      <w:tabs>
        <w:tab w:val="center" w:pos="4680"/>
        <w:tab w:val="right" w:pos="9360"/>
      </w:tabs>
    </w:pPr>
  </w:style>
  <w:style w:type="paragraph" w:styleId="TOC1">
    <w:name w:val="toc 1"/>
    <w:basedOn w:val="Normal"/>
    <w:next w:val="Normal"/>
    <w:uiPriority w:val="39"/>
    <w:qFormat/>
    <w:rsid w:val="001D29EA"/>
    <w:pPr>
      <w:spacing w:after="100"/>
    </w:pPr>
  </w:style>
  <w:style w:type="paragraph" w:styleId="TOC2">
    <w:name w:val="toc 2"/>
    <w:basedOn w:val="Normal"/>
    <w:next w:val="Normal"/>
    <w:uiPriority w:val="39"/>
    <w:qFormat/>
    <w:rsid w:val="001D29EA"/>
    <w:pPr>
      <w:spacing w:after="100"/>
      <w:ind w:left="240"/>
    </w:pPr>
  </w:style>
  <w:style w:type="table" w:styleId="TableGrid">
    <w:name w:val="Table Grid"/>
    <w:basedOn w:val="TableNormal"/>
    <w:uiPriority w:val="59"/>
    <w:qFormat/>
    <w:rsid w:val="001D29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qFormat/>
    <w:rsid w:val="001D29EA"/>
    <w:pPr>
      <w:spacing w:after="0" w:line="240" w:lineRule="auto"/>
    </w:pPr>
    <w:rPr>
      <w:color w:val="000000" w:themeColor="text1" w:themeShade="BF"/>
    </w:rPr>
    <w:tblPr>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5">
    <w:name w:val="Light Shading Accent 5"/>
    <w:basedOn w:val="TableNormal"/>
    <w:uiPriority w:val="60"/>
    <w:qFormat/>
    <w:rsid w:val="001D29EA"/>
    <w:pPr>
      <w:spacing w:after="0" w:line="240" w:lineRule="auto"/>
    </w:pPr>
    <w:rPr>
      <w:color w:val="31849B" w:themeColor="accent5" w:themeShade="BF"/>
    </w:rPr>
    <w:tblPr>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Strong">
    <w:name w:val="Strong"/>
    <w:basedOn w:val="DefaultParagraphFont"/>
    <w:uiPriority w:val="22"/>
    <w:qFormat/>
    <w:rsid w:val="001D29EA"/>
    <w:rPr>
      <w:b/>
      <w:bCs/>
    </w:rPr>
  </w:style>
  <w:style w:type="character" w:styleId="Hyperlink">
    <w:name w:val="Hyperlink"/>
    <w:basedOn w:val="DefaultParagraphFont"/>
    <w:uiPriority w:val="99"/>
    <w:qFormat/>
    <w:rsid w:val="001D29EA"/>
    <w:rPr>
      <w:rFonts w:cs="Times New Roman"/>
      <w:color w:val="0000FF"/>
      <w:u w:val="single"/>
    </w:rPr>
  </w:style>
  <w:style w:type="character" w:customStyle="1" w:styleId="Heading1Char">
    <w:name w:val="Heading 1 Char"/>
    <w:basedOn w:val="DefaultParagraphFont"/>
    <w:link w:val="Heading1"/>
    <w:qFormat/>
    <w:rsid w:val="001D29EA"/>
    <w:rPr>
      <w:rFonts w:asciiTheme="majorHAnsi" w:eastAsiaTheme="majorEastAsia" w:hAnsiTheme="majorHAnsi" w:cstheme="majorBidi"/>
      <w:b/>
      <w:bCs/>
      <w:color w:val="365F91" w:themeColor="accent1" w:themeShade="BF"/>
      <w:sz w:val="28"/>
      <w:szCs w:val="28"/>
    </w:rPr>
  </w:style>
  <w:style w:type="character" w:customStyle="1" w:styleId="HeaderChar">
    <w:name w:val="Header Char"/>
    <w:basedOn w:val="DefaultParagraphFont"/>
    <w:link w:val="Header"/>
    <w:uiPriority w:val="99"/>
    <w:qFormat/>
    <w:rsid w:val="001D29EA"/>
    <w:rPr>
      <w:rFonts w:ascii="Times New Roman" w:eastAsia="Times New Roman" w:hAnsi="Times New Roman" w:cs="Times New Roman"/>
      <w:sz w:val="24"/>
      <w:szCs w:val="24"/>
    </w:rPr>
  </w:style>
  <w:style w:type="paragraph" w:customStyle="1" w:styleId="TOCHeading1">
    <w:name w:val="TOC Heading1"/>
    <w:basedOn w:val="Heading1"/>
    <w:next w:val="Normal"/>
    <w:uiPriority w:val="39"/>
    <w:semiHidden/>
    <w:unhideWhenUsed/>
    <w:qFormat/>
    <w:rsid w:val="001D29EA"/>
    <w:pPr>
      <w:spacing w:line="276" w:lineRule="auto"/>
      <w:outlineLvl w:val="9"/>
    </w:pPr>
  </w:style>
  <w:style w:type="character" w:customStyle="1" w:styleId="BalloonTextChar">
    <w:name w:val="Balloon Text Char"/>
    <w:basedOn w:val="DefaultParagraphFont"/>
    <w:link w:val="BalloonText"/>
    <w:uiPriority w:val="99"/>
    <w:semiHidden/>
    <w:qFormat/>
    <w:rsid w:val="001D29EA"/>
    <w:rPr>
      <w:rFonts w:ascii="Tahoma" w:eastAsia="Times New Roman" w:hAnsi="Tahoma" w:cs="Tahoma"/>
      <w:sz w:val="16"/>
      <w:szCs w:val="16"/>
    </w:rPr>
  </w:style>
  <w:style w:type="paragraph" w:styleId="ListParagraph">
    <w:name w:val="List Paragraph"/>
    <w:basedOn w:val="Normal"/>
    <w:uiPriority w:val="34"/>
    <w:qFormat/>
    <w:rsid w:val="001D29EA"/>
    <w:pPr>
      <w:spacing w:after="200" w:line="276" w:lineRule="auto"/>
      <w:ind w:left="720"/>
      <w:contextualSpacing/>
    </w:pPr>
    <w:rPr>
      <w:rFonts w:asciiTheme="minorHAnsi" w:eastAsiaTheme="minorHAnsi" w:hAnsiTheme="minorHAnsi" w:cstheme="minorBidi"/>
      <w:sz w:val="22"/>
      <w:szCs w:val="22"/>
    </w:rPr>
  </w:style>
  <w:style w:type="character" w:customStyle="1" w:styleId="fontstyle01">
    <w:name w:val="fontstyle01"/>
    <w:basedOn w:val="DefaultParagraphFont"/>
    <w:qFormat/>
    <w:rsid w:val="001D29EA"/>
    <w:rPr>
      <w:rFonts w:ascii="Calibri" w:hAnsi="Calibri" w:hint="default"/>
      <w:color w:val="000000"/>
      <w:sz w:val="28"/>
      <w:szCs w:val="28"/>
    </w:rPr>
  </w:style>
  <w:style w:type="character" w:customStyle="1" w:styleId="fontstyle21">
    <w:name w:val="fontstyle21"/>
    <w:basedOn w:val="DefaultParagraphFont"/>
    <w:qFormat/>
    <w:rsid w:val="001D29EA"/>
    <w:rPr>
      <w:rFonts w:ascii="Times-Italic" w:hAnsi="Times-Italic" w:hint="default"/>
      <w:i/>
      <w:iCs/>
      <w:color w:val="000000"/>
      <w:sz w:val="24"/>
      <w:szCs w:val="24"/>
    </w:rPr>
  </w:style>
  <w:style w:type="character" w:customStyle="1" w:styleId="FooterChar">
    <w:name w:val="Footer Char"/>
    <w:basedOn w:val="DefaultParagraphFont"/>
    <w:link w:val="Footer"/>
    <w:uiPriority w:val="99"/>
    <w:qFormat/>
    <w:rsid w:val="001D29E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qFormat/>
    <w:rsid w:val="001D29EA"/>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D29EA"/>
    <w:pPr>
      <w:spacing w:after="0" w:line="240" w:lineRule="auto"/>
    </w:pPr>
    <w:rPr>
      <w:rFonts w:eastAsiaTheme="minorHAnsi"/>
      <w:sz w:val="22"/>
      <w:szCs w:val="22"/>
      <w:lang w:eastAsia="en-US"/>
    </w:rPr>
  </w:style>
  <w:style w:type="character" w:customStyle="1" w:styleId="BodyTextChar">
    <w:name w:val="Body Text Char"/>
    <w:basedOn w:val="DefaultParagraphFont"/>
    <w:link w:val="BodyText"/>
    <w:uiPriority w:val="1"/>
    <w:qFormat/>
    <w:rsid w:val="001D29EA"/>
    <w:rPr>
      <w:rFonts w:ascii="Times New Roman" w:eastAsia="Times New Roman" w:hAnsi="Times New Roman" w:cs="Times New Roman"/>
      <w:sz w:val="24"/>
      <w:szCs w:val="24"/>
      <w:lang w:bidi="en-US"/>
    </w:rPr>
  </w:style>
  <w:style w:type="paragraph" w:customStyle="1" w:styleId="Default">
    <w:name w:val="Default"/>
    <w:qFormat/>
    <w:rsid w:val="001D29EA"/>
    <w:pPr>
      <w:autoSpaceDE w:val="0"/>
      <w:autoSpaceDN w:val="0"/>
      <w:adjustRightInd w:val="0"/>
    </w:pPr>
    <w:rPr>
      <w:rFonts w:ascii="Book Antiqua" w:eastAsia="Calibri" w:hAnsi="Book Antiqua" w:cs="Book Antiqua"/>
      <w:color w:val="000000"/>
      <w:sz w:val="24"/>
      <w:szCs w:val="24"/>
      <w:lang w:eastAsia="en-US"/>
    </w:rPr>
  </w:style>
  <w:style w:type="paragraph" w:customStyle="1" w:styleId="TableParagraph">
    <w:name w:val="Table Paragraph"/>
    <w:basedOn w:val="Normal"/>
    <w:uiPriority w:val="1"/>
    <w:qFormat/>
    <w:rsid w:val="001D29EA"/>
    <w:pPr>
      <w:widowControl w:val="0"/>
      <w:autoSpaceDE w:val="0"/>
      <w:autoSpaceDN w:val="0"/>
    </w:pPr>
    <w:rPr>
      <w:sz w:val="22"/>
      <w:szCs w:val="22"/>
      <w:lang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x.doi.org/10.7537/marsrsj130321.06" TargetMode="External"/><Relationship Id="rId18" Type="http://schemas.openxmlformats.org/officeDocument/2006/relationships/hyperlink" Target="mailto:yasirok62@yahoo.com" TargetMode="External"/><Relationship Id="rId3" Type="http://schemas.openxmlformats.org/officeDocument/2006/relationships/numbering" Target="numbering.xml"/><Relationship Id="rId21" Type="http://schemas.openxmlformats.org/officeDocument/2006/relationships/hyperlink" Target="http://www.accenture.com/" TargetMode="External"/><Relationship Id="rId7" Type="http://schemas.openxmlformats.org/officeDocument/2006/relationships/footnotes" Target="footnotes.xml"/><Relationship Id="rId12" Type="http://schemas.openxmlformats.org/officeDocument/2006/relationships/hyperlink" Target="http://www.sciencepub.net/research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mailto:zubairkhan1982@g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ubairkhan1982@gmail.com"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askarzai@aapoly.edu.au" TargetMode="External"/><Relationship Id="rId19" Type="http://schemas.openxmlformats.org/officeDocument/2006/relationships/hyperlink" Target="mailto:w.askarzai@aapoly.edu.au" TargetMode="External"/><Relationship Id="rId4" Type="http://schemas.openxmlformats.org/officeDocument/2006/relationships/styles" Target="styles.xml"/><Relationship Id="rId9" Type="http://schemas.openxmlformats.org/officeDocument/2006/relationships/hyperlink" Target="mailto:yasirok62@yahoo.com" TargetMode="External"/><Relationship Id="rId14" Type="http://schemas.openxmlformats.org/officeDocument/2006/relationships/header" Target="header1.xml"/><Relationship Id="rId22" Type="http://schemas.openxmlformats.org/officeDocument/2006/relationships/hyperlink" Target="http://www.capgemini.com/banking"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researcher"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2049" textRotate="1"/>
    <customShpInfo spid="_x0000_s2050" textRotate="1"/>
    <customShpInfo spid="_x0000_s1036"/>
    <customShpInfo spid="_x0000_s1027"/>
    <customShpInfo spid="_x0000_s1028"/>
    <customShpInfo spid="_x0000_s1026"/>
    <customShpInfo spid="_x0000_s1037"/>
    <customShpInfo spid="_x0000_s1035"/>
    <customShpInfo spid="_x0000_s1029"/>
    <customShpInfo spid="_x0000_s1030"/>
    <customShpInfo spid="_x0000_s1034"/>
    <customShpInfo spid="_x0000_s1031"/>
    <customShpInfo spid="_x0000_s1032"/>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0D1687-7BEE-4B22-AB33-084B2BA1DD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8</Pages>
  <Words>4086</Words>
  <Characters>23295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yasirr</dc:creator>
  <cp:lastModifiedBy>Administrator</cp:lastModifiedBy>
  <cp:revision>20</cp:revision>
  <cp:lastPrinted>2018-01-04T09:37:00Z</cp:lastPrinted>
  <dcterms:created xsi:type="dcterms:W3CDTF">2021-03-24T18:40:00Z</dcterms:created>
  <dcterms:modified xsi:type="dcterms:W3CDTF">2021-04-04T19:16:00Z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