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E1" w:rsidRPr="007647BA" w:rsidRDefault="008D41E1">
      <w:pPr>
        <w:snapToGrid w:val="0"/>
        <w:spacing w:after="0" w:line="240" w:lineRule="auto"/>
        <w:jc w:val="center"/>
        <w:rPr>
          <w:rFonts w:ascii="Times New Roman" w:hAnsi="Times New Roman" w:cs="Times New Roman"/>
          <w:b/>
          <w:sz w:val="20"/>
          <w:szCs w:val="20"/>
        </w:rPr>
      </w:pPr>
    </w:p>
    <w:p w:rsidR="008D41E1" w:rsidRPr="007647BA" w:rsidRDefault="004A7A6E">
      <w:pPr>
        <w:snapToGrid w:val="0"/>
        <w:spacing w:after="0" w:line="240" w:lineRule="auto"/>
        <w:jc w:val="center"/>
        <w:rPr>
          <w:rFonts w:ascii="Times New Roman" w:hAnsi="Times New Roman" w:cs="Times New Roman"/>
          <w:b/>
          <w:caps/>
          <w:sz w:val="20"/>
          <w:szCs w:val="20"/>
        </w:rPr>
      </w:pPr>
      <w:r w:rsidRPr="007647BA">
        <w:rPr>
          <w:rFonts w:ascii="Times New Roman" w:hAnsi="Times New Roman" w:cs="Times New Roman"/>
          <w:b/>
          <w:sz w:val="20"/>
          <w:szCs w:val="20"/>
        </w:rPr>
        <w:t>Availability of Multimedia Instructional Aids in the Teaching of Mathematics in Senior Secondary Schools within Minna Town</w:t>
      </w:r>
    </w:p>
    <w:p w:rsidR="008D41E1" w:rsidRPr="007647BA" w:rsidRDefault="008D41E1">
      <w:pPr>
        <w:snapToGrid w:val="0"/>
        <w:spacing w:after="0" w:line="240" w:lineRule="auto"/>
        <w:jc w:val="center"/>
        <w:rPr>
          <w:rFonts w:ascii="Times New Roman" w:hAnsi="Times New Roman" w:cs="Times New Roman"/>
          <w:b/>
          <w:caps/>
          <w:spacing w:val="-20"/>
          <w:sz w:val="20"/>
          <w:szCs w:val="20"/>
        </w:rPr>
      </w:pPr>
    </w:p>
    <w:p w:rsidR="008D41E1" w:rsidRPr="007647BA" w:rsidRDefault="004A7A6E">
      <w:pPr>
        <w:snapToGrid w:val="0"/>
        <w:spacing w:after="0" w:line="240" w:lineRule="auto"/>
        <w:jc w:val="center"/>
        <w:rPr>
          <w:rFonts w:ascii="Times New Roman" w:hAnsi="Times New Roman" w:cs="Times New Roman"/>
          <w:bCs/>
          <w:sz w:val="20"/>
          <w:szCs w:val="20"/>
          <w:vertAlign w:val="superscript"/>
        </w:rPr>
      </w:pPr>
      <w:r w:rsidRPr="007647BA">
        <w:rPr>
          <w:rFonts w:ascii="Times New Roman" w:hAnsi="Times New Roman" w:cs="Times New Roman"/>
          <w:sz w:val="20"/>
          <w:szCs w:val="20"/>
        </w:rPr>
        <w:t>Liman Mohammed Alhaji</w:t>
      </w:r>
      <w:r w:rsidRPr="007647BA">
        <w:rPr>
          <w:rFonts w:ascii="Times New Roman" w:hAnsi="Times New Roman" w:cs="Times New Roman"/>
          <w:sz w:val="20"/>
          <w:szCs w:val="20"/>
          <w:vertAlign w:val="superscript"/>
        </w:rPr>
        <w:t>1</w:t>
      </w:r>
      <w:r w:rsidRPr="007647BA">
        <w:rPr>
          <w:rFonts w:ascii="Times New Roman" w:hAnsi="Times New Roman" w:cs="Times New Roman"/>
          <w:sz w:val="20"/>
          <w:szCs w:val="20"/>
        </w:rPr>
        <w:t>, Salahudeen Yusuf</w:t>
      </w:r>
      <w:r w:rsidRPr="007647BA">
        <w:rPr>
          <w:rFonts w:ascii="Times New Roman" w:hAnsi="Times New Roman" w:cs="Times New Roman"/>
          <w:sz w:val="20"/>
          <w:szCs w:val="20"/>
          <w:vertAlign w:val="superscript"/>
        </w:rPr>
        <w:t>2</w:t>
      </w:r>
      <w:r w:rsidRPr="007647BA">
        <w:rPr>
          <w:rFonts w:ascii="Times New Roman" w:hAnsi="Times New Roman" w:cs="Times New Roman"/>
          <w:sz w:val="20"/>
          <w:szCs w:val="20"/>
        </w:rPr>
        <w:t>, Mas’ud Balarabe</w:t>
      </w:r>
      <w:r w:rsidRPr="007647BA">
        <w:rPr>
          <w:rFonts w:ascii="Times New Roman" w:hAnsi="Times New Roman" w:cs="Times New Roman"/>
          <w:sz w:val="20"/>
          <w:szCs w:val="20"/>
          <w:vertAlign w:val="superscript"/>
        </w:rPr>
        <w:t>3</w:t>
      </w:r>
      <w:r w:rsidRPr="007647BA">
        <w:rPr>
          <w:rFonts w:ascii="Times New Roman" w:hAnsi="Times New Roman" w:cs="Times New Roman"/>
          <w:sz w:val="20"/>
          <w:szCs w:val="20"/>
        </w:rPr>
        <w:t xml:space="preserve">, </w:t>
      </w:r>
      <w:r w:rsidRPr="007647BA">
        <w:rPr>
          <w:rFonts w:ascii="Times New Roman" w:hAnsi="Times New Roman" w:cs="Times New Roman"/>
          <w:bCs/>
          <w:sz w:val="20"/>
          <w:szCs w:val="20"/>
        </w:rPr>
        <w:t>Yusuf Isiaka</w:t>
      </w:r>
      <w:r w:rsidRPr="007647BA">
        <w:rPr>
          <w:rFonts w:ascii="Times New Roman" w:hAnsi="Times New Roman" w:cs="Times New Roman"/>
          <w:bCs/>
          <w:sz w:val="20"/>
          <w:szCs w:val="20"/>
          <w:vertAlign w:val="superscript"/>
        </w:rPr>
        <w:t>4</w:t>
      </w:r>
    </w:p>
    <w:p w:rsidR="008D41E1" w:rsidRPr="007647BA" w:rsidRDefault="008D41E1">
      <w:pPr>
        <w:snapToGrid w:val="0"/>
        <w:spacing w:after="0" w:line="240" w:lineRule="auto"/>
        <w:jc w:val="center"/>
        <w:rPr>
          <w:rFonts w:ascii="Times New Roman" w:hAnsi="Times New Roman" w:cs="Times New Roman"/>
          <w:bCs/>
          <w:sz w:val="20"/>
          <w:szCs w:val="20"/>
          <w:vertAlign w:val="superscript"/>
        </w:rPr>
      </w:pPr>
    </w:p>
    <w:p w:rsidR="008D41E1" w:rsidRPr="007647BA" w:rsidRDefault="004A7A6E">
      <w:pPr>
        <w:snapToGrid w:val="0"/>
        <w:spacing w:after="0" w:line="240" w:lineRule="auto"/>
        <w:jc w:val="center"/>
        <w:rPr>
          <w:rFonts w:ascii="Times New Roman" w:hAnsi="Times New Roman" w:cs="Times New Roman"/>
          <w:bCs/>
          <w:caps/>
          <w:sz w:val="20"/>
          <w:szCs w:val="20"/>
        </w:rPr>
      </w:pPr>
      <w:r w:rsidRPr="007647BA">
        <w:rPr>
          <w:rFonts w:ascii="Times New Roman" w:hAnsi="Times New Roman" w:cs="Times New Roman"/>
          <w:bCs/>
          <w:sz w:val="20"/>
          <w:szCs w:val="20"/>
          <w:vertAlign w:val="superscript"/>
        </w:rPr>
        <w:t>1</w:t>
      </w:r>
      <w:r w:rsidRPr="007647BA">
        <w:rPr>
          <w:rFonts w:ascii="Times New Roman" w:hAnsi="Times New Roman" w:cs="Times New Roman"/>
          <w:bCs/>
          <w:sz w:val="20"/>
          <w:szCs w:val="20"/>
        </w:rPr>
        <w:t>Department of Mathematics, Niger State College of Education Minna</w:t>
      </w:r>
    </w:p>
    <w:p w:rsidR="008D41E1" w:rsidRPr="007647BA" w:rsidRDefault="004A7A6E">
      <w:pPr>
        <w:snapToGrid w:val="0"/>
        <w:spacing w:after="0" w:line="240" w:lineRule="auto"/>
        <w:jc w:val="center"/>
        <w:rPr>
          <w:rFonts w:ascii="Times New Roman" w:hAnsi="Times New Roman" w:cs="Times New Roman"/>
          <w:bCs/>
          <w:caps/>
          <w:sz w:val="20"/>
          <w:szCs w:val="20"/>
        </w:rPr>
      </w:pPr>
      <w:r w:rsidRPr="007647BA">
        <w:rPr>
          <w:rFonts w:ascii="Times New Roman" w:hAnsi="Times New Roman" w:cs="Times New Roman"/>
          <w:bCs/>
          <w:sz w:val="20"/>
          <w:szCs w:val="20"/>
          <w:vertAlign w:val="superscript"/>
        </w:rPr>
        <w:t>2</w:t>
      </w:r>
      <w:r w:rsidRPr="007647BA">
        <w:rPr>
          <w:rFonts w:ascii="Times New Roman" w:hAnsi="Times New Roman" w:cs="Times New Roman"/>
          <w:bCs/>
          <w:sz w:val="20"/>
          <w:szCs w:val="20"/>
        </w:rPr>
        <w:t>General Studies Department, Niger State College of Education Minna</w:t>
      </w:r>
    </w:p>
    <w:p w:rsidR="008D41E1" w:rsidRPr="007647BA" w:rsidRDefault="004A7A6E">
      <w:pPr>
        <w:snapToGrid w:val="0"/>
        <w:spacing w:after="0" w:line="240" w:lineRule="auto"/>
        <w:jc w:val="center"/>
        <w:rPr>
          <w:rFonts w:ascii="Times New Roman" w:hAnsi="Times New Roman" w:cs="Times New Roman"/>
          <w:bCs/>
          <w:sz w:val="20"/>
          <w:szCs w:val="20"/>
        </w:rPr>
      </w:pPr>
      <w:r w:rsidRPr="007647BA">
        <w:rPr>
          <w:rFonts w:ascii="Times New Roman" w:hAnsi="Times New Roman" w:cs="Times New Roman"/>
          <w:bCs/>
          <w:sz w:val="20"/>
          <w:szCs w:val="20"/>
          <w:vertAlign w:val="superscript"/>
        </w:rPr>
        <w:t xml:space="preserve">3 &amp; 4 </w:t>
      </w:r>
      <w:r w:rsidRPr="007647BA">
        <w:rPr>
          <w:rFonts w:ascii="Times New Roman" w:hAnsi="Times New Roman" w:cs="Times New Roman"/>
          <w:bCs/>
          <w:sz w:val="20"/>
          <w:szCs w:val="20"/>
        </w:rPr>
        <w:t>Department of Computer Science, Niger State College of Education Minna</w:t>
      </w:r>
    </w:p>
    <w:p w:rsidR="008D41E1" w:rsidRPr="007647BA" w:rsidRDefault="008D41E1">
      <w:pPr>
        <w:snapToGrid w:val="0"/>
        <w:spacing w:after="0" w:line="240" w:lineRule="auto"/>
        <w:jc w:val="center"/>
        <w:rPr>
          <w:rFonts w:ascii="Times New Roman" w:hAnsi="Times New Roman" w:cs="Times New Roman"/>
          <w:bCs/>
          <w:sz w:val="20"/>
          <w:szCs w:val="20"/>
        </w:rPr>
      </w:pPr>
      <w:hyperlink r:id="rId8" w:history="1">
        <w:r w:rsidR="004A7A6E" w:rsidRPr="007647BA">
          <w:rPr>
            <w:rStyle w:val="Hyperlink"/>
            <w:rFonts w:ascii="Times New Roman" w:hAnsi="Times New Roman" w:cs="Times New Roman"/>
            <w:bCs/>
            <w:sz w:val="20"/>
            <w:szCs w:val="20"/>
          </w:rPr>
          <w:t>limanmohammedalhaji@gmail.com</w:t>
        </w:r>
      </w:hyperlink>
    </w:p>
    <w:p w:rsidR="008D41E1" w:rsidRPr="007647BA" w:rsidRDefault="008D41E1">
      <w:pPr>
        <w:snapToGrid w:val="0"/>
        <w:spacing w:after="0" w:line="240" w:lineRule="auto"/>
        <w:jc w:val="both"/>
        <w:rPr>
          <w:rFonts w:ascii="Times New Roman" w:hAnsi="Times New Roman" w:cs="Times New Roman"/>
          <w:b/>
          <w:bCs/>
          <w:caps/>
          <w:sz w:val="20"/>
          <w:szCs w:val="20"/>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b/>
          <w:bCs/>
          <w:sz w:val="20"/>
          <w:szCs w:val="20"/>
        </w:rPr>
        <w:t>A</w:t>
      </w:r>
      <w:r w:rsidRPr="007647BA">
        <w:rPr>
          <w:rFonts w:ascii="Times New Roman" w:hAnsi="Times New Roman" w:cs="Times New Roman"/>
          <w:b/>
          <w:sz w:val="20"/>
          <w:szCs w:val="20"/>
        </w:rPr>
        <w:t xml:space="preserve">bstract: </w:t>
      </w:r>
      <w:r w:rsidRPr="007647BA">
        <w:rPr>
          <w:rFonts w:ascii="Times New Roman" w:hAnsi="Times New Roman" w:cs="Times New Roman"/>
          <w:sz w:val="20"/>
          <w:szCs w:val="20"/>
        </w:rPr>
        <w:t>The study focused on the prospects and challenges of the use of multimedia instructional aids in teaching of Mathematics in Senior Secondary Schools within Minna Town. The ob</w:t>
      </w:r>
      <w:r w:rsidRPr="007647BA">
        <w:rPr>
          <w:rFonts w:ascii="Times New Roman" w:hAnsi="Times New Roman" w:cs="Times New Roman"/>
          <w:sz w:val="20"/>
          <w:szCs w:val="20"/>
        </w:rPr>
        <w:t>jective of the study among others was to investigate the adequacy of multimedia facilities for teaching and learning Mathematics in secondary schools within Minna town. Four research questions were formulated to guide the study. Descriptive survey research</w:t>
      </w:r>
      <w:r w:rsidRPr="007647BA">
        <w:rPr>
          <w:rFonts w:ascii="Times New Roman" w:hAnsi="Times New Roman" w:cs="Times New Roman"/>
          <w:sz w:val="20"/>
          <w:szCs w:val="20"/>
        </w:rPr>
        <w:t xml:space="preserve"> design was adopted for the study. The population of the study comprised of all secondary school teachers within Minna town and a simple random sampling technique was used to select twenty (20) secondary schools from the population of study (consisting of </w:t>
      </w:r>
      <w:r w:rsidRPr="007647BA">
        <w:rPr>
          <w:rFonts w:ascii="Times New Roman" w:hAnsi="Times New Roman" w:cs="Times New Roman"/>
          <w:sz w:val="20"/>
          <w:szCs w:val="20"/>
        </w:rPr>
        <w:t>private and public schools). A simple random sampling using simple balloting was also used to select five (5) teachers from each selected school. This gives a sample size of one hundred (100). Out of the 100 respondents that were given the instrument, only</w:t>
      </w:r>
      <w:r w:rsidRPr="007647BA">
        <w:rPr>
          <w:rFonts w:ascii="Times New Roman" w:hAnsi="Times New Roman" w:cs="Times New Roman"/>
          <w:sz w:val="20"/>
          <w:szCs w:val="20"/>
        </w:rPr>
        <w:t xml:space="preserve"> 80 were retrieved which gives a response rate of 80%. A well-structured questionnaire which was validated by three experts was used to collect data for the study. The Pearson’s Product Moment Correlation was carried out and a coefficient of 0.81 shows a v</w:t>
      </w:r>
      <w:r w:rsidRPr="007647BA">
        <w:rPr>
          <w:rFonts w:ascii="Times New Roman" w:hAnsi="Times New Roman" w:cs="Times New Roman"/>
          <w:sz w:val="20"/>
          <w:szCs w:val="20"/>
        </w:rPr>
        <w:t>ery strong reliability for the instrument. The data collected from the study were analyzed using descriptive statistics. Findings from the study revealed that majority of the respondents do not have access to the multimedia resources in schools and that th</w:t>
      </w:r>
      <w:r w:rsidRPr="007647BA">
        <w:rPr>
          <w:rFonts w:ascii="Times New Roman" w:hAnsi="Times New Roman" w:cs="Times New Roman"/>
          <w:sz w:val="20"/>
          <w:szCs w:val="20"/>
        </w:rPr>
        <w:t xml:space="preserve">ey did not make use of the multimedia resources in practical teaching. It is recommended among others that the Nigerian (federal) government and proprietors of private schools should support the teaching of Mathematics by allocating and releasing adequate </w:t>
      </w:r>
      <w:r w:rsidRPr="007647BA">
        <w:rPr>
          <w:rFonts w:ascii="Times New Roman" w:hAnsi="Times New Roman" w:cs="Times New Roman"/>
          <w:sz w:val="20"/>
          <w:szCs w:val="20"/>
        </w:rPr>
        <w:t>funds to invest in massive Internet connectivity, as well as purchase and installation of ICT infrastructures in secondary schools.</w:t>
      </w:r>
    </w:p>
    <w:p w:rsidR="008D41E1" w:rsidRPr="007647BA" w:rsidRDefault="004A7A6E">
      <w:pPr>
        <w:snapToGrid w:val="0"/>
        <w:spacing w:after="0" w:line="240" w:lineRule="auto"/>
        <w:jc w:val="both"/>
        <w:rPr>
          <w:rFonts w:ascii="Times New Roman" w:eastAsia="Times New Roman" w:hAnsi="Times New Roman" w:cs="Times New Roman"/>
          <w:color w:val="0000FF"/>
          <w:sz w:val="20"/>
          <w:szCs w:val="20"/>
          <w:u w:val="single"/>
          <w:lang w:eastAsia="ar-SA"/>
        </w:rPr>
      </w:pPr>
      <w:r w:rsidRPr="007647BA">
        <w:rPr>
          <w:rFonts w:ascii="Times New Roman" w:eastAsia="宋体" w:hAnsi="Times New Roman" w:cs="Times New Roman"/>
          <w:color w:val="000000"/>
          <w:sz w:val="20"/>
          <w:szCs w:val="20"/>
          <w:lang w:eastAsia="ar-SA"/>
        </w:rPr>
        <w:t>[</w:t>
      </w:r>
      <w:r w:rsidRPr="007647BA">
        <w:rPr>
          <w:rFonts w:ascii="Times New Roman" w:eastAsia="宋体" w:hAnsi="Times New Roman" w:cs="Times New Roman"/>
          <w:sz w:val="20"/>
          <w:szCs w:val="20"/>
          <w:lang w:eastAsia="ar-SA"/>
        </w:rPr>
        <w:t xml:space="preserve">Liman MA, Salahudeen S, Mas’ud B, Yusuf I. </w:t>
      </w:r>
      <w:r w:rsidRPr="007647BA">
        <w:rPr>
          <w:rFonts w:ascii="Times New Roman" w:hAnsi="Times New Roman" w:cs="Times New Roman"/>
          <w:b/>
          <w:sz w:val="20"/>
          <w:szCs w:val="20"/>
        </w:rPr>
        <w:t xml:space="preserve">Availability of Multimedia instructional Aids in the Teaching of Mathematics in </w:t>
      </w:r>
      <w:r w:rsidRPr="007647BA">
        <w:rPr>
          <w:rFonts w:ascii="Times New Roman" w:hAnsi="Times New Roman" w:cs="Times New Roman"/>
          <w:b/>
          <w:sz w:val="20"/>
          <w:szCs w:val="20"/>
        </w:rPr>
        <w:t>Senior Secondary Schools within Minna Town</w:t>
      </w:r>
      <w:r w:rsidRPr="007647BA">
        <w:rPr>
          <w:rFonts w:ascii="Times New Roman" w:hAnsi="Times New Roman" w:cs="Times New Roman" w:hint="eastAsia"/>
          <w:b/>
          <w:caps/>
          <w:sz w:val="20"/>
          <w:szCs w:val="20"/>
          <w:lang w:eastAsia="zh-CN"/>
        </w:rPr>
        <w:t>.</w:t>
      </w:r>
      <w:r w:rsidR="007647BA">
        <w:rPr>
          <w:rFonts w:ascii="Times New Roman" w:hAnsi="Times New Roman" w:cs="Times New Roman" w:hint="eastAsia"/>
          <w:b/>
          <w:caps/>
          <w:sz w:val="20"/>
          <w:szCs w:val="20"/>
          <w:lang w:eastAsia="zh-CN"/>
        </w:rPr>
        <w:t xml:space="preserve"> </w:t>
      </w:r>
      <w:r w:rsidRPr="007647BA">
        <w:rPr>
          <w:rFonts w:ascii="Times New Roman" w:hAnsi="Times New Roman" w:cs="Times New Roman"/>
          <w:i/>
          <w:sz w:val="20"/>
          <w:szCs w:val="20"/>
        </w:rPr>
        <w:t>Researcher</w:t>
      </w:r>
      <w:r w:rsidR="007647BA">
        <w:rPr>
          <w:rFonts w:ascii="Times New Roman" w:hAnsi="Times New Roman" w:cs="Times New Roman" w:hint="eastAsia"/>
          <w:i/>
          <w:sz w:val="20"/>
          <w:szCs w:val="20"/>
          <w:lang w:eastAsia="zh-CN"/>
        </w:rPr>
        <w:t xml:space="preserve"> </w:t>
      </w:r>
      <w:r w:rsidRPr="007647BA">
        <w:rPr>
          <w:rFonts w:ascii="Times New Roman" w:hAnsi="Times New Roman" w:cs="Times New Roman"/>
          <w:sz w:val="20"/>
          <w:szCs w:val="20"/>
        </w:rPr>
        <w:t>202</w:t>
      </w:r>
      <w:r w:rsidRPr="007647BA">
        <w:rPr>
          <w:rFonts w:ascii="Times New Roman" w:eastAsia="宋体" w:hAnsi="Times New Roman" w:cs="Times New Roman"/>
          <w:sz w:val="20"/>
          <w:szCs w:val="20"/>
          <w:lang w:eastAsia="zh-CN"/>
        </w:rPr>
        <w:t>2</w:t>
      </w:r>
      <w:r w:rsidRPr="007647BA">
        <w:rPr>
          <w:rFonts w:ascii="Times New Roman" w:hAnsi="Times New Roman" w:cs="Times New Roman"/>
          <w:sz w:val="20"/>
          <w:szCs w:val="20"/>
        </w:rPr>
        <w:t>;1</w:t>
      </w:r>
      <w:r w:rsidRPr="007647BA">
        <w:rPr>
          <w:rFonts w:ascii="Times New Roman" w:eastAsia="宋体" w:hAnsi="Times New Roman" w:cs="Times New Roman"/>
          <w:sz w:val="20"/>
          <w:szCs w:val="20"/>
          <w:lang w:eastAsia="zh-CN"/>
        </w:rPr>
        <w:t>4</w:t>
      </w:r>
      <w:r w:rsidRPr="007647BA">
        <w:rPr>
          <w:rFonts w:ascii="Times New Roman" w:hAnsi="Times New Roman" w:cs="Times New Roman"/>
          <w:sz w:val="20"/>
          <w:szCs w:val="20"/>
        </w:rPr>
        <w:t>(</w:t>
      </w:r>
      <w:r w:rsidRPr="007647BA">
        <w:rPr>
          <w:rFonts w:ascii="Times New Roman" w:hAnsi="Times New Roman" w:cs="Times New Roman"/>
          <w:sz w:val="20"/>
          <w:szCs w:val="20"/>
          <w:lang w:eastAsia="zh-CN"/>
        </w:rPr>
        <w:t>1</w:t>
      </w:r>
      <w:r w:rsidRPr="007647BA">
        <w:rPr>
          <w:rFonts w:ascii="Times New Roman" w:hAnsi="Times New Roman" w:cs="Times New Roman"/>
          <w:sz w:val="20"/>
          <w:szCs w:val="20"/>
        </w:rPr>
        <w:t>):</w:t>
      </w:r>
      <w:r w:rsidRPr="007647BA">
        <w:rPr>
          <w:rFonts w:ascii="Times New Roman" w:hAnsi="Times New Roman" w:cs="Times New Roman" w:hint="eastAsia"/>
          <w:sz w:val="20"/>
          <w:szCs w:val="20"/>
          <w:lang w:eastAsia="zh-CN"/>
        </w:rPr>
        <w:t>5</w:t>
      </w:r>
      <w:r w:rsidR="007647BA">
        <w:rPr>
          <w:rFonts w:ascii="Times New Roman" w:hAnsi="Times New Roman" w:cs="Times New Roman" w:hint="eastAsia"/>
          <w:sz w:val="20"/>
          <w:szCs w:val="20"/>
          <w:lang w:eastAsia="zh-CN"/>
        </w:rPr>
        <w:t>5</w:t>
      </w:r>
      <w:r w:rsidRPr="007647BA">
        <w:rPr>
          <w:rFonts w:ascii="Times New Roman" w:hAnsi="Times New Roman" w:cs="Times New Roman"/>
          <w:sz w:val="20"/>
          <w:szCs w:val="20"/>
        </w:rPr>
        <w:t>-</w:t>
      </w:r>
      <w:r w:rsidRPr="007647BA">
        <w:rPr>
          <w:rFonts w:ascii="Times New Roman" w:hAnsi="Times New Roman" w:cs="Times New Roman" w:hint="eastAsia"/>
          <w:sz w:val="20"/>
          <w:szCs w:val="20"/>
          <w:lang w:eastAsia="zh-CN"/>
        </w:rPr>
        <w:t>6</w:t>
      </w:r>
      <w:r w:rsidR="006371B0">
        <w:rPr>
          <w:rFonts w:ascii="Times New Roman" w:hAnsi="Times New Roman" w:cs="Times New Roman" w:hint="eastAsia"/>
          <w:sz w:val="20"/>
          <w:szCs w:val="20"/>
          <w:lang w:eastAsia="zh-CN"/>
        </w:rPr>
        <w:t>2</w:t>
      </w:r>
      <w:r w:rsidRPr="007647BA">
        <w:rPr>
          <w:rFonts w:ascii="Times New Roman" w:hAnsi="Times New Roman" w:cs="Times New Roman"/>
          <w:sz w:val="20"/>
          <w:szCs w:val="20"/>
        </w:rPr>
        <w:t>]</w:t>
      </w:r>
      <w:r w:rsidR="007647BA">
        <w:rPr>
          <w:rFonts w:ascii="Times New Roman" w:hAnsi="Times New Roman" w:cs="Times New Roman" w:hint="eastAsia"/>
          <w:sz w:val="20"/>
          <w:szCs w:val="20"/>
          <w:lang w:eastAsia="zh-CN"/>
        </w:rPr>
        <w:t xml:space="preserve"> </w:t>
      </w:r>
      <w:r w:rsidRPr="007647BA">
        <w:rPr>
          <w:rFonts w:ascii="Times New Roman" w:hAnsi="Times New Roman" w:cs="Times New Roman"/>
          <w:sz w:val="20"/>
          <w:szCs w:val="20"/>
        </w:rPr>
        <w:t>ISSN</w:t>
      </w:r>
      <w:r w:rsidR="007647BA">
        <w:rPr>
          <w:rFonts w:ascii="Times New Roman" w:hAnsi="Times New Roman" w:cs="Times New Roman" w:hint="eastAsia"/>
          <w:sz w:val="20"/>
          <w:szCs w:val="20"/>
          <w:lang w:eastAsia="zh-CN"/>
        </w:rPr>
        <w:t xml:space="preserve"> </w:t>
      </w:r>
      <w:r w:rsidRPr="007647BA">
        <w:rPr>
          <w:rFonts w:ascii="Times New Roman" w:hAnsi="Times New Roman" w:cs="Times New Roman"/>
          <w:sz w:val="20"/>
          <w:szCs w:val="20"/>
        </w:rPr>
        <w:t>1553-9865</w:t>
      </w:r>
      <w:r w:rsidR="007647BA">
        <w:rPr>
          <w:rFonts w:ascii="Times New Roman" w:hAnsi="Times New Roman" w:cs="Times New Roman" w:hint="eastAsia"/>
          <w:sz w:val="20"/>
          <w:szCs w:val="20"/>
          <w:lang w:eastAsia="zh-CN"/>
        </w:rPr>
        <w:t xml:space="preserve"> </w:t>
      </w:r>
      <w:r w:rsidRPr="007647BA">
        <w:rPr>
          <w:rFonts w:ascii="Times New Roman" w:hAnsi="Times New Roman" w:cs="Times New Roman"/>
          <w:sz w:val="20"/>
          <w:szCs w:val="20"/>
        </w:rPr>
        <w:t>(print);</w:t>
      </w:r>
      <w:r w:rsidR="007647BA">
        <w:rPr>
          <w:rFonts w:ascii="Times New Roman" w:hAnsi="Times New Roman" w:cs="Times New Roman" w:hint="eastAsia"/>
          <w:sz w:val="20"/>
          <w:szCs w:val="20"/>
          <w:lang w:eastAsia="zh-CN"/>
        </w:rPr>
        <w:t xml:space="preserve"> </w:t>
      </w:r>
      <w:r w:rsidRPr="007647BA">
        <w:rPr>
          <w:rFonts w:ascii="Times New Roman" w:hAnsi="Times New Roman" w:cs="Times New Roman"/>
          <w:sz w:val="20"/>
          <w:szCs w:val="20"/>
        </w:rPr>
        <w:t>ISSN</w:t>
      </w:r>
      <w:r w:rsidR="007647BA">
        <w:rPr>
          <w:rFonts w:ascii="Times New Roman" w:hAnsi="Times New Roman" w:cs="Times New Roman" w:hint="eastAsia"/>
          <w:sz w:val="20"/>
          <w:szCs w:val="20"/>
          <w:lang w:eastAsia="zh-CN"/>
        </w:rPr>
        <w:t xml:space="preserve"> </w:t>
      </w:r>
      <w:r w:rsidRPr="007647BA">
        <w:rPr>
          <w:rFonts w:ascii="Times New Roman" w:hAnsi="Times New Roman" w:cs="Times New Roman"/>
          <w:sz w:val="20"/>
          <w:szCs w:val="20"/>
        </w:rPr>
        <w:t>2163-8950</w:t>
      </w:r>
      <w:r w:rsidR="007647BA">
        <w:rPr>
          <w:rFonts w:ascii="Times New Roman" w:hAnsi="Times New Roman" w:cs="Times New Roman" w:hint="eastAsia"/>
          <w:sz w:val="20"/>
          <w:szCs w:val="20"/>
          <w:lang w:eastAsia="zh-CN"/>
        </w:rPr>
        <w:t xml:space="preserve"> </w:t>
      </w:r>
      <w:r w:rsidRPr="007647BA">
        <w:rPr>
          <w:rFonts w:ascii="Times New Roman" w:hAnsi="Times New Roman" w:cs="Times New Roman"/>
          <w:sz w:val="20"/>
          <w:szCs w:val="20"/>
        </w:rPr>
        <w:t>(online).</w:t>
      </w:r>
      <w:r w:rsidR="007647BA">
        <w:rPr>
          <w:rFonts w:ascii="Times New Roman" w:hAnsi="Times New Roman" w:cs="Times New Roman" w:hint="eastAsia"/>
          <w:sz w:val="20"/>
          <w:szCs w:val="20"/>
          <w:lang w:eastAsia="zh-CN"/>
        </w:rPr>
        <w:t xml:space="preserve"> </w:t>
      </w:r>
      <w:hyperlink r:id="rId9" w:history="1">
        <w:r w:rsidRPr="007647BA">
          <w:rPr>
            <w:rStyle w:val="Hyperlink"/>
            <w:rFonts w:ascii="Times New Roman" w:hAnsi="Times New Roman" w:cs="Times New Roman"/>
            <w:sz w:val="20"/>
            <w:szCs w:val="20"/>
          </w:rPr>
          <w:t>http://www.sciencepub.net/researcher</w:t>
        </w:r>
      </w:hyperlink>
      <w:r w:rsidRPr="007647BA">
        <w:rPr>
          <w:rFonts w:ascii="Times New Roman" w:hAnsi="Times New Roman" w:cs="Times New Roman"/>
          <w:sz w:val="20"/>
          <w:szCs w:val="20"/>
        </w:rPr>
        <w:t>.</w:t>
      </w:r>
      <w:r w:rsidRPr="007647BA">
        <w:rPr>
          <w:rFonts w:ascii="Times New Roman" w:eastAsia="宋体" w:hAnsi="Times New Roman" w:cs="Times New Roman"/>
          <w:sz w:val="20"/>
          <w:szCs w:val="20"/>
          <w:lang w:eastAsia="zh-CN"/>
        </w:rPr>
        <w:t xml:space="preserve"> </w:t>
      </w:r>
      <w:r w:rsidRPr="007647BA">
        <w:rPr>
          <w:rFonts w:ascii="Times New Roman" w:eastAsia="宋体" w:hAnsi="Times New Roman" w:cs="Times New Roman" w:hint="eastAsia"/>
          <w:sz w:val="20"/>
          <w:szCs w:val="20"/>
          <w:lang w:eastAsia="zh-CN"/>
        </w:rPr>
        <w:t>5</w:t>
      </w:r>
      <w:r w:rsidRPr="007647BA">
        <w:rPr>
          <w:rFonts w:ascii="Times New Roman" w:eastAsia="宋体" w:hAnsi="Times New Roman" w:cs="Times New Roman" w:hint="eastAsia"/>
          <w:sz w:val="20"/>
          <w:szCs w:val="20"/>
          <w:lang w:eastAsia="zh-CN"/>
        </w:rPr>
        <w:t>.</w:t>
      </w:r>
      <w:r w:rsidR="007647BA">
        <w:rPr>
          <w:rFonts w:ascii="Times New Roman" w:eastAsia="宋体" w:hAnsi="Times New Roman" w:cs="Times New Roman" w:hint="eastAsia"/>
          <w:sz w:val="20"/>
          <w:szCs w:val="20"/>
          <w:lang w:eastAsia="zh-CN"/>
        </w:rPr>
        <w:t xml:space="preserve"> </w:t>
      </w:r>
      <w:r w:rsidRPr="007647BA">
        <w:rPr>
          <w:rFonts w:ascii="Times New Roman" w:hAnsi="Times New Roman" w:cs="Times New Roman"/>
          <w:sz w:val="20"/>
          <w:szCs w:val="20"/>
        </w:rPr>
        <w:t>doi:</w:t>
      </w:r>
      <w:hyperlink r:id="rId10" w:history="1">
        <w:r w:rsidRPr="007647BA">
          <w:rPr>
            <w:rStyle w:val="Hyperlink"/>
            <w:rFonts w:ascii="Times New Roman" w:hAnsi="Times New Roman" w:cs="Times New Roman"/>
            <w:sz w:val="20"/>
            <w:szCs w:val="20"/>
          </w:rPr>
          <w:t>10.7537/marsrsj14012</w:t>
        </w:r>
      </w:hyperlink>
      <w:r w:rsidRPr="007647BA">
        <w:rPr>
          <w:rStyle w:val="Hyperlink"/>
          <w:rFonts w:ascii="Times New Roman" w:eastAsia="宋体" w:hAnsi="Times New Roman" w:cs="Times New Roman"/>
          <w:sz w:val="20"/>
          <w:szCs w:val="20"/>
          <w:lang w:eastAsia="zh-CN"/>
        </w:rPr>
        <w:t>2</w:t>
      </w:r>
      <w:r w:rsidRPr="007647BA">
        <w:rPr>
          <w:rStyle w:val="Hyperlink"/>
          <w:rFonts w:ascii="Times New Roman" w:hAnsi="Times New Roman" w:cs="Times New Roman"/>
          <w:sz w:val="20"/>
          <w:szCs w:val="20"/>
        </w:rPr>
        <w:t>.</w:t>
      </w:r>
      <w:r w:rsidRPr="007647BA">
        <w:rPr>
          <w:rStyle w:val="Hyperlink"/>
          <w:rFonts w:ascii="Times New Roman" w:hAnsi="Times New Roman" w:cs="Times New Roman"/>
          <w:sz w:val="20"/>
          <w:szCs w:val="20"/>
          <w:lang w:eastAsia="zh-CN"/>
        </w:rPr>
        <w:t>0</w:t>
      </w:r>
      <w:r w:rsidRPr="007647BA">
        <w:rPr>
          <w:rStyle w:val="Hyperlink"/>
          <w:rFonts w:ascii="Times New Roman" w:hAnsi="Times New Roman" w:cs="Times New Roman" w:hint="eastAsia"/>
          <w:sz w:val="20"/>
          <w:szCs w:val="20"/>
          <w:lang w:eastAsia="zh-CN"/>
        </w:rPr>
        <w:t>5</w:t>
      </w:r>
      <w:r w:rsidRPr="007647BA">
        <w:rPr>
          <w:rStyle w:val="Hyperlink"/>
          <w:rFonts w:ascii="Times New Roman" w:hAnsi="Times New Roman" w:cs="Times New Roman"/>
          <w:sz w:val="20"/>
          <w:szCs w:val="20"/>
        </w:rPr>
        <w:t>.</w:t>
      </w:r>
    </w:p>
    <w:p w:rsidR="008D41E1" w:rsidRPr="007647BA" w:rsidRDefault="008D41E1">
      <w:pPr>
        <w:snapToGrid w:val="0"/>
        <w:spacing w:after="0" w:line="240" w:lineRule="auto"/>
        <w:jc w:val="both"/>
        <w:rPr>
          <w:rFonts w:ascii="Times New Roman" w:hAnsi="Times New Roman" w:cs="Times New Roman"/>
          <w:b/>
          <w:caps/>
          <w:sz w:val="20"/>
          <w:szCs w:val="20"/>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b/>
          <w:sz w:val="20"/>
          <w:szCs w:val="20"/>
        </w:rPr>
        <w:t xml:space="preserve">Keywords: </w:t>
      </w:r>
      <w:r w:rsidRPr="007647BA">
        <w:rPr>
          <w:rFonts w:ascii="Times New Roman" w:hAnsi="Times New Roman" w:cs="Times New Roman"/>
          <w:sz w:val="20"/>
          <w:szCs w:val="20"/>
        </w:rPr>
        <w:t>Multimedia instructional aids, Teaching of Mathematics, Senior secondary schools</w:t>
      </w:r>
    </w:p>
    <w:p w:rsidR="008D41E1" w:rsidRDefault="008D41E1">
      <w:pPr>
        <w:snapToGrid w:val="0"/>
        <w:spacing w:after="0" w:line="240" w:lineRule="auto"/>
        <w:jc w:val="both"/>
        <w:rPr>
          <w:rFonts w:ascii="Times New Roman" w:hAnsi="Times New Roman" w:cs="Times New Roman" w:hint="eastAsia"/>
          <w:sz w:val="20"/>
          <w:szCs w:val="20"/>
          <w:lang w:eastAsia="zh-CN"/>
        </w:rPr>
      </w:pPr>
    </w:p>
    <w:p w:rsidR="007647BA" w:rsidRPr="007647BA" w:rsidRDefault="007647BA">
      <w:pPr>
        <w:snapToGrid w:val="0"/>
        <w:spacing w:after="0" w:line="240" w:lineRule="auto"/>
        <w:jc w:val="both"/>
        <w:rPr>
          <w:rFonts w:ascii="Times New Roman" w:hAnsi="Times New Roman" w:cs="Times New Roman" w:hint="eastAsia"/>
          <w:sz w:val="20"/>
          <w:szCs w:val="20"/>
          <w:lang w:eastAsia="zh-CN"/>
        </w:rPr>
      </w:pPr>
    </w:p>
    <w:p w:rsidR="008D41E1" w:rsidRPr="007647BA" w:rsidRDefault="008D41E1">
      <w:pPr>
        <w:snapToGrid w:val="0"/>
        <w:spacing w:after="0" w:line="240" w:lineRule="auto"/>
        <w:jc w:val="both"/>
        <w:rPr>
          <w:rFonts w:ascii="Times New Roman" w:hAnsi="Times New Roman" w:cs="Times New Roman"/>
          <w:sz w:val="20"/>
          <w:szCs w:val="20"/>
        </w:rPr>
        <w:sectPr w:rsidR="008D41E1" w:rsidRPr="007647BA" w:rsidSect="007647B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55"/>
          <w:cols w:space="720"/>
          <w:titlePg/>
          <w:docGrid w:linePitch="360"/>
        </w:sectPr>
      </w:pPr>
    </w:p>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lastRenderedPageBreak/>
        <w:t>Introduction</w:t>
      </w:r>
    </w:p>
    <w:p w:rsidR="008D41E1" w:rsidRPr="007647BA" w:rsidRDefault="004A7A6E" w:rsidP="007647BA">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7647BA">
        <w:rPr>
          <w:rFonts w:ascii="Times New Roman" w:hAnsi="Times New Roman" w:cs="Times New Roman"/>
          <w:sz w:val="20"/>
          <w:szCs w:val="20"/>
        </w:rPr>
        <w:t xml:space="preserve">There is growing awareness in Nigeria that looking at the </w:t>
      </w:r>
      <w:r w:rsidRPr="007647BA">
        <w:rPr>
          <w:rFonts w:ascii="Times New Roman" w:hAnsi="Times New Roman" w:cs="Times New Roman"/>
          <w:sz w:val="20"/>
          <w:szCs w:val="20"/>
        </w:rPr>
        <w:t>future of education is important and necessary in order to better grasp the opportunities that will arise as societies move towards an increasingly digitalized, networked and knowledge-based society. The relevance of education to the growth and development</w:t>
      </w:r>
      <w:r w:rsidRPr="007647BA">
        <w:rPr>
          <w:rFonts w:ascii="Times New Roman" w:hAnsi="Times New Roman" w:cs="Times New Roman"/>
          <w:sz w:val="20"/>
          <w:szCs w:val="20"/>
        </w:rPr>
        <w:t xml:space="preserve"> of any nation cannot be over emphasized. Education is so crucial to economic growth that any nation that genuinely hopes to develop must vehemently and consistently appropriate a large chunk of the budget to developing its educational sector. This is beca</w:t>
      </w:r>
      <w:r w:rsidRPr="007647BA">
        <w:rPr>
          <w:rFonts w:ascii="Times New Roman" w:hAnsi="Times New Roman" w:cs="Times New Roman"/>
          <w:sz w:val="20"/>
          <w:szCs w:val="20"/>
        </w:rPr>
        <w:t>use without education, no nation would attain meaningful economic and socio-political development. A new vision of “computer technology in education” is needed that takes into account the shifts and trends (e.g. e-learning, web based learning, virtual libr</w:t>
      </w:r>
      <w:r w:rsidRPr="007647BA">
        <w:rPr>
          <w:rFonts w:ascii="Times New Roman" w:hAnsi="Times New Roman" w:cs="Times New Roman"/>
          <w:sz w:val="20"/>
          <w:szCs w:val="20"/>
        </w:rPr>
        <w:t xml:space="preserve">ary, globalization, migration, demographics, </w:t>
      </w:r>
      <w:r w:rsidRPr="007647BA">
        <w:rPr>
          <w:rFonts w:ascii="Times New Roman" w:hAnsi="Times New Roman" w:cs="Times New Roman"/>
          <w:sz w:val="20"/>
          <w:szCs w:val="20"/>
        </w:rPr>
        <w:lastRenderedPageBreak/>
        <w:t>technological progress) that are transforming the way people work, learn, transact business, enjoy themselves and make sense of their world (</w:t>
      </w:r>
      <w:bookmarkStart w:id="0" w:name="_Hlk73938733"/>
      <w:r w:rsidRPr="007647BA">
        <w:rPr>
          <w:rFonts w:ascii="Times New Roman" w:hAnsi="Times New Roman" w:cs="Times New Roman"/>
          <w:sz w:val="20"/>
          <w:szCs w:val="20"/>
        </w:rPr>
        <w:t>Adomi and Anie, 2006</w:t>
      </w:r>
      <w:bookmarkEnd w:id="0"/>
      <w:r w:rsidRPr="007647BA">
        <w:rPr>
          <w:rFonts w:ascii="Times New Roman" w:hAnsi="Times New Roman" w:cs="Times New Roman"/>
          <w:sz w:val="20"/>
          <w:szCs w:val="20"/>
        </w:rPr>
        <w:t>).</w:t>
      </w:r>
    </w:p>
    <w:p w:rsidR="008D41E1" w:rsidRPr="007647BA" w:rsidRDefault="004A7A6E" w:rsidP="007647BA">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7647BA">
        <w:rPr>
          <w:rFonts w:ascii="Times New Roman" w:hAnsi="Times New Roman" w:cs="Times New Roman"/>
          <w:sz w:val="20"/>
          <w:szCs w:val="20"/>
        </w:rPr>
        <w:t>The use of multimedia in industries has been ex</w:t>
      </w:r>
      <w:r w:rsidRPr="007647BA">
        <w:rPr>
          <w:rFonts w:ascii="Times New Roman" w:hAnsi="Times New Roman" w:cs="Times New Roman"/>
          <w:sz w:val="20"/>
          <w:szCs w:val="20"/>
        </w:rPr>
        <w:t>tensive, as it has been effective in increasing productivity and retention rates, where research has shown that people remember 20% of what they see, 40% of what they see and hear, but about 75% of what they see and hear and do simultaneously (</w:t>
      </w:r>
      <w:bookmarkStart w:id="1" w:name="_Hlk73938744"/>
      <w:r w:rsidRPr="007647BA">
        <w:rPr>
          <w:rFonts w:ascii="Times New Roman" w:hAnsi="Times New Roman" w:cs="Times New Roman"/>
          <w:sz w:val="20"/>
          <w:szCs w:val="20"/>
        </w:rPr>
        <w:t>Lindstrom, 2</w:t>
      </w:r>
      <w:r w:rsidRPr="007647BA">
        <w:rPr>
          <w:rFonts w:ascii="Times New Roman" w:hAnsi="Times New Roman" w:cs="Times New Roman"/>
          <w:sz w:val="20"/>
          <w:szCs w:val="20"/>
        </w:rPr>
        <w:t>012</w:t>
      </w:r>
      <w:bookmarkEnd w:id="1"/>
      <w:r w:rsidRPr="007647BA">
        <w:rPr>
          <w:rFonts w:ascii="Times New Roman" w:hAnsi="Times New Roman" w:cs="Times New Roman"/>
          <w:sz w:val="20"/>
          <w:szCs w:val="20"/>
        </w:rPr>
        <w:t>). Multimedia is now permeating the educational system as a tool for effective teaching and learning. With multimedia, the communication of information can be done in a more effective manner and it can be an effective instructional medium for delivering</w:t>
      </w:r>
      <w:r w:rsidRPr="007647BA">
        <w:rPr>
          <w:rFonts w:ascii="Times New Roman" w:hAnsi="Times New Roman" w:cs="Times New Roman"/>
          <w:sz w:val="20"/>
          <w:szCs w:val="20"/>
        </w:rPr>
        <w:t xml:space="preserve"> information. Multimedia access to knowledge is one of the possibilities of information and communication technology that has tremendous impact on learning. The instructional media have </w:t>
      </w:r>
      <w:r w:rsidRPr="007647BA">
        <w:rPr>
          <w:rFonts w:ascii="Times New Roman" w:hAnsi="Times New Roman" w:cs="Times New Roman"/>
          <w:sz w:val="20"/>
          <w:szCs w:val="20"/>
        </w:rPr>
        <w:lastRenderedPageBreak/>
        <w:t>emerged in a variety of resources, and equipment, which can be used to</w:t>
      </w:r>
      <w:r w:rsidRPr="007647BA">
        <w:rPr>
          <w:rFonts w:ascii="Times New Roman" w:hAnsi="Times New Roman" w:cs="Times New Roman"/>
          <w:sz w:val="20"/>
          <w:szCs w:val="20"/>
        </w:rPr>
        <w:t xml:space="preserve"> supplement or complement the teachers’ efforts in ensuring effective learning by students. It is recognized that conventional media technologies can no longer meet the needs of our teaching and learning processes; as a result they are being replaced by mu</w:t>
      </w:r>
      <w:r w:rsidRPr="007647BA">
        <w:rPr>
          <w:rFonts w:ascii="Times New Roman" w:hAnsi="Times New Roman" w:cs="Times New Roman"/>
          <w:sz w:val="20"/>
          <w:szCs w:val="20"/>
        </w:rPr>
        <w:t>ltimedia technology. This technology provides a learning environment that is self-paced, learner-controlled and individualized (</w:t>
      </w:r>
      <w:bookmarkStart w:id="2" w:name="_Hlk73938755"/>
      <w:r w:rsidRPr="007647BA">
        <w:rPr>
          <w:rFonts w:ascii="Times New Roman" w:hAnsi="Times New Roman" w:cs="Times New Roman"/>
          <w:sz w:val="20"/>
          <w:szCs w:val="20"/>
        </w:rPr>
        <w:t>Bottino, 2014</w:t>
      </w:r>
      <w:bookmarkEnd w:id="2"/>
      <w:r w:rsidRPr="007647BA">
        <w:rPr>
          <w:rFonts w:ascii="Times New Roman" w:hAnsi="Times New Roman" w:cs="Times New Roman"/>
          <w:sz w:val="20"/>
          <w:szCs w:val="20"/>
        </w:rPr>
        <w:t>).</w:t>
      </w:r>
    </w:p>
    <w:p w:rsidR="008D41E1" w:rsidRPr="007647BA" w:rsidRDefault="004A7A6E" w:rsidP="007647BA">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7647BA">
        <w:rPr>
          <w:rFonts w:ascii="Times New Roman" w:hAnsi="Times New Roman" w:cs="Times New Roman"/>
          <w:sz w:val="20"/>
          <w:szCs w:val="20"/>
        </w:rPr>
        <w:t>Multimedia in Education has been extremely effective in teaching individuals a wide range of subjects. Multimed</w:t>
      </w:r>
      <w:r w:rsidRPr="007647BA">
        <w:rPr>
          <w:rFonts w:ascii="Times New Roman" w:hAnsi="Times New Roman" w:cs="Times New Roman"/>
          <w:sz w:val="20"/>
          <w:szCs w:val="20"/>
        </w:rPr>
        <w:t>ia is changing the way we communicate with each other. The way we send and receive messages is more effectively done and better comprehended. While a lecture can be extremely informative, a lecture that integrates pictures or video images can help an indiv</w:t>
      </w:r>
      <w:r w:rsidRPr="007647BA">
        <w:rPr>
          <w:rFonts w:ascii="Times New Roman" w:hAnsi="Times New Roman" w:cs="Times New Roman"/>
          <w:sz w:val="20"/>
          <w:szCs w:val="20"/>
        </w:rPr>
        <w:t>idual learn and retain information much more effectively. Using interactive CD-ROMs can be extremely effective in teaching students a wide variety of disciplines, most notably languages and music. A multi-sensory experience can be created for the audience,</w:t>
      </w:r>
      <w:r w:rsidRPr="007647BA">
        <w:rPr>
          <w:rFonts w:ascii="Times New Roman" w:hAnsi="Times New Roman" w:cs="Times New Roman"/>
          <w:sz w:val="20"/>
          <w:szCs w:val="20"/>
        </w:rPr>
        <w:t xml:space="preserve"> which in turn, elicits positive attitudes towards its application (</w:t>
      </w:r>
      <w:bookmarkStart w:id="3" w:name="_Hlk73938772"/>
      <w:r w:rsidRPr="007647BA">
        <w:rPr>
          <w:rFonts w:ascii="Times New Roman" w:hAnsi="Times New Roman" w:cs="Times New Roman"/>
          <w:sz w:val="20"/>
          <w:szCs w:val="20"/>
        </w:rPr>
        <w:t>Neo and Neo, 200</w:t>
      </w:r>
      <w:bookmarkEnd w:id="3"/>
      <w:r w:rsidRPr="007647BA">
        <w:rPr>
          <w:rFonts w:ascii="Times New Roman" w:hAnsi="Times New Roman" w:cs="Times New Roman"/>
          <w:sz w:val="20"/>
          <w:szCs w:val="20"/>
        </w:rPr>
        <w:t>0). Multimedia has also been shown to elicit the highest rate of information retention and result in shorter learning time (</w:t>
      </w:r>
      <w:bookmarkStart w:id="4" w:name="_Hlk73938781"/>
      <w:r w:rsidRPr="007647BA">
        <w:rPr>
          <w:rFonts w:ascii="Times New Roman" w:hAnsi="Times New Roman" w:cs="Times New Roman"/>
          <w:sz w:val="20"/>
          <w:szCs w:val="20"/>
        </w:rPr>
        <w:t>Ng and Komiya, 2000</w:t>
      </w:r>
      <w:bookmarkEnd w:id="4"/>
      <w:r w:rsidRPr="007647BA">
        <w:rPr>
          <w:rFonts w:ascii="Times New Roman" w:hAnsi="Times New Roman" w:cs="Times New Roman"/>
          <w:sz w:val="20"/>
          <w:szCs w:val="20"/>
        </w:rPr>
        <w:t>). On the part of the creator</w:t>
      </w:r>
      <w:r w:rsidRPr="007647BA">
        <w:rPr>
          <w:rFonts w:ascii="Times New Roman" w:hAnsi="Times New Roman" w:cs="Times New Roman"/>
          <w:sz w:val="20"/>
          <w:szCs w:val="20"/>
        </w:rPr>
        <w:t>, designing a multimedia application that is interactive and multi-sensory can be both a challenge and thrill. Multimedia application design offers new insights into the learning process of the designer and forces him or her to represent information and kn</w:t>
      </w:r>
      <w:r w:rsidRPr="007647BA">
        <w:rPr>
          <w:rFonts w:ascii="Times New Roman" w:hAnsi="Times New Roman" w:cs="Times New Roman"/>
          <w:sz w:val="20"/>
          <w:szCs w:val="20"/>
        </w:rPr>
        <w:t>owledge in a new and innovative way (</w:t>
      </w:r>
      <w:bookmarkStart w:id="5" w:name="_Hlk73938791"/>
      <w:r w:rsidRPr="007647BA">
        <w:rPr>
          <w:rFonts w:ascii="Times New Roman" w:hAnsi="Times New Roman" w:cs="Times New Roman"/>
          <w:sz w:val="20"/>
          <w:szCs w:val="20"/>
        </w:rPr>
        <w:t>Agnew et al, 2006</w:t>
      </w:r>
      <w:bookmarkEnd w:id="5"/>
      <w:r w:rsidRPr="007647BA">
        <w:rPr>
          <w:rFonts w:ascii="Times New Roman" w:hAnsi="Times New Roman" w:cs="Times New Roman"/>
          <w:sz w:val="20"/>
          <w:szCs w:val="20"/>
        </w:rPr>
        <w:t xml:space="preserve">). However, information technology application serves different purposes, such as knowledge sharing-portal, search engines, public administration, social service and business solution. </w:t>
      </w:r>
    </w:p>
    <w:p w:rsidR="008D41E1" w:rsidRPr="007647BA" w:rsidRDefault="004A7A6E" w:rsidP="007647BA">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bookmarkStart w:id="6" w:name="_Hlk73938799"/>
      <w:r w:rsidRPr="007647BA">
        <w:rPr>
          <w:rFonts w:ascii="Times New Roman" w:hAnsi="Times New Roman" w:cs="Times New Roman"/>
          <w:sz w:val="20"/>
          <w:szCs w:val="20"/>
        </w:rPr>
        <w:t xml:space="preserve">Oshodi (2009) </w:t>
      </w:r>
      <w:bookmarkEnd w:id="6"/>
      <w:r w:rsidRPr="007647BA">
        <w:rPr>
          <w:rFonts w:ascii="Times New Roman" w:hAnsi="Times New Roman" w:cs="Times New Roman"/>
          <w:sz w:val="20"/>
          <w:szCs w:val="20"/>
        </w:rPr>
        <w:t>po</w:t>
      </w:r>
      <w:r w:rsidRPr="007647BA">
        <w:rPr>
          <w:rFonts w:ascii="Times New Roman" w:hAnsi="Times New Roman" w:cs="Times New Roman"/>
          <w:sz w:val="20"/>
          <w:szCs w:val="20"/>
        </w:rPr>
        <w:t>sits that awareness created towards the use of information and communication technology over the years is increasing in the classroom learning environment in the third world such that mere verbalization of words alone in the classroom to communicate ideas,</w:t>
      </w:r>
      <w:r w:rsidRPr="007647BA">
        <w:rPr>
          <w:rFonts w:ascii="Times New Roman" w:hAnsi="Times New Roman" w:cs="Times New Roman"/>
          <w:sz w:val="20"/>
          <w:szCs w:val="20"/>
        </w:rPr>
        <w:t xml:space="preserve"> skills and attitude to educate learner is futile. </w:t>
      </w:r>
      <w:bookmarkStart w:id="7" w:name="_Hlk73938808"/>
      <w:r w:rsidRPr="007647BA">
        <w:rPr>
          <w:rFonts w:ascii="Times New Roman" w:hAnsi="Times New Roman" w:cs="Times New Roman"/>
          <w:sz w:val="20"/>
          <w:szCs w:val="20"/>
        </w:rPr>
        <w:t>Omagbemi (2004)</w:t>
      </w:r>
      <w:bookmarkEnd w:id="7"/>
      <w:r w:rsidRPr="007647BA">
        <w:rPr>
          <w:rFonts w:ascii="Times New Roman" w:hAnsi="Times New Roman" w:cs="Times New Roman"/>
          <w:sz w:val="20"/>
          <w:szCs w:val="20"/>
        </w:rPr>
        <w:t xml:space="preserve"> supporting this view expressed that access to multimedia information could stimulate changes and creates conductive learning environment and make learning more meaningful and responsive to </w:t>
      </w:r>
      <w:r w:rsidRPr="007647BA">
        <w:rPr>
          <w:rFonts w:ascii="Times New Roman" w:hAnsi="Times New Roman" w:cs="Times New Roman"/>
          <w:sz w:val="20"/>
          <w:szCs w:val="20"/>
        </w:rPr>
        <w:t>the localized and specific needs of learners.</w:t>
      </w:r>
    </w:p>
    <w:p w:rsidR="008D41E1" w:rsidRPr="007647BA" w:rsidRDefault="004A7A6E" w:rsidP="007647BA">
      <w:pPr>
        <w:autoSpaceDE w:val="0"/>
        <w:autoSpaceDN w:val="0"/>
        <w:adjustRightInd w:val="0"/>
        <w:snapToGrid w:val="0"/>
        <w:spacing w:after="0" w:line="240" w:lineRule="auto"/>
        <w:ind w:firstLineChars="354" w:firstLine="708"/>
        <w:jc w:val="both"/>
        <w:rPr>
          <w:rFonts w:ascii="Times New Roman" w:hAnsi="Times New Roman" w:cs="Times New Roman"/>
          <w:sz w:val="20"/>
          <w:szCs w:val="20"/>
        </w:rPr>
      </w:pPr>
      <w:r w:rsidRPr="007647BA">
        <w:rPr>
          <w:rFonts w:ascii="Times New Roman" w:hAnsi="Times New Roman" w:cs="Times New Roman"/>
          <w:sz w:val="20"/>
          <w:szCs w:val="20"/>
        </w:rPr>
        <w:t>Mathematics is a core subject taught at the secondary school level because it is believed to be essential in laying a solid foundation for the teaching of other subjects like Physics, Chemistry, Financial</w:t>
      </w:r>
      <w:r w:rsidRPr="007647BA">
        <w:rPr>
          <w:rFonts w:ascii="Times New Roman" w:hAnsi="Times New Roman" w:cs="Times New Roman"/>
          <w:sz w:val="20"/>
          <w:szCs w:val="20"/>
        </w:rPr>
        <w:t xml:space="preserve"> Accounting, Economics, and Geography at the Senior Secondary School level and courses such as </w:t>
      </w:r>
      <w:r w:rsidRPr="007647BA">
        <w:rPr>
          <w:rFonts w:ascii="Times New Roman" w:hAnsi="Times New Roman" w:cs="Times New Roman"/>
          <w:sz w:val="20"/>
          <w:szCs w:val="20"/>
        </w:rPr>
        <w:lastRenderedPageBreak/>
        <w:t>Engineering, Economics, Business Management and other Science courses cannot be studied in higher institutions without a good foundation of Mathematics. This exp</w:t>
      </w:r>
      <w:r w:rsidRPr="007647BA">
        <w:rPr>
          <w:rFonts w:ascii="Times New Roman" w:hAnsi="Times New Roman" w:cs="Times New Roman"/>
          <w:sz w:val="20"/>
          <w:szCs w:val="20"/>
        </w:rPr>
        <w:t>lains why Mathematics is a major requirement for entry into any higher institutions in Nigeria (</w:t>
      </w:r>
      <w:bookmarkStart w:id="8" w:name="_Hlk73938871"/>
      <w:r w:rsidRPr="007647BA">
        <w:rPr>
          <w:rFonts w:ascii="Times New Roman" w:hAnsi="Times New Roman" w:cs="Times New Roman"/>
          <w:sz w:val="20"/>
          <w:szCs w:val="20"/>
        </w:rPr>
        <w:t>Salehdeen and Murtala, 2004</w:t>
      </w:r>
      <w:bookmarkEnd w:id="8"/>
      <w:r w:rsidRPr="007647BA">
        <w:rPr>
          <w:rFonts w:ascii="Times New Roman" w:hAnsi="Times New Roman" w:cs="Times New Roman"/>
          <w:sz w:val="20"/>
          <w:szCs w:val="20"/>
        </w:rPr>
        <w:t>). The performance of students in Mathematics at secondary school level could therefore influence their choice of career in future. T</w:t>
      </w:r>
      <w:r w:rsidRPr="007647BA">
        <w:rPr>
          <w:rFonts w:ascii="Times New Roman" w:hAnsi="Times New Roman" w:cs="Times New Roman"/>
          <w:sz w:val="20"/>
          <w:szCs w:val="20"/>
        </w:rPr>
        <w:t>he facilities required for effective teaching and learning of mathematics include adequate classroom space, curriculum system, experienced and well motivated teachers, teaching-learning materials such as text books, boards, chalks (marker), visual aids etc</w:t>
      </w:r>
      <w:r w:rsidRPr="007647BA">
        <w:rPr>
          <w:rFonts w:ascii="Times New Roman" w:hAnsi="Times New Roman" w:cs="Times New Roman"/>
          <w:sz w:val="20"/>
          <w:szCs w:val="20"/>
        </w:rPr>
        <w:t xml:space="preserve"> (</w:t>
      </w:r>
      <w:bookmarkStart w:id="9" w:name="_Hlk73938881"/>
      <w:r w:rsidRPr="007647BA">
        <w:rPr>
          <w:rFonts w:ascii="Times New Roman" w:hAnsi="Times New Roman" w:cs="Times New Roman"/>
          <w:sz w:val="20"/>
          <w:szCs w:val="20"/>
          <w:shd w:val="clear" w:color="auto" w:fill="FFFFFF"/>
        </w:rPr>
        <w:t>Fahlström, 2017</w:t>
      </w:r>
      <w:bookmarkEnd w:id="9"/>
      <w:r w:rsidRPr="007647BA">
        <w:rPr>
          <w:rFonts w:ascii="Times New Roman" w:hAnsi="Times New Roman" w:cs="Times New Roman"/>
          <w:sz w:val="20"/>
          <w:szCs w:val="20"/>
        </w:rPr>
        <w:t xml:space="preserve">). Although all secondary schools in Niger state are under the direct supervision of the state Secondary Education Board, but a number of differences exist in their performance in Mathematics among the secondary school students across the </w:t>
      </w:r>
      <w:r w:rsidRPr="007647BA">
        <w:rPr>
          <w:rFonts w:ascii="Times New Roman" w:hAnsi="Times New Roman" w:cs="Times New Roman"/>
          <w:sz w:val="20"/>
          <w:szCs w:val="20"/>
        </w:rPr>
        <w:t>state. Thus, when there is proper planning and implementation of the basics of Mathematics in curriculum system in secondary schools, there will be positive developments in the academic performance of students in Mathematics and other subjects (</w:t>
      </w:r>
      <w:bookmarkStart w:id="10" w:name="_Hlk73938892"/>
      <w:r w:rsidRPr="007647BA">
        <w:rPr>
          <w:rFonts w:ascii="Times New Roman" w:hAnsi="Times New Roman" w:cs="Times New Roman"/>
          <w:sz w:val="20"/>
          <w:szCs w:val="20"/>
        </w:rPr>
        <w:t>Adeniran, 2</w:t>
      </w:r>
      <w:r w:rsidRPr="007647BA">
        <w:rPr>
          <w:rFonts w:ascii="Times New Roman" w:hAnsi="Times New Roman" w:cs="Times New Roman"/>
          <w:sz w:val="20"/>
          <w:szCs w:val="20"/>
        </w:rPr>
        <w:t>000</w:t>
      </w:r>
      <w:bookmarkEnd w:id="10"/>
      <w:r w:rsidRPr="007647BA">
        <w:rPr>
          <w:rFonts w:ascii="Times New Roman" w:hAnsi="Times New Roman" w:cs="Times New Roman"/>
          <w:sz w:val="20"/>
          <w:szCs w:val="20"/>
        </w:rPr>
        <w:t>).</w:t>
      </w:r>
    </w:p>
    <w:p w:rsidR="007647BA" w:rsidRDefault="007647BA" w:rsidP="007647BA">
      <w:pPr>
        <w:pStyle w:val="Heading1"/>
        <w:snapToGrid w:val="0"/>
        <w:spacing w:before="0" w:line="240" w:lineRule="auto"/>
        <w:rPr>
          <w:rFonts w:cs="Times New Roman" w:hint="eastAsia"/>
          <w:sz w:val="20"/>
          <w:szCs w:val="20"/>
          <w:lang w:eastAsia="zh-CN"/>
        </w:rPr>
      </w:pPr>
    </w:p>
    <w:p w:rsidR="008D41E1" w:rsidRPr="007647BA" w:rsidRDefault="004A7A6E" w:rsidP="007647BA">
      <w:pPr>
        <w:pStyle w:val="Heading1"/>
        <w:snapToGrid w:val="0"/>
        <w:spacing w:before="0" w:line="240" w:lineRule="auto"/>
        <w:rPr>
          <w:rFonts w:cs="Times New Roman"/>
          <w:sz w:val="20"/>
          <w:szCs w:val="20"/>
        </w:rPr>
      </w:pPr>
      <w:r w:rsidRPr="007647BA">
        <w:rPr>
          <w:rFonts w:cs="Times New Roman"/>
          <w:sz w:val="20"/>
          <w:szCs w:val="20"/>
        </w:rPr>
        <w:t>Statement of the Problem</w:t>
      </w:r>
    </w:p>
    <w:p w:rsidR="008D41E1" w:rsidRDefault="004A7A6E" w:rsidP="007647BA">
      <w:pPr>
        <w:snapToGrid w:val="0"/>
        <w:spacing w:after="0" w:line="240" w:lineRule="auto"/>
        <w:ind w:firstLineChars="354" w:firstLine="708"/>
        <w:jc w:val="both"/>
        <w:rPr>
          <w:rFonts w:ascii="Times New Roman" w:hAnsi="Times New Roman" w:cs="Times New Roman" w:hint="eastAsia"/>
          <w:sz w:val="20"/>
          <w:szCs w:val="20"/>
          <w:lang w:eastAsia="zh-CN"/>
        </w:rPr>
      </w:pPr>
      <w:r w:rsidRPr="007647BA">
        <w:rPr>
          <w:rFonts w:ascii="Times New Roman" w:hAnsi="Times New Roman" w:cs="Times New Roman"/>
          <w:sz w:val="20"/>
          <w:szCs w:val="20"/>
        </w:rPr>
        <w:t>There is an urgent need to improve the quality of education to bridge the gap between developed and developing nations, and multimedia instruction is considered as a necessary tool for this purpose (</w:t>
      </w:r>
      <w:bookmarkStart w:id="11" w:name="_Hlk73938972"/>
      <w:r w:rsidRPr="007647BA">
        <w:rPr>
          <w:rFonts w:ascii="Times New Roman" w:hAnsi="Times New Roman" w:cs="Times New Roman"/>
          <w:sz w:val="20"/>
          <w:szCs w:val="20"/>
        </w:rPr>
        <w:t>Omotoba, 2016</w:t>
      </w:r>
      <w:bookmarkEnd w:id="11"/>
      <w:r w:rsidRPr="007647BA">
        <w:rPr>
          <w:rFonts w:ascii="Times New Roman" w:hAnsi="Times New Roman" w:cs="Times New Roman"/>
          <w:sz w:val="20"/>
          <w:szCs w:val="20"/>
        </w:rPr>
        <w:t xml:space="preserve">). However, </w:t>
      </w:r>
      <w:r w:rsidRPr="007647BA">
        <w:rPr>
          <w:rFonts w:ascii="Times New Roman" w:hAnsi="Times New Roman" w:cs="Times New Roman"/>
          <w:sz w:val="20"/>
          <w:szCs w:val="20"/>
        </w:rPr>
        <w:t>the presence of multimedia alone will not stimulate significant changes in a school. Teachers are important ingredient in the implementation of multimedia instruction in education. Without the involvement of teachers, most students may not take advantage o</w:t>
      </w:r>
      <w:r w:rsidRPr="007647BA">
        <w:rPr>
          <w:rFonts w:ascii="Times New Roman" w:hAnsi="Times New Roman" w:cs="Times New Roman"/>
          <w:sz w:val="20"/>
          <w:szCs w:val="20"/>
        </w:rPr>
        <w:t>f all the available potential benefits of multimedia on their own. Teachers need to actively participate in the use of multimedia facilities. They must be trained in the use of multimedia and in its integration in the classroom activities to enhance thinki</w:t>
      </w:r>
      <w:r w:rsidRPr="007647BA">
        <w:rPr>
          <w:rFonts w:ascii="Times New Roman" w:hAnsi="Times New Roman" w:cs="Times New Roman"/>
          <w:sz w:val="20"/>
          <w:szCs w:val="20"/>
        </w:rPr>
        <w:t>ng and creativity among students. They must also learn to facilitate and encourage students by making them responsible for their own learning. Many of the current graduates were found to be lacking in creativity, communications skills, analytical and criti</w:t>
      </w:r>
      <w:r w:rsidRPr="007647BA">
        <w:rPr>
          <w:rFonts w:ascii="Times New Roman" w:hAnsi="Times New Roman" w:cs="Times New Roman"/>
          <w:sz w:val="20"/>
          <w:szCs w:val="20"/>
        </w:rPr>
        <w:t>cal thinking and problem especially with the use of ICT equipment in the teaching of Mathematics in secondary schools (</w:t>
      </w:r>
      <w:bookmarkStart w:id="12" w:name="_Hlk73938983"/>
      <w:r w:rsidRPr="007647BA">
        <w:rPr>
          <w:rFonts w:ascii="Times New Roman" w:hAnsi="Times New Roman" w:cs="Times New Roman"/>
          <w:sz w:val="20"/>
          <w:szCs w:val="20"/>
        </w:rPr>
        <w:t>Tan, 2000</w:t>
      </w:r>
      <w:bookmarkEnd w:id="12"/>
      <w:r w:rsidRPr="007647BA">
        <w:rPr>
          <w:rFonts w:ascii="Times New Roman" w:hAnsi="Times New Roman" w:cs="Times New Roman"/>
          <w:sz w:val="20"/>
          <w:szCs w:val="20"/>
        </w:rPr>
        <w:t>). In this study, attempts are therefore made at examining the prospects and challenges of the use of multimedia instructional a</w:t>
      </w:r>
      <w:r w:rsidRPr="007647BA">
        <w:rPr>
          <w:rFonts w:ascii="Times New Roman" w:hAnsi="Times New Roman" w:cs="Times New Roman"/>
          <w:sz w:val="20"/>
          <w:szCs w:val="20"/>
        </w:rPr>
        <w:t>ids in teaching of Mathematics in senior secondary schools within Minna town.</w:t>
      </w:r>
    </w:p>
    <w:p w:rsidR="007647BA" w:rsidRDefault="007647BA" w:rsidP="007647BA">
      <w:pPr>
        <w:snapToGrid w:val="0"/>
        <w:spacing w:after="0" w:line="240" w:lineRule="auto"/>
        <w:ind w:firstLineChars="354" w:firstLine="708"/>
        <w:jc w:val="both"/>
        <w:rPr>
          <w:rFonts w:ascii="Times New Roman" w:hAnsi="Times New Roman" w:cs="Times New Roman" w:hint="eastAsia"/>
          <w:sz w:val="20"/>
          <w:szCs w:val="20"/>
          <w:lang w:eastAsia="zh-CN"/>
        </w:rPr>
      </w:pPr>
    </w:p>
    <w:p w:rsidR="007647BA" w:rsidRPr="007647BA" w:rsidRDefault="007647BA" w:rsidP="007647BA">
      <w:pPr>
        <w:snapToGrid w:val="0"/>
        <w:spacing w:after="0" w:line="240" w:lineRule="auto"/>
        <w:ind w:firstLineChars="354" w:firstLine="708"/>
        <w:jc w:val="both"/>
        <w:rPr>
          <w:rFonts w:ascii="Times New Roman" w:hAnsi="Times New Roman" w:cs="Times New Roman" w:hint="eastAsia"/>
          <w:sz w:val="20"/>
          <w:szCs w:val="20"/>
          <w:lang w:eastAsia="zh-CN"/>
        </w:rPr>
      </w:pPr>
    </w:p>
    <w:p w:rsidR="008D41E1" w:rsidRPr="007647BA" w:rsidRDefault="004A7A6E" w:rsidP="007647BA">
      <w:pPr>
        <w:pStyle w:val="Heading1"/>
        <w:snapToGrid w:val="0"/>
        <w:spacing w:before="0" w:line="240" w:lineRule="auto"/>
        <w:rPr>
          <w:rFonts w:cs="Times New Roman"/>
          <w:sz w:val="20"/>
          <w:szCs w:val="20"/>
        </w:rPr>
      </w:pPr>
      <w:r w:rsidRPr="007647BA">
        <w:rPr>
          <w:rFonts w:cs="Times New Roman"/>
          <w:sz w:val="20"/>
          <w:szCs w:val="20"/>
        </w:rPr>
        <w:lastRenderedPageBreak/>
        <w:t>Objectives of the Study</w:t>
      </w:r>
    </w:p>
    <w:p w:rsidR="008D41E1" w:rsidRPr="007647BA" w:rsidRDefault="004A7A6E" w:rsidP="007647BA">
      <w:pPr>
        <w:snapToGrid w:val="0"/>
        <w:spacing w:after="0" w:line="240" w:lineRule="auto"/>
        <w:ind w:firstLineChars="354" w:firstLine="708"/>
        <w:jc w:val="both"/>
        <w:rPr>
          <w:rFonts w:ascii="Times New Roman" w:hAnsi="Times New Roman" w:cs="Times New Roman"/>
          <w:sz w:val="20"/>
          <w:szCs w:val="20"/>
        </w:rPr>
      </w:pPr>
      <w:bookmarkStart w:id="13" w:name="_Toc475598223"/>
      <w:r w:rsidRPr="007647BA">
        <w:rPr>
          <w:rFonts w:ascii="Times New Roman" w:hAnsi="Times New Roman" w:cs="Times New Roman"/>
          <w:sz w:val="20"/>
          <w:szCs w:val="20"/>
        </w:rPr>
        <w:t>The following are the objectives of the study:</w:t>
      </w:r>
    </w:p>
    <w:p w:rsidR="008D41E1" w:rsidRPr="007647BA" w:rsidRDefault="004A7A6E">
      <w:pPr>
        <w:snapToGrid w:val="0"/>
        <w:spacing w:after="0" w:line="240" w:lineRule="auto"/>
        <w:ind w:left="720" w:hanging="720"/>
        <w:jc w:val="both"/>
        <w:rPr>
          <w:rFonts w:ascii="Times New Roman" w:hAnsi="Times New Roman" w:cs="Times New Roman"/>
          <w:sz w:val="20"/>
          <w:szCs w:val="20"/>
        </w:rPr>
      </w:pPr>
      <w:r w:rsidRPr="007647BA">
        <w:rPr>
          <w:rFonts w:ascii="Times New Roman" w:hAnsi="Times New Roman" w:cs="Times New Roman"/>
          <w:sz w:val="20"/>
          <w:szCs w:val="20"/>
        </w:rPr>
        <w:t>1.</w:t>
      </w:r>
      <w:r w:rsidRPr="007647BA">
        <w:rPr>
          <w:rFonts w:ascii="Times New Roman" w:hAnsi="Times New Roman" w:cs="Times New Roman"/>
          <w:sz w:val="20"/>
          <w:szCs w:val="20"/>
        </w:rPr>
        <w:tab/>
        <w:t>Determine the availability of instructional multimedia in secondary schools within Minna town.</w:t>
      </w:r>
    </w:p>
    <w:p w:rsidR="008D41E1" w:rsidRPr="007647BA" w:rsidRDefault="004A7A6E">
      <w:pPr>
        <w:snapToGrid w:val="0"/>
        <w:spacing w:after="0" w:line="240" w:lineRule="auto"/>
        <w:ind w:left="720" w:hanging="720"/>
        <w:jc w:val="both"/>
        <w:rPr>
          <w:rFonts w:ascii="Times New Roman" w:hAnsi="Times New Roman" w:cs="Times New Roman"/>
          <w:sz w:val="20"/>
          <w:szCs w:val="20"/>
        </w:rPr>
      </w:pPr>
      <w:r w:rsidRPr="007647BA">
        <w:rPr>
          <w:rFonts w:ascii="Times New Roman" w:hAnsi="Times New Roman" w:cs="Times New Roman"/>
          <w:sz w:val="20"/>
          <w:szCs w:val="20"/>
        </w:rPr>
        <w:t xml:space="preserve">2. </w:t>
      </w:r>
      <w:r w:rsidRPr="007647BA">
        <w:rPr>
          <w:rFonts w:ascii="Times New Roman" w:hAnsi="Times New Roman" w:cs="Times New Roman"/>
          <w:sz w:val="20"/>
          <w:szCs w:val="20"/>
        </w:rPr>
        <w:tab/>
      </w:r>
      <w:r w:rsidRPr="007647BA">
        <w:rPr>
          <w:rFonts w:ascii="Times New Roman" w:hAnsi="Times New Roman" w:cs="Times New Roman"/>
          <w:sz w:val="20"/>
          <w:szCs w:val="20"/>
        </w:rPr>
        <w:t xml:space="preserve">Determine the pattern and frequency of use of multimedia by Mathematics teachers in secondary schools within Minna town for teaching and learning. </w:t>
      </w:r>
    </w:p>
    <w:p w:rsidR="008D41E1" w:rsidRPr="007647BA" w:rsidRDefault="004A7A6E">
      <w:pPr>
        <w:snapToGrid w:val="0"/>
        <w:spacing w:after="0" w:line="240" w:lineRule="auto"/>
        <w:ind w:left="720" w:hanging="720"/>
        <w:jc w:val="both"/>
        <w:rPr>
          <w:rFonts w:ascii="Times New Roman" w:hAnsi="Times New Roman" w:cs="Times New Roman"/>
          <w:sz w:val="20"/>
          <w:szCs w:val="20"/>
        </w:rPr>
      </w:pPr>
      <w:r w:rsidRPr="007647BA">
        <w:rPr>
          <w:rFonts w:ascii="Times New Roman" w:hAnsi="Times New Roman" w:cs="Times New Roman"/>
          <w:sz w:val="20"/>
          <w:szCs w:val="20"/>
        </w:rPr>
        <w:t xml:space="preserve">3. </w:t>
      </w:r>
      <w:r w:rsidRPr="007647BA">
        <w:rPr>
          <w:rFonts w:ascii="Times New Roman" w:hAnsi="Times New Roman" w:cs="Times New Roman"/>
          <w:sz w:val="20"/>
          <w:szCs w:val="20"/>
        </w:rPr>
        <w:tab/>
        <w:t xml:space="preserve">Investigate the adequacy of multimedia facilities by Mathematics for teaching and learning in secondary </w:t>
      </w:r>
      <w:r w:rsidRPr="007647BA">
        <w:rPr>
          <w:rFonts w:ascii="Times New Roman" w:hAnsi="Times New Roman" w:cs="Times New Roman"/>
          <w:sz w:val="20"/>
          <w:szCs w:val="20"/>
        </w:rPr>
        <w:t>schools within Minna town.</w:t>
      </w:r>
    </w:p>
    <w:p w:rsidR="008D41E1" w:rsidRPr="007647BA" w:rsidRDefault="004A7A6E">
      <w:pPr>
        <w:snapToGrid w:val="0"/>
        <w:spacing w:after="0" w:line="240" w:lineRule="auto"/>
        <w:ind w:left="720" w:hanging="720"/>
        <w:jc w:val="both"/>
        <w:rPr>
          <w:rFonts w:ascii="Times New Roman" w:hAnsi="Times New Roman" w:cs="Times New Roman"/>
          <w:sz w:val="20"/>
          <w:szCs w:val="20"/>
        </w:rPr>
      </w:pPr>
      <w:r w:rsidRPr="007647BA">
        <w:rPr>
          <w:rFonts w:ascii="Times New Roman" w:hAnsi="Times New Roman" w:cs="Times New Roman"/>
          <w:sz w:val="20"/>
          <w:szCs w:val="20"/>
        </w:rPr>
        <w:t xml:space="preserve">4. </w:t>
      </w:r>
      <w:r w:rsidRPr="007647BA">
        <w:rPr>
          <w:rFonts w:ascii="Times New Roman" w:hAnsi="Times New Roman" w:cs="Times New Roman"/>
          <w:sz w:val="20"/>
          <w:szCs w:val="20"/>
        </w:rPr>
        <w:tab/>
        <w:t xml:space="preserve">Identify factors, if any, which limit the use of multimedia by the Mathematicsteachers in secondary </w:t>
      </w:r>
      <w:r w:rsidR="007647BA" w:rsidRPr="007647BA">
        <w:rPr>
          <w:rFonts w:ascii="Times New Roman" w:hAnsi="Times New Roman" w:cs="Times New Roman"/>
          <w:sz w:val="20"/>
          <w:szCs w:val="20"/>
        </w:rPr>
        <w:t>schools within</w:t>
      </w:r>
      <w:r w:rsidRPr="007647BA">
        <w:rPr>
          <w:rFonts w:ascii="Times New Roman" w:hAnsi="Times New Roman" w:cs="Times New Roman"/>
          <w:sz w:val="20"/>
          <w:szCs w:val="20"/>
        </w:rPr>
        <w:t xml:space="preserve"> Minna town.</w:t>
      </w:r>
    </w:p>
    <w:p w:rsidR="007647BA" w:rsidRDefault="007647BA">
      <w:pPr>
        <w:pStyle w:val="Heading1"/>
        <w:snapToGrid w:val="0"/>
        <w:spacing w:before="0" w:line="240" w:lineRule="auto"/>
        <w:rPr>
          <w:rFonts w:cs="Times New Roman" w:hint="eastAsia"/>
          <w:sz w:val="20"/>
          <w:szCs w:val="20"/>
          <w:lang w:eastAsia="zh-CN"/>
        </w:rPr>
      </w:pPr>
      <w:bookmarkStart w:id="14" w:name="_Toc532980268"/>
      <w:bookmarkStart w:id="15" w:name="_Toc25012112"/>
    </w:p>
    <w:p w:rsidR="008D41E1" w:rsidRPr="007647BA" w:rsidRDefault="004A7A6E">
      <w:pPr>
        <w:pStyle w:val="Heading1"/>
        <w:snapToGrid w:val="0"/>
        <w:spacing w:before="0" w:line="240" w:lineRule="auto"/>
        <w:rPr>
          <w:rFonts w:cs="Times New Roman"/>
          <w:sz w:val="20"/>
          <w:szCs w:val="20"/>
        </w:rPr>
      </w:pPr>
      <w:r w:rsidRPr="007647BA">
        <w:rPr>
          <w:rFonts w:cs="Times New Roman"/>
          <w:sz w:val="20"/>
          <w:szCs w:val="20"/>
        </w:rPr>
        <w:t>Research Questions</w:t>
      </w:r>
      <w:bookmarkEnd w:id="13"/>
      <w:bookmarkEnd w:id="14"/>
      <w:bookmarkEnd w:id="15"/>
    </w:p>
    <w:p w:rsidR="008D41E1" w:rsidRPr="007647BA" w:rsidRDefault="004A7A6E" w:rsidP="007647BA">
      <w:pPr>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t>The following research questions were formulated to guide the study:</w:t>
      </w:r>
    </w:p>
    <w:p w:rsidR="008D41E1" w:rsidRPr="007647BA" w:rsidRDefault="004A7A6E">
      <w:pPr>
        <w:snapToGrid w:val="0"/>
        <w:spacing w:after="0" w:line="240" w:lineRule="auto"/>
        <w:ind w:left="720" w:hanging="720"/>
        <w:jc w:val="both"/>
        <w:rPr>
          <w:rFonts w:ascii="Times New Roman" w:hAnsi="Times New Roman" w:cs="Times New Roman"/>
          <w:sz w:val="20"/>
          <w:szCs w:val="20"/>
        </w:rPr>
      </w:pPr>
      <w:bookmarkStart w:id="16" w:name="_Hlk73936924"/>
      <w:r w:rsidRPr="007647BA">
        <w:rPr>
          <w:rFonts w:ascii="Times New Roman" w:hAnsi="Times New Roman" w:cs="Times New Roman"/>
          <w:sz w:val="20"/>
          <w:szCs w:val="20"/>
        </w:rPr>
        <w:t>1.</w:t>
      </w:r>
      <w:r w:rsidRPr="007647BA">
        <w:rPr>
          <w:rFonts w:ascii="Times New Roman" w:hAnsi="Times New Roman" w:cs="Times New Roman"/>
          <w:sz w:val="20"/>
          <w:szCs w:val="20"/>
        </w:rPr>
        <w:tab/>
        <w:t>How avai</w:t>
      </w:r>
      <w:r w:rsidRPr="007647BA">
        <w:rPr>
          <w:rFonts w:ascii="Times New Roman" w:hAnsi="Times New Roman" w:cs="Times New Roman"/>
          <w:sz w:val="20"/>
          <w:szCs w:val="20"/>
        </w:rPr>
        <w:t xml:space="preserve">lable are the instructional multimedia for teaching and learning of Mathematics in secondary schools within Minna town? </w:t>
      </w:r>
    </w:p>
    <w:p w:rsidR="008D41E1" w:rsidRPr="007647BA" w:rsidRDefault="004A7A6E">
      <w:pPr>
        <w:snapToGrid w:val="0"/>
        <w:spacing w:after="0" w:line="240" w:lineRule="auto"/>
        <w:ind w:left="720" w:hanging="720"/>
        <w:jc w:val="both"/>
        <w:rPr>
          <w:rFonts w:ascii="Times New Roman" w:hAnsi="Times New Roman" w:cs="Times New Roman"/>
          <w:sz w:val="20"/>
          <w:szCs w:val="20"/>
        </w:rPr>
      </w:pPr>
      <w:r w:rsidRPr="007647BA">
        <w:rPr>
          <w:rFonts w:ascii="Times New Roman" w:hAnsi="Times New Roman" w:cs="Times New Roman"/>
          <w:sz w:val="20"/>
          <w:szCs w:val="20"/>
        </w:rPr>
        <w:t xml:space="preserve">2. </w:t>
      </w:r>
      <w:r w:rsidRPr="007647BA">
        <w:rPr>
          <w:rFonts w:ascii="Times New Roman" w:hAnsi="Times New Roman" w:cs="Times New Roman"/>
          <w:sz w:val="20"/>
          <w:szCs w:val="20"/>
        </w:rPr>
        <w:tab/>
        <w:t>What is the pattern and frequency of use of the multimedia for teaching and learning by Mathematics teachers in secondary schools w</w:t>
      </w:r>
      <w:r w:rsidRPr="007647BA">
        <w:rPr>
          <w:rFonts w:ascii="Times New Roman" w:hAnsi="Times New Roman" w:cs="Times New Roman"/>
          <w:sz w:val="20"/>
          <w:szCs w:val="20"/>
        </w:rPr>
        <w:t xml:space="preserve">ithin Minna town? </w:t>
      </w:r>
    </w:p>
    <w:p w:rsidR="008D41E1" w:rsidRPr="007647BA" w:rsidRDefault="004A7A6E">
      <w:pPr>
        <w:snapToGrid w:val="0"/>
        <w:spacing w:after="0" w:line="240" w:lineRule="auto"/>
        <w:ind w:left="720" w:hanging="720"/>
        <w:jc w:val="both"/>
        <w:rPr>
          <w:rFonts w:ascii="Times New Roman" w:hAnsi="Times New Roman" w:cs="Times New Roman"/>
          <w:sz w:val="20"/>
          <w:szCs w:val="20"/>
        </w:rPr>
      </w:pPr>
      <w:r w:rsidRPr="007647BA">
        <w:rPr>
          <w:rFonts w:ascii="Times New Roman" w:hAnsi="Times New Roman" w:cs="Times New Roman"/>
          <w:sz w:val="20"/>
          <w:szCs w:val="20"/>
        </w:rPr>
        <w:t xml:space="preserve">3. </w:t>
      </w:r>
      <w:r w:rsidRPr="007647BA">
        <w:rPr>
          <w:rFonts w:ascii="Times New Roman" w:hAnsi="Times New Roman" w:cs="Times New Roman"/>
          <w:sz w:val="20"/>
          <w:szCs w:val="20"/>
        </w:rPr>
        <w:tab/>
        <w:t xml:space="preserve">How adequate are the multimedia facilities for teaching and learning Mathematics in secondary schools within Minna town? </w:t>
      </w:r>
    </w:p>
    <w:p w:rsidR="008D41E1" w:rsidRPr="007647BA" w:rsidRDefault="004A7A6E">
      <w:pPr>
        <w:snapToGrid w:val="0"/>
        <w:spacing w:after="0" w:line="240" w:lineRule="auto"/>
        <w:ind w:left="720" w:hanging="720"/>
        <w:jc w:val="both"/>
        <w:rPr>
          <w:rFonts w:ascii="Times New Roman" w:hAnsi="Times New Roman" w:cs="Times New Roman"/>
          <w:sz w:val="20"/>
          <w:szCs w:val="20"/>
        </w:rPr>
      </w:pPr>
      <w:r w:rsidRPr="007647BA">
        <w:rPr>
          <w:rFonts w:ascii="Times New Roman" w:hAnsi="Times New Roman" w:cs="Times New Roman"/>
          <w:sz w:val="20"/>
          <w:szCs w:val="20"/>
        </w:rPr>
        <w:t xml:space="preserve">4. </w:t>
      </w:r>
      <w:r w:rsidRPr="007647BA">
        <w:rPr>
          <w:rFonts w:ascii="Times New Roman" w:hAnsi="Times New Roman" w:cs="Times New Roman"/>
          <w:sz w:val="20"/>
          <w:szCs w:val="20"/>
        </w:rPr>
        <w:tab/>
        <w:t>What factors limit the use of multimedia by Mathematics teachers in secondary schools within Minna town?</w:t>
      </w:r>
    </w:p>
    <w:p w:rsidR="007647BA" w:rsidRDefault="007647BA">
      <w:pPr>
        <w:pStyle w:val="Heading1"/>
        <w:snapToGrid w:val="0"/>
        <w:spacing w:before="0" w:line="240" w:lineRule="auto"/>
        <w:rPr>
          <w:rFonts w:cs="Times New Roman" w:hint="eastAsia"/>
          <w:sz w:val="20"/>
          <w:szCs w:val="20"/>
          <w:lang w:eastAsia="zh-CN"/>
        </w:rPr>
      </w:pPr>
      <w:bookmarkStart w:id="17" w:name="_Toc532980269"/>
      <w:bookmarkStart w:id="18" w:name="_Toc25012113"/>
      <w:bookmarkStart w:id="19" w:name="_Toc475598225"/>
      <w:bookmarkStart w:id="20" w:name="_Toc475598224"/>
      <w:bookmarkEnd w:id="16"/>
    </w:p>
    <w:p w:rsidR="008D41E1" w:rsidRPr="007647BA" w:rsidRDefault="004A7A6E">
      <w:pPr>
        <w:pStyle w:val="Heading1"/>
        <w:snapToGrid w:val="0"/>
        <w:spacing w:before="0" w:line="240" w:lineRule="auto"/>
        <w:rPr>
          <w:rFonts w:cs="Times New Roman"/>
          <w:sz w:val="20"/>
          <w:szCs w:val="20"/>
        </w:rPr>
      </w:pPr>
      <w:r w:rsidRPr="007647BA">
        <w:rPr>
          <w:rFonts w:cs="Times New Roman"/>
          <w:sz w:val="20"/>
          <w:szCs w:val="20"/>
        </w:rPr>
        <w:t>Si</w:t>
      </w:r>
      <w:r w:rsidRPr="007647BA">
        <w:rPr>
          <w:rFonts w:cs="Times New Roman"/>
          <w:sz w:val="20"/>
          <w:szCs w:val="20"/>
        </w:rPr>
        <w:t>gnificance of the Study</w:t>
      </w:r>
      <w:bookmarkEnd w:id="17"/>
      <w:bookmarkEnd w:id="18"/>
      <w:bookmarkEnd w:id="19"/>
    </w:p>
    <w:bookmarkEnd w:id="20"/>
    <w:p w:rsidR="008D41E1" w:rsidRPr="007647BA" w:rsidRDefault="004A7A6E" w:rsidP="007647BA">
      <w:pPr>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t xml:space="preserve">The results of this study will provide useful information to students on the various multimedia </w:t>
      </w:r>
      <w:r w:rsidRPr="007647BA">
        <w:rPr>
          <w:rFonts w:ascii="Times New Roman" w:hAnsi="Times New Roman" w:cs="Times New Roman"/>
          <w:sz w:val="20"/>
          <w:szCs w:val="20"/>
        </w:rPr>
        <w:lastRenderedPageBreak/>
        <w:t xml:space="preserve">resources used in instruction and their relevance to effective teaching and learning in secondary schools. The result also will help in </w:t>
      </w:r>
      <w:r w:rsidRPr="007647BA">
        <w:rPr>
          <w:rFonts w:ascii="Times New Roman" w:hAnsi="Times New Roman" w:cs="Times New Roman"/>
          <w:sz w:val="20"/>
          <w:szCs w:val="20"/>
        </w:rPr>
        <w:t xml:space="preserve">the provision of guidance to Mathematics teachers on the application of appropriate multimedia instructional resources in teaching and in the identification of possible solutions to the problems associated with the application of multimedia resources. The </w:t>
      </w:r>
      <w:r w:rsidRPr="007647BA">
        <w:rPr>
          <w:rFonts w:ascii="Times New Roman" w:hAnsi="Times New Roman" w:cs="Times New Roman"/>
          <w:sz w:val="20"/>
          <w:szCs w:val="20"/>
        </w:rPr>
        <w:t xml:space="preserve">government will gain from this research as it will help in formulating policies relating to the National Information Technology Policy in Education. Finally, this study will be a vital source of information to researchers who want to conduct a research in </w:t>
      </w:r>
      <w:r w:rsidRPr="007647BA">
        <w:rPr>
          <w:rFonts w:ascii="Times New Roman" w:hAnsi="Times New Roman" w:cs="Times New Roman"/>
          <w:sz w:val="20"/>
          <w:szCs w:val="20"/>
        </w:rPr>
        <w:t>the related topic.</w:t>
      </w:r>
    </w:p>
    <w:p w:rsidR="007647BA" w:rsidRDefault="007647BA">
      <w:pPr>
        <w:snapToGrid w:val="0"/>
        <w:spacing w:after="0" w:line="240" w:lineRule="auto"/>
        <w:jc w:val="both"/>
        <w:rPr>
          <w:rFonts w:ascii="Times New Roman" w:hAnsi="Times New Roman" w:cs="Times New Roman" w:hint="eastAsia"/>
          <w:b/>
          <w:sz w:val="20"/>
          <w:szCs w:val="20"/>
          <w:lang w:eastAsia="zh-CN"/>
        </w:rPr>
      </w:pPr>
    </w:p>
    <w:p w:rsidR="008D41E1" w:rsidRPr="007647BA" w:rsidRDefault="004A7A6E">
      <w:pPr>
        <w:snapToGrid w:val="0"/>
        <w:spacing w:after="0" w:line="240" w:lineRule="auto"/>
        <w:jc w:val="both"/>
        <w:rPr>
          <w:rFonts w:ascii="Times New Roman" w:eastAsiaTheme="majorEastAsia" w:hAnsi="Times New Roman" w:cs="Times New Roman"/>
          <w:b/>
          <w:bCs/>
          <w:sz w:val="20"/>
          <w:szCs w:val="20"/>
        </w:rPr>
      </w:pPr>
      <w:r w:rsidRPr="007647BA">
        <w:rPr>
          <w:rFonts w:ascii="Times New Roman" w:hAnsi="Times New Roman" w:cs="Times New Roman"/>
          <w:b/>
          <w:sz w:val="20"/>
          <w:szCs w:val="20"/>
        </w:rPr>
        <w:t>Methodology</w:t>
      </w:r>
    </w:p>
    <w:p w:rsidR="008D41E1" w:rsidRPr="007647BA" w:rsidRDefault="004A7A6E" w:rsidP="007647BA">
      <w:pPr>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iCs/>
          <w:sz w:val="20"/>
          <w:szCs w:val="20"/>
        </w:rPr>
        <w:t>The descriptive survey research design was adopted for the study and the population of the study comprised of all secondary school teachers within Minna town. Four research questions were formulated to guide the four objectiv</w:t>
      </w:r>
      <w:r w:rsidRPr="007647BA">
        <w:rPr>
          <w:rFonts w:ascii="Times New Roman" w:hAnsi="Times New Roman" w:cs="Times New Roman"/>
          <w:iCs/>
          <w:sz w:val="20"/>
          <w:szCs w:val="20"/>
        </w:rPr>
        <w:t xml:space="preserve">es of the study. A simple random sampling technique was used to select twenty (20) secondary schools from the population of study (consisting of private and public schools). A simple random sampling technique was also used to select five (5) teachers from </w:t>
      </w:r>
      <w:r w:rsidRPr="007647BA">
        <w:rPr>
          <w:rFonts w:ascii="Times New Roman" w:hAnsi="Times New Roman" w:cs="Times New Roman"/>
          <w:iCs/>
          <w:sz w:val="20"/>
          <w:szCs w:val="20"/>
        </w:rPr>
        <w:t xml:space="preserve">each selected school. This gives a sample size of one hundred (100). Out of the 100 respondents that were given the instrument, only 80 were retrieved which gives a response rate of 80%. A well-structured questionnaire which was validated by three experts </w:t>
      </w:r>
      <w:r w:rsidRPr="007647BA">
        <w:rPr>
          <w:rFonts w:ascii="Times New Roman" w:hAnsi="Times New Roman" w:cs="Times New Roman"/>
          <w:iCs/>
          <w:sz w:val="20"/>
          <w:szCs w:val="20"/>
        </w:rPr>
        <w:t xml:space="preserve">was used to collect data for the study. </w:t>
      </w:r>
      <w:r w:rsidRPr="007647BA">
        <w:rPr>
          <w:rFonts w:ascii="Times New Roman" w:hAnsi="Times New Roman" w:cs="Times New Roman"/>
          <w:sz w:val="20"/>
          <w:szCs w:val="20"/>
        </w:rPr>
        <w:t>A pilot study was carried out in two secondary schools outside the population of study but with similar characteristics. The Pearson’s Product Moment Correlation was carried out and a coefficient of 0.81 shows a very</w:t>
      </w:r>
      <w:r w:rsidRPr="007647BA">
        <w:rPr>
          <w:rFonts w:ascii="Times New Roman" w:hAnsi="Times New Roman" w:cs="Times New Roman"/>
          <w:sz w:val="20"/>
          <w:szCs w:val="20"/>
        </w:rPr>
        <w:t xml:space="preserve"> strong reliability for the instrument.</w:t>
      </w:r>
    </w:p>
    <w:p w:rsidR="008D41E1" w:rsidRPr="007647BA" w:rsidRDefault="008D41E1">
      <w:pPr>
        <w:snapToGrid w:val="0"/>
        <w:spacing w:after="0" w:line="240" w:lineRule="auto"/>
        <w:jc w:val="both"/>
        <w:rPr>
          <w:rFonts w:ascii="Times New Roman" w:hAnsi="Times New Roman" w:cs="Times New Roman"/>
          <w:b/>
          <w:bCs/>
          <w:sz w:val="20"/>
          <w:szCs w:val="20"/>
        </w:rPr>
        <w:sectPr w:rsidR="008D41E1" w:rsidRPr="007647BA">
          <w:type w:val="continuous"/>
          <w:pgSz w:w="12240" w:h="15840"/>
          <w:pgMar w:top="1440" w:right="1440" w:bottom="1440" w:left="1440" w:header="720" w:footer="720" w:gutter="0"/>
          <w:cols w:num="2" w:space="720"/>
          <w:docGrid w:linePitch="360"/>
        </w:sectPr>
      </w:pPr>
    </w:p>
    <w:p w:rsidR="008D41E1" w:rsidRPr="007647BA" w:rsidRDefault="008D41E1">
      <w:pPr>
        <w:snapToGrid w:val="0"/>
        <w:spacing w:after="0" w:line="240" w:lineRule="auto"/>
        <w:jc w:val="both"/>
        <w:rPr>
          <w:rFonts w:ascii="Times New Roman" w:hAnsi="Times New Roman" w:cs="Times New Roman"/>
          <w:b/>
          <w:bCs/>
          <w:sz w:val="20"/>
          <w:szCs w:val="20"/>
        </w:rPr>
      </w:pPr>
    </w:p>
    <w:p w:rsidR="007647BA" w:rsidRDefault="007647BA" w:rsidP="007647BA">
      <w:pPr>
        <w:snapToGrid w:val="0"/>
        <w:spacing w:after="0" w:line="240" w:lineRule="auto"/>
        <w:rPr>
          <w:rFonts w:ascii="Times New Roman" w:hAnsi="Times New Roman" w:cs="Times New Roman" w:hint="eastAsia"/>
          <w:b/>
          <w:bCs/>
          <w:sz w:val="20"/>
          <w:szCs w:val="20"/>
          <w:lang w:eastAsia="zh-CN"/>
        </w:rPr>
      </w:pPr>
    </w:p>
    <w:p w:rsidR="008D41E1" w:rsidRDefault="004A7A6E" w:rsidP="007647BA">
      <w:pPr>
        <w:snapToGrid w:val="0"/>
        <w:spacing w:after="0" w:line="240" w:lineRule="auto"/>
        <w:rPr>
          <w:rFonts w:ascii="Times New Roman" w:hAnsi="Times New Roman" w:cs="Times New Roman" w:hint="eastAsia"/>
          <w:b/>
          <w:bCs/>
          <w:sz w:val="20"/>
          <w:szCs w:val="20"/>
          <w:lang w:eastAsia="zh-CN"/>
        </w:rPr>
      </w:pPr>
      <w:r w:rsidRPr="007647BA">
        <w:rPr>
          <w:rFonts w:ascii="Times New Roman" w:hAnsi="Times New Roman" w:cs="Times New Roman"/>
          <w:b/>
          <w:bCs/>
          <w:sz w:val="20"/>
          <w:szCs w:val="20"/>
        </w:rPr>
        <w:t>Results and Discussions of Findings</w:t>
      </w:r>
    </w:p>
    <w:p w:rsidR="007647BA" w:rsidRPr="007647BA" w:rsidRDefault="007647BA" w:rsidP="007647BA">
      <w:pPr>
        <w:snapToGrid w:val="0"/>
        <w:spacing w:after="0" w:line="240" w:lineRule="auto"/>
        <w:rPr>
          <w:rFonts w:ascii="Times New Roman" w:hAnsi="Times New Roman" w:cs="Times New Roman" w:hint="eastAsia"/>
          <w:b/>
          <w:bCs/>
          <w:sz w:val="20"/>
          <w:szCs w:val="20"/>
          <w:lang w:eastAsia="zh-CN"/>
        </w:rPr>
      </w:pPr>
    </w:p>
    <w:p w:rsidR="007647BA" w:rsidRDefault="007647BA" w:rsidP="007647BA">
      <w:pPr>
        <w:snapToGrid w:val="0"/>
        <w:spacing w:after="0" w:line="240" w:lineRule="auto"/>
        <w:ind w:left="720" w:hanging="720"/>
        <w:jc w:val="center"/>
        <w:rPr>
          <w:rFonts w:ascii="Times New Roman" w:hAnsi="Times New Roman" w:cs="Times New Roman" w:hint="eastAsia"/>
          <w:sz w:val="20"/>
          <w:szCs w:val="20"/>
          <w:lang w:eastAsia="zh-CN"/>
        </w:rPr>
      </w:pPr>
    </w:p>
    <w:p w:rsidR="008D41E1" w:rsidRPr="007647BA" w:rsidRDefault="004A7A6E" w:rsidP="007647BA">
      <w:pPr>
        <w:snapToGrid w:val="0"/>
        <w:spacing w:after="0" w:line="240" w:lineRule="auto"/>
        <w:ind w:left="720" w:hanging="720"/>
        <w:jc w:val="center"/>
        <w:rPr>
          <w:rFonts w:ascii="Times New Roman" w:hAnsi="Times New Roman" w:cs="Times New Roman"/>
          <w:sz w:val="20"/>
          <w:szCs w:val="20"/>
        </w:rPr>
      </w:pPr>
      <w:r w:rsidRPr="007647BA">
        <w:rPr>
          <w:rFonts w:ascii="Times New Roman" w:hAnsi="Times New Roman" w:cs="Times New Roman"/>
          <w:sz w:val="20"/>
          <w:szCs w:val="20"/>
        </w:rPr>
        <w:t>Table 1: Gender Distribution of Respondents</w:t>
      </w:r>
    </w:p>
    <w:tbl>
      <w:tblPr>
        <w:tblStyle w:val="TableGrid"/>
        <w:tblW w:w="5000" w:type="pct"/>
        <w:jc w:val="center"/>
        <w:tblLook w:val="04A0"/>
      </w:tblPr>
      <w:tblGrid>
        <w:gridCol w:w="2560"/>
        <w:gridCol w:w="3245"/>
        <w:gridCol w:w="3771"/>
      </w:tblGrid>
      <w:tr w:rsidR="008D41E1" w:rsidRPr="007647BA" w:rsidTr="007647BA">
        <w:trPr>
          <w:jc w:val="center"/>
        </w:trPr>
        <w:tc>
          <w:tcPr>
            <w:tcW w:w="1336"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Gender</w:t>
            </w:r>
          </w:p>
        </w:tc>
        <w:tc>
          <w:tcPr>
            <w:tcW w:w="1694"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Frequency</w:t>
            </w:r>
          </w:p>
        </w:tc>
        <w:tc>
          <w:tcPr>
            <w:tcW w:w="1969"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Percentage (%)</w:t>
            </w:r>
          </w:p>
        </w:tc>
      </w:tr>
      <w:tr w:rsidR="008D41E1" w:rsidRPr="007647BA" w:rsidTr="007647BA">
        <w:trPr>
          <w:jc w:val="center"/>
        </w:trPr>
        <w:tc>
          <w:tcPr>
            <w:tcW w:w="1336"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Male</w:t>
            </w:r>
          </w:p>
        </w:tc>
        <w:tc>
          <w:tcPr>
            <w:tcW w:w="1694"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60</w:t>
            </w:r>
          </w:p>
        </w:tc>
        <w:tc>
          <w:tcPr>
            <w:tcW w:w="1969"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75.00</w:t>
            </w:r>
          </w:p>
        </w:tc>
      </w:tr>
      <w:tr w:rsidR="008D41E1" w:rsidRPr="007647BA" w:rsidTr="007647BA">
        <w:trPr>
          <w:jc w:val="center"/>
        </w:trPr>
        <w:tc>
          <w:tcPr>
            <w:tcW w:w="133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Female</w:t>
            </w:r>
          </w:p>
        </w:tc>
        <w:tc>
          <w:tcPr>
            <w:tcW w:w="169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20</w:t>
            </w:r>
          </w:p>
        </w:tc>
        <w:tc>
          <w:tcPr>
            <w:tcW w:w="19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25.00</w:t>
            </w:r>
          </w:p>
        </w:tc>
      </w:tr>
      <w:tr w:rsidR="008D41E1" w:rsidRPr="007647BA" w:rsidTr="007647BA">
        <w:trPr>
          <w:jc w:val="center"/>
        </w:trPr>
        <w:tc>
          <w:tcPr>
            <w:tcW w:w="1336"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Total</w:t>
            </w:r>
          </w:p>
        </w:tc>
        <w:tc>
          <w:tcPr>
            <w:tcW w:w="1694"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80</w:t>
            </w:r>
          </w:p>
        </w:tc>
        <w:tc>
          <w:tcPr>
            <w:tcW w:w="1969"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100.00</w:t>
            </w:r>
          </w:p>
        </w:tc>
      </w:tr>
    </w:tbl>
    <w:p w:rsidR="008D41E1" w:rsidRPr="007647BA" w:rsidRDefault="008D41E1">
      <w:pPr>
        <w:snapToGrid w:val="0"/>
        <w:spacing w:after="0" w:line="240" w:lineRule="auto"/>
        <w:jc w:val="both"/>
        <w:rPr>
          <w:rFonts w:ascii="Times New Roman" w:hAnsi="Times New Roman" w:cs="Times New Roman"/>
          <w:sz w:val="20"/>
          <w:szCs w:val="20"/>
        </w:rPr>
      </w:pPr>
    </w:p>
    <w:p w:rsidR="008D41E1" w:rsidRDefault="004A7A6E" w:rsidP="007647BA">
      <w:pPr>
        <w:snapToGrid w:val="0"/>
        <w:spacing w:after="0" w:line="240" w:lineRule="auto"/>
        <w:ind w:firstLine="720"/>
        <w:jc w:val="both"/>
        <w:rPr>
          <w:rFonts w:ascii="Times New Roman" w:hAnsi="Times New Roman" w:cs="Times New Roman" w:hint="eastAsia"/>
          <w:sz w:val="20"/>
          <w:szCs w:val="20"/>
          <w:lang w:eastAsia="zh-CN"/>
        </w:rPr>
      </w:pPr>
      <w:r w:rsidRPr="007647BA">
        <w:rPr>
          <w:rFonts w:ascii="Times New Roman" w:hAnsi="Times New Roman" w:cs="Times New Roman"/>
          <w:sz w:val="20"/>
          <w:szCs w:val="20"/>
        </w:rPr>
        <w:t>The information in Table 1 above showed that 60 (75.00%) of the respondents were male teachers while 20 (25.00%) constitute female teachers.</w:t>
      </w:r>
    </w:p>
    <w:p w:rsidR="007647BA" w:rsidRPr="007647BA" w:rsidRDefault="007647BA" w:rsidP="007647BA">
      <w:pPr>
        <w:snapToGrid w:val="0"/>
        <w:spacing w:after="0" w:line="240" w:lineRule="auto"/>
        <w:ind w:firstLine="720"/>
        <w:jc w:val="both"/>
        <w:rPr>
          <w:rFonts w:ascii="Times New Roman" w:hAnsi="Times New Roman" w:cs="Times New Roman" w:hint="eastAsia"/>
          <w:sz w:val="20"/>
          <w:szCs w:val="20"/>
          <w:lang w:eastAsia="zh-CN"/>
        </w:rPr>
      </w:pPr>
    </w:p>
    <w:p w:rsidR="007647BA" w:rsidRDefault="007647BA" w:rsidP="007647BA">
      <w:pPr>
        <w:snapToGrid w:val="0"/>
        <w:spacing w:after="0" w:line="240" w:lineRule="auto"/>
        <w:jc w:val="center"/>
        <w:rPr>
          <w:rFonts w:ascii="Times New Roman" w:hAnsi="Times New Roman" w:cs="Times New Roman" w:hint="eastAsia"/>
          <w:sz w:val="20"/>
          <w:szCs w:val="20"/>
          <w:lang w:eastAsia="zh-CN"/>
        </w:rPr>
      </w:pPr>
    </w:p>
    <w:p w:rsidR="007647BA" w:rsidRDefault="007647BA" w:rsidP="007647BA">
      <w:pPr>
        <w:snapToGrid w:val="0"/>
        <w:spacing w:after="0" w:line="240" w:lineRule="auto"/>
        <w:jc w:val="center"/>
        <w:rPr>
          <w:rFonts w:ascii="Times New Roman" w:hAnsi="Times New Roman" w:cs="Times New Roman" w:hint="eastAsia"/>
          <w:sz w:val="20"/>
          <w:szCs w:val="20"/>
          <w:lang w:eastAsia="zh-CN"/>
        </w:rPr>
      </w:pPr>
    </w:p>
    <w:p w:rsidR="007647BA" w:rsidRDefault="007647BA" w:rsidP="007647BA">
      <w:pPr>
        <w:snapToGrid w:val="0"/>
        <w:spacing w:after="0" w:line="240" w:lineRule="auto"/>
        <w:jc w:val="center"/>
        <w:rPr>
          <w:rFonts w:ascii="Times New Roman" w:hAnsi="Times New Roman" w:cs="Times New Roman" w:hint="eastAsia"/>
          <w:sz w:val="20"/>
          <w:szCs w:val="20"/>
          <w:lang w:eastAsia="zh-CN"/>
        </w:rPr>
      </w:pPr>
    </w:p>
    <w:p w:rsidR="007647BA" w:rsidRDefault="007647BA" w:rsidP="007647BA">
      <w:pPr>
        <w:snapToGrid w:val="0"/>
        <w:spacing w:after="0" w:line="240" w:lineRule="auto"/>
        <w:jc w:val="center"/>
        <w:rPr>
          <w:rFonts w:ascii="Times New Roman" w:hAnsi="Times New Roman" w:cs="Times New Roman" w:hint="eastAsia"/>
          <w:sz w:val="20"/>
          <w:szCs w:val="20"/>
          <w:lang w:eastAsia="zh-CN"/>
        </w:rPr>
      </w:pPr>
    </w:p>
    <w:p w:rsidR="008D41E1" w:rsidRPr="007647BA" w:rsidRDefault="004A7A6E" w:rsidP="007647BA">
      <w:pPr>
        <w:snapToGrid w:val="0"/>
        <w:spacing w:after="0" w:line="240" w:lineRule="auto"/>
        <w:jc w:val="center"/>
        <w:rPr>
          <w:rFonts w:ascii="Times New Roman" w:hAnsi="Times New Roman" w:cs="Times New Roman"/>
          <w:sz w:val="20"/>
          <w:szCs w:val="20"/>
        </w:rPr>
      </w:pPr>
      <w:r w:rsidRPr="007647BA">
        <w:rPr>
          <w:rFonts w:ascii="Times New Roman" w:hAnsi="Times New Roman" w:cs="Times New Roman"/>
          <w:sz w:val="20"/>
          <w:szCs w:val="20"/>
        </w:rPr>
        <w:t xml:space="preserve">Table 2: Distribution of </w:t>
      </w:r>
      <w:r w:rsidRPr="007647BA">
        <w:rPr>
          <w:rFonts w:ascii="Times New Roman" w:hAnsi="Times New Roman" w:cs="Times New Roman"/>
          <w:sz w:val="20"/>
          <w:szCs w:val="20"/>
        </w:rPr>
        <w:t>Respondents by Years of Experience</w:t>
      </w:r>
    </w:p>
    <w:tbl>
      <w:tblPr>
        <w:tblStyle w:val="TableGrid"/>
        <w:tblW w:w="5000" w:type="pct"/>
        <w:jc w:val="center"/>
        <w:tblLook w:val="04A0"/>
      </w:tblPr>
      <w:tblGrid>
        <w:gridCol w:w="3863"/>
        <w:gridCol w:w="2507"/>
        <w:gridCol w:w="3206"/>
      </w:tblGrid>
      <w:tr w:rsidR="008D41E1" w:rsidRPr="007647BA" w:rsidTr="007647BA">
        <w:trPr>
          <w:jc w:val="center"/>
        </w:trPr>
        <w:tc>
          <w:tcPr>
            <w:tcW w:w="2017"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Years of Experience</w:t>
            </w:r>
          </w:p>
        </w:tc>
        <w:tc>
          <w:tcPr>
            <w:tcW w:w="1309"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Frequency</w:t>
            </w:r>
          </w:p>
        </w:tc>
        <w:tc>
          <w:tcPr>
            <w:tcW w:w="1674"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Percentage (%)</w:t>
            </w:r>
          </w:p>
        </w:tc>
      </w:tr>
      <w:tr w:rsidR="008D41E1" w:rsidRPr="007647BA" w:rsidTr="007647BA">
        <w:trPr>
          <w:jc w:val="center"/>
        </w:trPr>
        <w:tc>
          <w:tcPr>
            <w:tcW w:w="2017"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 – 5 years</w:t>
            </w:r>
          </w:p>
        </w:tc>
        <w:tc>
          <w:tcPr>
            <w:tcW w:w="1309"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20</w:t>
            </w:r>
          </w:p>
        </w:tc>
        <w:tc>
          <w:tcPr>
            <w:tcW w:w="1674"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25.00</w:t>
            </w:r>
          </w:p>
        </w:tc>
      </w:tr>
      <w:tr w:rsidR="008D41E1" w:rsidRPr="007647BA" w:rsidTr="007647BA">
        <w:trPr>
          <w:jc w:val="center"/>
        </w:trPr>
        <w:tc>
          <w:tcPr>
            <w:tcW w:w="20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 – 10 years</w:t>
            </w:r>
          </w:p>
        </w:tc>
        <w:tc>
          <w:tcPr>
            <w:tcW w:w="1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40</w:t>
            </w:r>
          </w:p>
        </w:tc>
        <w:tc>
          <w:tcPr>
            <w:tcW w:w="16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50.00</w:t>
            </w:r>
          </w:p>
        </w:tc>
      </w:tr>
      <w:tr w:rsidR="008D41E1" w:rsidRPr="007647BA" w:rsidTr="007647BA">
        <w:trPr>
          <w:jc w:val="center"/>
        </w:trPr>
        <w:tc>
          <w:tcPr>
            <w:tcW w:w="20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11 – 15 years</w:t>
            </w:r>
          </w:p>
        </w:tc>
        <w:tc>
          <w:tcPr>
            <w:tcW w:w="1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16</w:t>
            </w:r>
          </w:p>
        </w:tc>
        <w:tc>
          <w:tcPr>
            <w:tcW w:w="16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20.00</w:t>
            </w:r>
          </w:p>
        </w:tc>
      </w:tr>
      <w:tr w:rsidR="008D41E1" w:rsidRPr="007647BA" w:rsidTr="007647BA">
        <w:trPr>
          <w:jc w:val="center"/>
        </w:trPr>
        <w:tc>
          <w:tcPr>
            <w:tcW w:w="20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15 years &amp; above</w:t>
            </w:r>
          </w:p>
        </w:tc>
        <w:tc>
          <w:tcPr>
            <w:tcW w:w="130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4</w:t>
            </w:r>
          </w:p>
        </w:tc>
        <w:tc>
          <w:tcPr>
            <w:tcW w:w="16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5.00</w:t>
            </w:r>
          </w:p>
        </w:tc>
      </w:tr>
      <w:tr w:rsidR="008D41E1" w:rsidRPr="007647BA" w:rsidTr="007647BA">
        <w:trPr>
          <w:jc w:val="center"/>
        </w:trPr>
        <w:tc>
          <w:tcPr>
            <w:tcW w:w="2017"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Total</w:t>
            </w:r>
          </w:p>
        </w:tc>
        <w:tc>
          <w:tcPr>
            <w:tcW w:w="1309"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80</w:t>
            </w:r>
          </w:p>
        </w:tc>
        <w:tc>
          <w:tcPr>
            <w:tcW w:w="1674"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100.00</w:t>
            </w:r>
          </w:p>
        </w:tc>
      </w:tr>
    </w:tbl>
    <w:p w:rsidR="008D41E1" w:rsidRDefault="008D41E1">
      <w:pPr>
        <w:snapToGrid w:val="0"/>
        <w:spacing w:after="0" w:line="240" w:lineRule="auto"/>
        <w:jc w:val="both"/>
        <w:rPr>
          <w:rFonts w:ascii="Times New Roman" w:hAnsi="Times New Roman" w:cs="Times New Roman" w:hint="eastAsia"/>
          <w:sz w:val="20"/>
          <w:szCs w:val="20"/>
          <w:lang w:eastAsia="zh-CN"/>
        </w:rPr>
      </w:pPr>
    </w:p>
    <w:p w:rsidR="007647BA" w:rsidRPr="007647BA" w:rsidRDefault="007647BA">
      <w:pPr>
        <w:snapToGrid w:val="0"/>
        <w:spacing w:after="0" w:line="240" w:lineRule="auto"/>
        <w:jc w:val="both"/>
        <w:rPr>
          <w:rFonts w:ascii="Times New Roman" w:hAnsi="Times New Roman" w:cs="Times New Roman" w:hint="eastAsia"/>
          <w:sz w:val="20"/>
          <w:szCs w:val="20"/>
          <w:lang w:eastAsia="zh-CN"/>
        </w:rPr>
      </w:pPr>
    </w:p>
    <w:p w:rsidR="008D41E1" w:rsidRPr="007647BA" w:rsidRDefault="008D41E1">
      <w:pPr>
        <w:snapToGrid w:val="0"/>
        <w:spacing w:after="0" w:line="240" w:lineRule="auto"/>
        <w:jc w:val="both"/>
        <w:rPr>
          <w:rFonts w:ascii="Times New Roman" w:hAnsi="Times New Roman" w:cs="Times New Roman"/>
          <w:sz w:val="20"/>
          <w:szCs w:val="20"/>
        </w:rPr>
        <w:sectPr w:rsidR="008D41E1" w:rsidRPr="007647BA">
          <w:type w:val="continuous"/>
          <w:pgSz w:w="12240" w:h="15840"/>
          <w:pgMar w:top="1440" w:right="1440" w:bottom="1440" w:left="1440" w:header="720" w:footer="720" w:gutter="0"/>
          <w:cols w:space="720"/>
          <w:docGrid w:linePitch="360"/>
        </w:sectPr>
      </w:pPr>
    </w:p>
    <w:p w:rsidR="008D41E1" w:rsidRDefault="004A7A6E" w:rsidP="007647BA">
      <w:pPr>
        <w:snapToGrid w:val="0"/>
        <w:spacing w:after="0" w:line="240" w:lineRule="auto"/>
        <w:ind w:firstLine="720"/>
        <w:jc w:val="both"/>
        <w:rPr>
          <w:rFonts w:ascii="Times New Roman" w:hAnsi="Times New Roman" w:cs="Times New Roman" w:hint="eastAsia"/>
          <w:sz w:val="20"/>
          <w:szCs w:val="20"/>
          <w:lang w:eastAsia="zh-CN"/>
        </w:rPr>
      </w:pPr>
      <w:r w:rsidRPr="007647BA">
        <w:rPr>
          <w:rFonts w:ascii="Times New Roman" w:hAnsi="Times New Roman" w:cs="Times New Roman"/>
          <w:sz w:val="20"/>
          <w:szCs w:val="20"/>
        </w:rPr>
        <w:lastRenderedPageBreak/>
        <w:t xml:space="preserve">The result from Table 2 showed clearly </w:t>
      </w:r>
      <w:r w:rsidRPr="007647BA">
        <w:rPr>
          <w:rFonts w:ascii="Times New Roman" w:hAnsi="Times New Roman" w:cs="Times New Roman"/>
          <w:sz w:val="20"/>
          <w:szCs w:val="20"/>
        </w:rPr>
        <w:t xml:space="preserve">that 40 (50.00%) of the respondents had 6- 10 years of teaching experience whereas 20 (25.00%) had between 1 – 5 years. 16 (20.00%) of the respondents </w:t>
      </w:r>
      <w:r w:rsidRPr="007647BA">
        <w:rPr>
          <w:rFonts w:ascii="Times New Roman" w:hAnsi="Times New Roman" w:cs="Times New Roman"/>
          <w:sz w:val="20"/>
          <w:szCs w:val="20"/>
        </w:rPr>
        <w:lastRenderedPageBreak/>
        <w:t>had put in between 11-15 years, while only 4 (5.00%) of the respondents had spent over 15 years as teache</w:t>
      </w:r>
      <w:r w:rsidRPr="007647BA">
        <w:rPr>
          <w:rFonts w:ascii="Times New Roman" w:hAnsi="Times New Roman" w:cs="Times New Roman"/>
          <w:sz w:val="20"/>
          <w:szCs w:val="20"/>
        </w:rPr>
        <w:t>rs impacting knowledge to students.</w:t>
      </w:r>
    </w:p>
    <w:p w:rsidR="007647BA" w:rsidRPr="007647BA" w:rsidRDefault="007647BA" w:rsidP="007647BA">
      <w:pPr>
        <w:snapToGrid w:val="0"/>
        <w:spacing w:after="0" w:line="240" w:lineRule="auto"/>
        <w:ind w:firstLine="720"/>
        <w:jc w:val="both"/>
        <w:rPr>
          <w:rFonts w:ascii="Times New Roman" w:hAnsi="Times New Roman" w:cs="Times New Roman" w:hint="eastAsia"/>
          <w:sz w:val="20"/>
          <w:szCs w:val="20"/>
          <w:lang w:eastAsia="zh-CN"/>
        </w:rPr>
        <w:sectPr w:rsidR="007647BA" w:rsidRPr="007647BA">
          <w:type w:val="continuous"/>
          <w:pgSz w:w="12240" w:h="15840"/>
          <w:pgMar w:top="1440" w:right="1440" w:bottom="1440" w:left="1440" w:header="720" w:footer="720" w:gutter="0"/>
          <w:cols w:num="2" w:space="720"/>
          <w:docGrid w:linePitch="360"/>
        </w:sectPr>
      </w:pPr>
    </w:p>
    <w:p w:rsidR="008D41E1" w:rsidRPr="007647BA" w:rsidRDefault="008D41E1">
      <w:pPr>
        <w:snapToGrid w:val="0"/>
        <w:spacing w:after="0" w:line="240" w:lineRule="auto"/>
        <w:jc w:val="both"/>
        <w:rPr>
          <w:rFonts w:ascii="Times New Roman" w:hAnsi="Times New Roman" w:cs="Times New Roman"/>
          <w:sz w:val="20"/>
          <w:szCs w:val="20"/>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b/>
          <w:bCs/>
          <w:sz w:val="20"/>
          <w:szCs w:val="20"/>
        </w:rPr>
        <w:t xml:space="preserve">Research Question 1: </w:t>
      </w:r>
      <w:r w:rsidRPr="007647BA">
        <w:rPr>
          <w:rFonts w:ascii="Times New Roman" w:hAnsi="Times New Roman" w:cs="Times New Roman"/>
          <w:sz w:val="20"/>
          <w:szCs w:val="20"/>
        </w:rPr>
        <w:t xml:space="preserve">How available are the instructional multimedia for teaching and learning of Mathematics in secondary schools within Minna town? </w:t>
      </w:r>
    </w:p>
    <w:p w:rsidR="007647BA" w:rsidRDefault="007647BA">
      <w:pPr>
        <w:snapToGrid w:val="0"/>
        <w:spacing w:after="0" w:line="240" w:lineRule="auto"/>
        <w:jc w:val="both"/>
        <w:rPr>
          <w:rFonts w:ascii="Times New Roman" w:hAnsi="Times New Roman" w:cs="Times New Roman" w:hint="eastAsia"/>
          <w:sz w:val="20"/>
          <w:szCs w:val="20"/>
          <w:lang w:eastAsia="zh-CN"/>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Table 3: Availability of Multimedia Resources</w:t>
      </w:r>
    </w:p>
    <w:tbl>
      <w:tblPr>
        <w:tblStyle w:val="TableGrid"/>
        <w:tblW w:w="5000" w:type="pct"/>
        <w:jc w:val="center"/>
        <w:tblLook w:val="04A0"/>
      </w:tblPr>
      <w:tblGrid>
        <w:gridCol w:w="2823"/>
        <w:gridCol w:w="2789"/>
        <w:gridCol w:w="3964"/>
      </w:tblGrid>
      <w:tr w:rsidR="008D41E1" w:rsidRPr="007647BA" w:rsidTr="007647BA">
        <w:trPr>
          <w:jc w:val="center"/>
        </w:trPr>
        <w:tc>
          <w:tcPr>
            <w:tcW w:w="1474"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Availability</w:t>
            </w:r>
          </w:p>
        </w:tc>
        <w:tc>
          <w:tcPr>
            <w:tcW w:w="1456"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Frequency</w:t>
            </w:r>
          </w:p>
        </w:tc>
        <w:tc>
          <w:tcPr>
            <w:tcW w:w="2070"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Percentage (%)</w:t>
            </w:r>
          </w:p>
        </w:tc>
      </w:tr>
      <w:tr w:rsidR="008D41E1" w:rsidRPr="007647BA" w:rsidTr="007647BA">
        <w:trPr>
          <w:jc w:val="center"/>
        </w:trPr>
        <w:tc>
          <w:tcPr>
            <w:tcW w:w="1474"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Yes</w:t>
            </w:r>
          </w:p>
        </w:tc>
        <w:tc>
          <w:tcPr>
            <w:tcW w:w="1456"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28</w:t>
            </w:r>
          </w:p>
        </w:tc>
        <w:tc>
          <w:tcPr>
            <w:tcW w:w="2070"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35.00</w:t>
            </w:r>
          </w:p>
        </w:tc>
      </w:tr>
      <w:tr w:rsidR="008D41E1" w:rsidRPr="007647BA" w:rsidTr="007647BA">
        <w:trPr>
          <w:jc w:val="center"/>
        </w:trPr>
        <w:tc>
          <w:tcPr>
            <w:tcW w:w="14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No</w:t>
            </w:r>
          </w:p>
        </w:tc>
        <w:tc>
          <w:tcPr>
            <w:tcW w:w="14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52</w:t>
            </w:r>
          </w:p>
        </w:tc>
        <w:tc>
          <w:tcPr>
            <w:tcW w:w="20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65.00</w:t>
            </w:r>
          </w:p>
        </w:tc>
      </w:tr>
      <w:tr w:rsidR="008D41E1" w:rsidRPr="007647BA" w:rsidTr="007647BA">
        <w:trPr>
          <w:jc w:val="center"/>
        </w:trPr>
        <w:tc>
          <w:tcPr>
            <w:tcW w:w="1474"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Total</w:t>
            </w:r>
          </w:p>
        </w:tc>
        <w:tc>
          <w:tcPr>
            <w:tcW w:w="1456"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80</w:t>
            </w:r>
          </w:p>
        </w:tc>
        <w:tc>
          <w:tcPr>
            <w:tcW w:w="2070"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100.00</w:t>
            </w:r>
          </w:p>
        </w:tc>
      </w:tr>
    </w:tbl>
    <w:p w:rsidR="008D41E1" w:rsidRDefault="008D41E1">
      <w:pPr>
        <w:snapToGrid w:val="0"/>
        <w:spacing w:after="0" w:line="240" w:lineRule="auto"/>
        <w:jc w:val="both"/>
        <w:rPr>
          <w:rFonts w:ascii="Times New Roman" w:hAnsi="Times New Roman" w:cs="Times New Roman" w:hint="eastAsia"/>
          <w:sz w:val="20"/>
          <w:szCs w:val="20"/>
          <w:lang w:eastAsia="zh-CN"/>
        </w:rPr>
      </w:pPr>
    </w:p>
    <w:p w:rsidR="007647BA" w:rsidRPr="007647BA" w:rsidRDefault="007647BA">
      <w:pPr>
        <w:snapToGrid w:val="0"/>
        <w:spacing w:after="0" w:line="240" w:lineRule="auto"/>
        <w:jc w:val="both"/>
        <w:rPr>
          <w:rFonts w:ascii="Times New Roman" w:hAnsi="Times New Roman" w:cs="Times New Roman" w:hint="eastAsia"/>
          <w:sz w:val="20"/>
          <w:szCs w:val="20"/>
          <w:lang w:eastAsia="zh-CN"/>
        </w:rPr>
      </w:pPr>
    </w:p>
    <w:p w:rsidR="008D41E1" w:rsidRPr="007647BA" w:rsidRDefault="008D41E1">
      <w:pPr>
        <w:snapToGrid w:val="0"/>
        <w:spacing w:after="0" w:line="240" w:lineRule="auto"/>
        <w:jc w:val="both"/>
        <w:rPr>
          <w:rFonts w:ascii="Times New Roman" w:hAnsi="Times New Roman" w:cs="Times New Roman"/>
          <w:sz w:val="20"/>
          <w:szCs w:val="20"/>
        </w:rPr>
        <w:sectPr w:rsidR="008D41E1" w:rsidRPr="007647BA">
          <w:type w:val="continuous"/>
          <w:pgSz w:w="12240" w:h="15840"/>
          <w:pgMar w:top="1440" w:right="1440" w:bottom="1440" w:left="1440" w:header="720" w:footer="720" w:gutter="0"/>
          <w:cols w:space="720"/>
          <w:docGrid w:linePitch="360"/>
        </w:sectPr>
      </w:pPr>
    </w:p>
    <w:p w:rsidR="008D41E1" w:rsidRPr="007647BA" w:rsidRDefault="004A7A6E" w:rsidP="007647BA">
      <w:pPr>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lastRenderedPageBreak/>
        <w:t xml:space="preserve">From Table 3 above, 52 (65.00%) of the respondents indicated that multimedia resources were not available in the schools for their use in teaching </w:t>
      </w:r>
      <w:r w:rsidRPr="007647BA">
        <w:rPr>
          <w:rFonts w:ascii="Times New Roman" w:hAnsi="Times New Roman" w:cs="Times New Roman"/>
          <w:sz w:val="20"/>
          <w:szCs w:val="20"/>
        </w:rPr>
        <w:lastRenderedPageBreak/>
        <w:t xml:space="preserve">and learning while the remaining </w:t>
      </w:r>
      <w:r w:rsidRPr="007647BA">
        <w:rPr>
          <w:rFonts w:ascii="Times New Roman" w:hAnsi="Times New Roman" w:cs="Times New Roman"/>
          <w:sz w:val="20"/>
          <w:szCs w:val="20"/>
        </w:rPr>
        <w:t>28(36.00%) of the respondents indicated that multimedia resources were available.</w:t>
      </w:r>
    </w:p>
    <w:p w:rsidR="008D41E1" w:rsidRPr="007647BA" w:rsidRDefault="008D41E1">
      <w:pPr>
        <w:snapToGrid w:val="0"/>
        <w:spacing w:after="0" w:line="240" w:lineRule="auto"/>
        <w:jc w:val="both"/>
        <w:rPr>
          <w:rFonts w:ascii="Times New Roman" w:hAnsi="Times New Roman" w:cs="Times New Roman"/>
          <w:b/>
          <w:bCs/>
          <w:sz w:val="20"/>
          <w:szCs w:val="20"/>
        </w:rPr>
        <w:sectPr w:rsidR="008D41E1" w:rsidRPr="007647BA">
          <w:type w:val="continuous"/>
          <w:pgSz w:w="12240" w:h="15840"/>
          <w:pgMar w:top="1440" w:right="1440" w:bottom="1440" w:left="1440" w:header="720" w:footer="720" w:gutter="0"/>
          <w:cols w:num="2" w:space="720"/>
          <w:docGrid w:linePitch="360"/>
        </w:sectPr>
      </w:pPr>
    </w:p>
    <w:p w:rsidR="007647BA" w:rsidRDefault="007647BA">
      <w:pPr>
        <w:snapToGrid w:val="0"/>
        <w:spacing w:after="0" w:line="240" w:lineRule="auto"/>
        <w:jc w:val="both"/>
        <w:rPr>
          <w:rFonts w:ascii="Times New Roman" w:hAnsi="Times New Roman" w:cs="Times New Roman" w:hint="eastAsia"/>
          <w:b/>
          <w:bCs/>
          <w:sz w:val="20"/>
          <w:szCs w:val="20"/>
          <w:lang w:eastAsia="zh-CN"/>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b/>
          <w:bCs/>
          <w:sz w:val="20"/>
          <w:szCs w:val="20"/>
        </w:rPr>
        <w:t xml:space="preserve">Research Question 2: </w:t>
      </w:r>
      <w:r w:rsidRPr="007647BA">
        <w:rPr>
          <w:rFonts w:ascii="Times New Roman" w:hAnsi="Times New Roman" w:cs="Times New Roman"/>
          <w:sz w:val="20"/>
          <w:szCs w:val="20"/>
        </w:rPr>
        <w:t>What is the pattern and frequency of use of the multimedia for teaching and learning by Mathematics teachers in secondary schools within Minn</w:t>
      </w:r>
      <w:r w:rsidRPr="007647BA">
        <w:rPr>
          <w:rFonts w:ascii="Times New Roman" w:hAnsi="Times New Roman" w:cs="Times New Roman"/>
          <w:sz w:val="20"/>
          <w:szCs w:val="20"/>
        </w:rPr>
        <w:t xml:space="preserve">a town? </w:t>
      </w:r>
    </w:p>
    <w:p w:rsidR="007647BA" w:rsidRDefault="007647BA">
      <w:pPr>
        <w:snapToGrid w:val="0"/>
        <w:spacing w:after="0" w:line="240" w:lineRule="auto"/>
        <w:jc w:val="both"/>
        <w:rPr>
          <w:rFonts w:ascii="Times New Roman" w:hAnsi="Times New Roman" w:cs="Times New Roman" w:hint="eastAsia"/>
          <w:sz w:val="20"/>
          <w:szCs w:val="20"/>
          <w:lang w:eastAsia="zh-CN"/>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Table 4: Adequacy of Multimedia Collection</w:t>
      </w:r>
    </w:p>
    <w:tbl>
      <w:tblPr>
        <w:tblStyle w:val="TableGrid"/>
        <w:tblW w:w="5000" w:type="pct"/>
        <w:jc w:val="center"/>
        <w:tblLook w:val="04A0"/>
      </w:tblPr>
      <w:tblGrid>
        <w:gridCol w:w="3669"/>
        <w:gridCol w:w="2515"/>
        <w:gridCol w:w="3392"/>
      </w:tblGrid>
      <w:tr w:rsidR="008D41E1" w:rsidRPr="007647BA" w:rsidTr="007647BA">
        <w:trPr>
          <w:jc w:val="center"/>
        </w:trPr>
        <w:tc>
          <w:tcPr>
            <w:tcW w:w="1916"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Adequacy</w:t>
            </w:r>
          </w:p>
        </w:tc>
        <w:tc>
          <w:tcPr>
            <w:tcW w:w="1313"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Frequency</w:t>
            </w:r>
          </w:p>
        </w:tc>
        <w:tc>
          <w:tcPr>
            <w:tcW w:w="1771"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Percentage (%)</w:t>
            </w:r>
          </w:p>
        </w:tc>
      </w:tr>
      <w:tr w:rsidR="008D41E1" w:rsidRPr="007647BA" w:rsidTr="007647BA">
        <w:trPr>
          <w:jc w:val="center"/>
        </w:trPr>
        <w:tc>
          <w:tcPr>
            <w:tcW w:w="1916"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Adequate</w:t>
            </w:r>
          </w:p>
        </w:tc>
        <w:tc>
          <w:tcPr>
            <w:tcW w:w="1313"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08</w:t>
            </w:r>
          </w:p>
        </w:tc>
        <w:tc>
          <w:tcPr>
            <w:tcW w:w="1771"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10.00</w:t>
            </w:r>
          </w:p>
        </w:tc>
      </w:tr>
      <w:tr w:rsidR="008D41E1" w:rsidRPr="007647BA" w:rsidTr="007647BA">
        <w:trPr>
          <w:jc w:val="center"/>
        </w:trPr>
        <w:tc>
          <w:tcPr>
            <w:tcW w:w="1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Fairly Adequate</w:t>
            </w:r>
          </w:p>
        </w:tc>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12</w:t>
            </w:r>
          </w:p>
        </w:tc>
        <w:tc>
          <w:tcPr>
            <w:tcW w:w="17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15.00</w:t>
            </w:r>
          </w:p>
        </w:tc>
      </w:tr>
      <w:tr w:rsidR="008D41E1" w:rsidRPr="007647BA" w:rsidTr="007647BA">
        <w:trPr>
          <w:jc w:val="center"/>
        </w:trPr>
        <w:tc>
          <w:tcPr>
            <w:tcW w:w="1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Inadequate</w:t>
            </w:r>
          </w:p>
        </w:tc>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20</w:t>
            </w:r>
          </w:p>
        </w:tc>
        <w:tc>
          <w:tcPr>
            <w:tcW w:w="17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25.00</w:t>
            </w:r>
          </w:p>
        </w:tc>
      </w:tr>
      <w:tr w:rsidR="008D41E1" w:rsidRPr="007647BA" w:rsidTr="007647BA">
        <w:trPr>
          <w:jc w:val="center"/>
        </w:trPr>
        <w:tc>
          <w:tcPr>
            <w:tcW w:w="19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Grossly Inadequate</w:t>
            </w:r>
          </w:p>
        </w:tc>
        <w:tc>
          <w:tcPr>
            <w:tcW w:w="13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40</w:t>
            </w:r>
          </w:p>
        </w:tc>
        <w:tc>
          <w:tcPr>
            <w:tcW w:w="17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50.00</w:t>
            </w:r>
          </w:p>
        </w:tc>
      </w:tr>
      <w:tr w:rsidR="008D41E1" w:rsidRPr="007647BA" w:rsidTr="007647BA">
        <w:trPr>
          <w:jc w:val="center"/>
        </w:trPr>
        <w:tc>
          <w:tcPr>
            <w:tcW w:w="1916"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Total </w:t>
            </w:r>
          </w:p>
        </w:tc>
        <w:tc>
          <w:tcPr>
            <w:tcW w:w="1313"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80</w:t>
            </w:r>
          </w:p>
        </w:tc>
        <w:tc>
          <w:tcPr>
            <w:tcW w:w="1771"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100.00</w:t>
            </w:r>
          </w:p>
        </w:tc>
      </w:tr>
    </w:tbl>
    <w:p w:rsidR="008D41E1" w:rsidRPr="007647BA" w:rsidRDefault="008D41E1">
      <w:pPr>
        <w:snapToGrid w:val="0"/>
        <w:spacing w:after="0" w:line="240" w:lineRule="auto"/>
        <w:jc w:val="both"/>
        <w:rPr>
          <w:rFonts w:ascii="Times New Roman" w:hAnsi="Times New Roman" w:cs="Times New Roman"/>
          <w:sz w:val="20"/>
          <w:szCs w:val="20"/>
        </w:rPr>
      </w:pPr>
    </w:p>
    <w:p w:rsidR="008D41E1" w:rsidRDefault="008D41E1">
      <w:pPr>
        <w:snapToGrid w:val="0"/>
        <w:spacing w:after="0" w:line="240" w:lineRule="auto"/>
        <w:jc w:val="both"/>
        <w:rPr>
          <w:rFonts w:ascii="Times New Roman" w:hAnsi="Times New Roman" w:cs="Times New Roman" w:hint="eastAsia"/>
          <w:sz w:val="20"/>
          <w:szCs w:val="20"/>
          <w:lang w:eastAsia="zh-CN"/>
        </w:rPr>
      </w:pPr>
    </w:p>
    <w:p w:rsidR="007647BA" w:rsidRPr="007647BA" w:rsidRDefault="007647BA">
      <w:pPr>
        <w:snapToGrid w:val="0"/>
        <w:spacing w:after="0" w:line="240" w:lineRule="auto"/>
        <w:jc w:val="both"/>
        <w:rPr>
          <w:rFonts w:ascii="Times New Roman" w:hAnsi="Times New Roman" w:cs="Times New Roman" w:hint="eastAsia"/>
          <w:sz w:val="20"/>
          <w:szCs w:val="20"/>
          <w:lang w:eastAsia="zh-CN"/>
        </w:rPr>
        <w:sectPr w:rsidR="007647BA" w:rsidRPr="007647BA">
          <w:type w:val="continuous"/>
          <w:pgSz w:w="12240" w:h="15840"/>
          <w:pgMar w:top="1440" w:right="1440" w:bottom="1440" w:left="1440" w:header="720" w:footer="720" w:gutter="0"/>
          <w:cols w:space="720"/>
          <w:docGrid w:linePitch="360"/>
        </w:sectPr>
      </w:pPr>
    </w:p>
    <w:p w:rsidR="008D41E1" w:rsidRPr="007647BA" w:rsidRDefault="004A7A6E" w:rsidP="007647BA">
      <w:pPr>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lastRenderedPageBreak/>
        <w:t xml:space="preserve">Table 4 above revealed that 40 (50.00%) of </w:t>
      </w:r>
      <w:r w:rsidRPr="007647BA">
        <w:rPr>
          <w:rFonts w:ascii="Times New Roman" w:hAnsi="Times New Roman" w:cs="Times New Roman"/>
          <w:sz w:val="20"/>
          <w:szCs w:val="20"/>
        </w:rPr>
        <w:t xml:space="preserve">the respondents viewed the multimedia collections as grossly inadequate to their aspiration (teaching, learning, research and presentations); 20 (25.00%) ranked them as being inadequate; 12 (15.00%) indicated fairly adequate to their needs for teaching </w:t>
      </w:r>
      <w:r w:rsidRPr="007647BA">
        <w:rPr>
          <w:rFonts w:ascii="Times New Roman" w:hAnsi="Times New Roman" w:cs="Times New Roman"/>
          <w:sz w:val="20"/>
          <w:szCs w:val="20"/>
        </w:rPr>
        <w:lastRenderedPageBreak/>
        <w:t>and</w:t>
      </w:r>
      <w:r w:rsidRPr="007647BA">
        <w:rPr>
          <w:rFonts w:ascii="Times New Roman" w:hAnsi="Times New Roman" w:cs="Times New Roman"/>
          <w:sz w:val="20"/>
          <w:szCs w:val="20"/>
        </w:rPr>
        <w:t xml:space="preserve"> learning while only 8 (10.00%) of the respondents viewed them as being adequate. It could be inferred that the multimedia facilities in these schools are not adequate as a greater percentage 60 (75.00%) of the respondents viewed the collection or faciliti</w:t>
      </w:r>
      <w:r w:rsidRPr="007647BA">
        <w:rPr>
          <w:rFonts w:ascii="Times New Roman" w:hAnsi="Times New Roman" w:cs="Times New Roman"/>
          <w:sz w:val="20"/>
          <w:szCs w:val="20"/>
        </w:rPr>
        <w:t>es as being inadequate.</w:t>
      </w:r>
    </w:p>
    <w:p w:rsidR="008D41E1" w:rsidRPr="007647BA" w:rsidRDefault="008D41E1">
      <w:pPr>
        <w:snapToGrid w:val="0"/>
        <w:spacing w:after="0" w:line="240" w:lineRule="auto"/>
        <w:jc w:val="both"/>
        <w:rPr>
          <w:rFonts w:ascii="Times New Roman" w:hAnsi="Times New Roman" w:cs="Times New Roman"/>
          <w:b/>
          <w:bCs/>
          <w:sz w:val="20"/>
          <w:szCs w:val="20"/>
        </w:rPr>
        <w:sectPr w:rsidR="008D41E1" w:rsidRPr="007647BA">
          <w:type w:val="continuous"/>
          <w:pgSz w:w="12240" w:h="15840"/>
          <w:pgMar w:top="1440" w:right="1440" w:bottom="1440" w:left="1440" w:header="720" w:footer="720" w:gutter="0"/>
          <w:cols w:num="2" w:space="720"/>
          <w:docGrid w:linePitch="360"/>
        </w:sectPr>
      </w:pPr>
    </w:p>
    <w:p w:rsidR="007647BA" w:rsidRDefault="007647BA">
      <w:pPr>
        <w:snapToGrid w:val="0"/>
        <w:spacing w:after="0" w:line="240" w:lineRule="auto"/>
        <w:jc w:val="both"/>
        <w:rPr>
          <w:rFonts w:ascii="Times New Roman" w:hAnsi="Times New Roman" w:cs="Times New Roman" w:hint="eastAsia"/>
          <w:b/>
          <w:bCs/>
          <w:sz w:val="20"/>
          <w:szCs w:val="20"/>
          <w:lang w:eastAsia="zh-CN"/>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b/>
          <w:bCs/>
          <w:sz w:val="20"/>
          <w:szCs w:val="20"/>
        </w:rPr>
        <w:t xml:space="preserve">Research Question 3: </w:t>
      </w:r>
      <w:r w:rsidRPr="007647BA">
        <w:rPr>
          <w:rFonts w:ascii="Times New Roman" w:hAnsi="Times New Roman" w:cs="Times New Roman"/>
          <w:sz w:val="20"/>
          <w:szCs w:val="20"/>
        </w:rPr>
        <w:t xml:space="preserve">How adequate are the multimedia facilities for teaching and learning Mathematics in secondary schools within Minna town? </w:t>
      </w:r>
    </w:p>
    <w:p w:rsidR="007647BA" w:rsidRDefault="007647BA">
      <w:pPr>
        <w:snapToGrid w:val="0"/>
        <w:spacing w:after="0" w:line="240" w:lineRule="auto"/>
        <w:jc w:val="both"/>
        <w:rPr>
          <w:rFonts w:ascii="Times New Roman" w:hAnsi="Times New Roman" w:cs="Times New Roman" w:hint="eastAsia"/>
          <w:sz w:val="20"/>
          <w:szCs w:val="20"/>
          <w:lang w:eastAsia="zh-CN"/>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Table 5: Accessibility to Multimedia Resources</w:t>
      </w:r>
    </w:p>
    <w:tbl>
      <w:tblPr>
        <w:tblStyle w:val="TableGrid"/>
        <w:tblW w:w="5000" w:type="pct"/>
        <w:jc w:val="center"/>
        <w:tblLook w:val="04A0"/>
      </w:tblPr>
      <w:tblGrid>
        <w:gridCol w:w="2823"/>
        <w:gridCol w:w="2789"/>
        <w:gridCol w:w="3964"/>
      </w:tblGrid>
      <w:tr w:rsidR="008D41E1" w:rsidRPr="007647BA" w:rsidTr="007647BA">
        <w:trPr>
          <w:jc w:val="center"/>
        </w:trPr>
        <w:tc>
          <w:tcPr>
            <w:tcW w:w="1474"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Availability</w:t>
            </w:r>
          </w:p>
        </w:tc>
        <w:tc>
          <w:tcPr>
            <w:tcW w:w="1456"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Frequency</w:t>
            </w:r>
          </w:p>
        </w:tc>
        <w:tc>
          <w:tcPr>
            <w:tcW w:w="2070"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Percentage (%)</w:t>
            </w:r>
          </w:p>
        </w:tc>
      </w:tr>
      <w:tr w:rsidR="008D41E1" w:rsidRPr="007647BA" w:rsidTr="007647BA">
        <w:trPr>
          <w:jc w:val="center"/>
        </w:trPr>
        <w:tc>
          <w:tcPr>
            <w:tcW w:w="1474"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Yes</w:t>
            </w:r>
          </w:p>
        </w:tc>
        <w:tc>
          <w:tcPr>
            <w:tcW w:w="1456"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28</w:t>
            </w:r>
          </w:p>
        </w:tc>
        <w:tc>
          <w:tcPr>
            <w:tcW w:w="2070"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35.00</w:t>
            </w:r>
          </w:p>
        </w:tc>
      </w:tr>
      <w:tr w:rsidR="008D41E1" w:rsidRPr="007647BA" w:rsidTr="007647BA">
        <w:trPr>
          <w:jc w:val="center"/>
        </w:trPr>
        <w:tc>
          <w:tcPr>
            <w:tcW w:w="147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No</w:t>
            </w:r>
          </w:p>
        </w:tc>
        <w:tc>
          <w:tcPr>
            <w:tcW w:w="14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52</w:t>
            </w:r>
          </w:p>
        </w:tc>
        <w:tc>
          <w:tcPr>
            <w:tcW w:w="207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65.00</w:t>
            </w:r>
          </w:p>
        </w:tc>
      </w:tr>
      <w:tr w:rsidR="008D41E1" w:rsidRPr="007647BA" w:rsidTr="007647BA">
        <w:trPr>
          <w:jc w:val="center"/>
        </w:trPr>
        <w:tc>
          <w:tcPr>
            <w:tcW w:w="1474"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Total</w:t>
            </w:r>
          </w:p>
        </w:tc>
        <w:tc>
          <w:tcPr>
            <w:tcW w:w="1456"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80</w:t>
            </w:r>
          </w:p>
        </w:tc>
        <w:tc>
          <w:tcPr>
            <w:tcW w:w="2070"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100.00</w:t>
            </w:r>
          </w:p>
        </w:tc>
      </w:tr>
    </w:tbl>
    <w:p w:rsidR="008D41E1" w:rsidRPr="007647BA" w:rsidRDefault="008D41E1">
      <w:pPr>
        <w:snapToGrid w:val="0"/>
        <w:spacing w:after="0" w:line="240" w:lineRule="auto"/>
        <w:jc w:val="both"/>
        <w:rPr>
          <w:rFonts w:ascii="Times New Roman" w:hAnsi="Times New Roman" w:cs="Times New Roman"/>
          <w:sz w:val="20"/>
          <w:szCs w:val="20"/>
        </w:rPr>
      </w:pPr>
    </w:p>
    <w:p w:rsidR="007647BA" w:rsidRDefault="007647BA" w:rsidP="007647BA">
      <w:pPr>
        <w:snapToGrid w:val="0"/>
        <w:spacing w:after="0" w:line="240" w:lineRule="auto"/>
        <w:ind w:firstLine="720"/>
        <w:jc w:val="both"/>
        <w:rPr>
          <w:rFonts w:ascii="Times New Roman" w:hAnsi="Times New Roman" w:cs="Times New Roman" w:hint="eastAsia"/>
          <w:sz w:val="20"/>
          <w:szCs w:val="20"/>
          <w:lang w:eastAsia="zh-CN"/>
        </w:rPr>
      </w:pPr>
    </w:p>
    <w:p w:rsidR="008D41E1" w:rsidRPr="007647BA" w:rsidRDefault="007647BA" w:rsidP="007647BA">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hint="eastAsia"/>
          <w:sz w:val="20"/>
          <w:szCs w:val="20"/>
          <w:lang w:eastAsia="zh-CN"/>
        </w:rPr>
        <w:t>T</w:t>
      </w:r>
      <w:r w:rsidR="004A7A6E" w:rsidRPr="007647BA">
        <w:rPr>
          <w:rFonts w:ascii="Times New Roman" w:hAnsi="Times New Roman" w:cs="Times New Roman"/>
          <w:sz w:val="20"/>
          <w:szCs w:val="20"/>
        </w:rPr>
        <w:t>o multimedia resources in school while 52 (65%) of the respondents, a larger percentage had no access. This implies that much is required to facilitate easy access to multimedia resources.</w:t>
      </w:r>
    </w:p>
    <w:p w:rsidR="007647BA" w:rsidRDefault="007647BA">
      <w:pPr>
        <w:snapToGrid w:val="0"/>
        <w:spacing w:after="0" w:line="240" w:lineRule="auto"/>
        <w:jc w:val="both"/>
        <w:rPr>
          <w:rFonts w:ascii="Times New Roman" w:hAnsi="Times New Roman" w:cs="Times New Roman" w:hint="eastAsia"/>
          <w:sz w:val="20"/>
          <w:szCs w:val="20"/>
          <w:lang w:eastAsia="zh-CN"/>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Table 6: Types of Multimedia Resources being used</w:t>
      </w:r>
    </w:p>
    <w:tbl>
      <w:tblPr>
        <w:tblStyle w:val="TableGrid"/>
        <w:tblW w:w="5000" w:type="pct"/>
        <w:jc w:val="center"/>
        <w:tblLook w:val="04A0"/>
      </w:tblPr>
      <w:tblGrid>
        <w:gridCol w:w="4629"/>
        <w:gridCol w:w="2141"/>
        <w:gridCol w:w="2806"/>
      </w:tblGrid>
      <w:tr w:rsidR="008D41E1" w:rsidRPr="007647BA" w:rsidTr="007647BA">
        <w:trPr>
          <w:jc w:val="center"/>
        </w:trPr>
        <w:tc>
          <w:tcPr>
            <w:tcW w:w="2417"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Type</w:t>
            </w:r>
          </w:p>
        </w:tc>
        <w:tc>
          <w:tcPr>
            <w:tcW w:w="1118"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Frequency</w:t>
            </w:r>
          </w:p>
        </w:tc>
        <w:tc>
          <w:tcPr>
            <w:tcW w:w="1465"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Percentage (%)</w:t>
            </w:r>
          </w:p>
        </w:tc>
      </w:tr>
      <w:tr w:rsidR="008D41E1" w:rsidRPr="007647BA" w:rsidTr="007647BA">
        <w:trPr>
          <w:jc w:val="center"/>
        </w:trPr>
        <w:tc>
          <w:tcPr>
            <w:tcW w:w="2417"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Transparency</w:t>
            </w:r>
          </w:p>
        </w:tc>
        <w:tc>
          <w:tcPr>
            <w:tcW w:w="1118"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4</w:t>
            </w:r>
          </w:p>
        </w:tc>
        <w:tc>
          <w:tcPr>
            <w:tcW w:w="1465"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5.00</w:t>
            </w:r>
          </w:p>
        </w:tc>
      </w:tr>
      <w:tr w:rsidR="008D41E1" w:rsidRPr="007647BA" w:rsidTr="007647BA">
        <w:trPr>
          <w:jc w:val="center"/>
        </w:trPr>
        <w:tc>
          <w:tcPr>
            <w:tcW w:w="2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Television</w:t>
            </w:r>
          </w:p>
        </w:tc>
        <w:tc>
          <w:tcPr>
            <w:tcW w:w="11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44</w:t>
            </w:r>
          </w:p>
        </w:tc>
        <w:tc>
          <w:tcPr>
            <w:tcW w:w="14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55.00</w:t>
            </w:r>
          </w:p>
        </w:tc>
      </w:tr>
      <w:tr w:rsidR="008D41E1" w:rsidRPr="007647BA" w:rsidTr="007647BA">
        <w:trPr>
          <w:jc w:val="center"/>
        </w:trPr>
        <w:tc>
          <w:tcPr>
            <w:tcW w:w="2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Radio</w:t>
            </w:r>
          </w:p>
        </w:tc>
        <w:tc>
          <w:tcPr>
            <w:tcW w:w="11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56</w:t>
            </w:r>
          </w:p>
        </w:tc>
        <w:tc>
          <w:tcPr>
            <w:tcW w:w="14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70.00</w:t>
            </w:r>
          </w:p>
        </w:tc>
      </w:tr>
      <w:tr w:rsidR="008D41E1" w:rsidRPr="007647BA" w:rsidTr="007647BA">
        <w:trPr>
          <w:jc w:val="center"/>
        </w:trPr>
        <w:tc>
          <w:tcPr>
            <w:tcW w:w="2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Projector</w:t>
            </w:r>
          </w:p>
        </w:tc>
        <w:tc>
          <w:tcPr>
            <w:tcW w:w="11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56</w:t>
            </w:r>
          </w:p>
        </w:tc>
        <w:tc>
          <w:tcPr>
            <w:tcW w:w="14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70.00</w:t>
            </w:r>
          </w:p>
        </w:tc>
      </w:tr>
      <w:tr w:rsidR="008D41E1" w:rsidRPr="007647BA" w:rsidTr="007647BA">
        <w:trPr>
          <w:jc w:val="center"/>
        </w:trPr>
        <w:tc>
          <w:tcPr>
            <w:tcW w:w="2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Graphics </w:t>
            </w:r>
          </w:p>
        </w:tc>
        <w:tc>
          <w:tcPr>
            <w:tcW w:w="11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56</w:t>
            </w:r>
          </w:p>
        </w:tc>
        <w:tc>
          <w:tcPr>
            <w:tcW w:w="14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70.00</w:t>
            </w:r>
          </w:p>
        </w:tc>
      </w:tr>
      <w:tr w:rsidR="008D41E1" w:rsidRPr="007647BA" w:rsidTr="007647BA">
        <w:trPr>
          <w:jc w:val="center"/>
        </w:trPr>
        <w:tc>
          <w:tcPr>
            <w:tcW w:w="2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CD-ROMs</w:t>
            </w:r>
          </w:p>
        </w:tc>
        <w:tc>
          <w:tcPr>
            <w:tcW w:w="11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60</w:t>
            </w:r>
          </w:p>
        </w:tc>
        <w:tc>
          <w:tcPr>
            <w:tcW w:w="14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75.00</w:t>
            </w:r>
          </w:p>
        </w:tc>
      </w:tr>
      <w:tr w:rsidR="008D41E1" w:rsidRPr="007647BA" w:rsidTr="007647BA">
        <w:trPr>
          <w:jc w:val="center"/>
        </w:trPr>
        <w:tc>
          <w:tcPr>
            <w:tcW w:w="24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Computer &amp; its Accessories </w:t>
            </w:r>
          </w:p>
        </w:tc>
        <w:tc>
          <w:tcPr>
            <w:tcW w:w="11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76</w:t>
            </w:r>
          </w:p>
        </w:tc>
        <w:tc>
          <w:tcPr>
            <w:tcW w:w="146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95.00</w:t>
            </w:r>
          </w:p>
        </w:tc>
      </w:tr>
      <w:tr w:rsidR="008D41E1" w:rsidRPr="007647BA" w:rsidTr="007647BA">
        <w:trPr>
          <w:jc w:val="center"/>
        </w:trPr>
        <w:tc>
          <w:tcPr>
            <w:tcW w:w="2417"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Internet &amp; its </w:t>
            </w:r>
            <w:r w:rsidRPr="007647BA">
              <w:rPr>
                <w:rFonts w:ascii="Times New Roman" w:hAnsi="Times New Roman" w:cs="Times New Roman"/>
                <w:sz w:val="20"/>
                <w:szCs w:val="20"/>
              </w:rPr>
              <w:t>Facilities</w:t>
            </w:r>
          </w:p>
        </w:tc>
        <w:tc>
          <w:tcPr>
            <w:tcW w:w="1118"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80</w:t>
            </w:r>
          </w:p>
        </w:tc>
        <w:tc>
          <w:tcPr>
            <w:tcW w:w="1465"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100.00</w:t>
            </w:r>
          </w:p>
        </w:tc>
      </w:tr>
    </w:tbl>
    <w:p w:rsidR="008D41E1" w:rsidRDefault="008D41E1">
      <w:pPr>
        <w:snapToGrid w:val="0"/>
        <w:spacing w:after="0" w:line="240" w:lineRule="auto"/>
        <w:jc w:val="both"/>
        <w:rPr>
          <w:rFonts w:ascii="Times New Roman" w:hAnsi="Times New Roman" w:cs="Times New Roman" w:hint="eastAsia"/>
          <w:sz w:val="20"/>
          <w:szCs w:val="20"/>
          <w:lang w:eastAsia="zh-CN"/>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7647BA" w:rsidRPr="007647BA" w:rsidRDefault="007647BA">
      <w:pPr>
        <w:snapToGrid w:val="0"/>
        <w:spacing w:after="0" w:line="240" w:lineRule="auto"/>
        <w:jc w:val="both"/>
        <w:rPr>
          <w:rFonts w:ascii="Times New Roman" w:hAnsi="Times New Roman" w:cs="Times New Roman" w:hint="eastAsia"/>
          <w:sz w:val="20"/>
          <w:szCs w:val="20"/>
          <w:lang w:eastAsia="zh-CN"/>
        </w:rPr>
        <w:sectPr w:rsidR="007647BA" w:rsidRPr="007647BA">
          <w:type w:val="continuous"/>
          <w:pgSz w:w="12240" w:h="15840"/>
          <w:pgMar w:top="1440" w:right="1440" w:bottom="1440" w:left="1440" w:header="720" w:footer="720" w:gutter="0"/>
          <w:cols w:space="720"/>
          <w:docGrid w:linePitch="360"/>
        </w:sectPr>
      </w:pPr>
    </w:p>
    <w:p w:rsidR="008D41E1" w:rsidRPr="007647BA" w:rsidRDefault="004A7A6E" w:rsidP="007647BA">
      <w:pPr>
        <w:snapToGrid w:val="0"/>
        <w:spacing w:after="0" w:line="240" w:lineRule="auto"/>
        <w:ind w:firstLineChars="354" w:firstLine="708"/>
        <w:jc w:val="both"/>
        <w:rPr>
          <w:rFonts w:ascii="Times New Roman" w:hAnsi="Times New Roman" w:cs="Times New Roman"/>
          <w:sz w:val="20"/>
          <w:szCs w:val="20"/>
        </w:rPr>
      </w:pPr>
      <w:r w:rsidRPr="007647BA">
        <w:rPr>
          <w:rFonts w:ascii="Times New Roman" w:hAnsi="Times New Roman" w:cs="Times New Roman"/>
          <w:sz w:val="20"/>
          <w:szCs w:val="20"/>
        </w:rPr>
        <w:lastRenderedPageBreak/>
        <w:t xml:space="preserve">From the table above one can gather that the mostly used of the multimedia are the Internet and its facilities as all the respondents signified that they used it; followed by computer and its accessories 76 (95.00%); CD – </w:t>
      </w:r>
      <w:r w:rsidRPr="007647BA">
        <w:rPr>
          <w:rFonts w:ascii="Times New Roman" w:hAnsi="Times New Roman" w:cs="Times New Roman"/>
          <w:sz w:val="20"/>
          <w:szCs w:val="20"/>
        </w:rPr>
        <w:t>ROMs 60 (75.00%); then Radio, Projector and Graphics 56 (70.00%); while Television 44 (55.00%) and Transparency 4 (5.00%) were the least being used.</w:t>
      </w:r>
    </w:p>
    <w:p w:rsidR="008D41E1" w:rsidRPr="007647BA" w:rsidRDefault="004A7A6E" w:rsidP="007647BA">
      <w:pPr>
        <w:snapToGrid w:val="0"/>
        <w:spacing w:after="0" w:line="240" w:lineRule="auto"/>
        <w:ind w:firstLineChars="354" w:firstLine="708"/>
        <w:jc w:val="both"/>
        <w:rPr>
          <w:rFonts w:ascii="Times New Roman" w:hAnsi="Times New Roman" w:cs="Times New Roman"/>
          <w:sz w:val="20"/>
          <w:szCs w:val="20"/>
        </w:rPr>
      </w:pPr>
      <w:r w:rsidRPr="007647BA">
        <w:rPr>
          <w:rFonts w:ascii="Times New Roman" w:hAnsi="Times New Roman" w:cs="Times New Roman"/>
          <w:sz w:val="20"/>
          <w:szCs w:val="20"/>
        </w:rPr>
        <w:t>Interview sessions held with these respondents as to what they used these resources for and where they used</w:t>
      </w:r>
      <w:r w:rsidRPr="007647BA">
        <w:rPr>
          <w:rFonts w:ascii="Times New Roman" w:hAnsi="Times New Roman" w:cs="Times New Roman"/>
          <w:sz w:val="20"/>
          <w:szCs w:val="20"/>
        </w:rPr>
        <w:t xml:space="preserve"> them revealed that majority 65 (81.25%) of the respondents used the multimedia </w:t>
      </w:r>
      <w:r w:rsidRPr="007647BA">
        <w:rPr>
          <w:rFonts w:ascii="Times New Roman" w:hAnsi="Times New Roman" w:cs="Times New Roman"/>
          <w:sz w:val="20"/>
          <w:szCs w:val="20"/>
        </w:rPr>
        <w:lastRenderedPageBreak/>
        <w:t>resources for their research and publication activities and outlets; paper presentations; forming lesson notes used in teaching and not in the actual use in the classroom for t</w:t>
      </w:r>
      <w:r w:rsidRPr="007647BA">
        <w:rPr>
          <w:rFonts w:ascii="Times New Roman" w:hAnsi="Times New Roman" w:cs="Times New Roman"/>
          <w:sz w:val="20"/>
          <w:szCs w:val="20"/>
        </w:rPr>
        <w:t>eaching. Major reasons for not using these facilities in teaching their students were adduced to lack of infrastructural facilities, lack of ICT training skills and time to spend on the technology. Similarly, majority 65 (81.25%) of them signified that the</w:t>
      </w:r>
      <w:r w:rsidRPr="007647BA">
        <w:rPr>
          <w:rFonts w:ascii="Times New Roman" w:hAnsi="Times New Roman" w:cs="Times New Roman"/>
          <w:sz w:val="20"/>
          <w:szCs w:val="20"/>
        </w:rPr>
        <w:t>y made used of these materials at their homes and while the remaining 25 (18.75%) signified that they made use of these facilities on the campus and cybercafes outside the campus.</w:t>
      </w:r>
    </w:p>
    <w:p w:rsidR="008D41E1" w:rsidRPr="007647BA" w:rsidRDefault="008D41E1">
      <w:pPr>
        <w:snapToGrid w:val="0"/>
        <w:spacing w:after="0" w:line="240" w:lineRule="auto"/>
        <w:jc w:val="both"/>
        <w:rPr>
          <w:rFonts w:ascii="Times New Roman" w:hAnsi="Times New Roman" w:cs="Times New Roman"/>
          <w:sz w:val="20"/>
          <w:szCs w:val="20"/>
        </w:rPr>
        <w:sectPr w:rsidR="008D41E1" w:rsidRPr="007647BA">
          <w:type w:val="continuous"/>
          <w:pgSz w:w="12240" w:h="15840"/>
          <w:pgMar w:top="1440" w:right="1440" w:bottom="1440" w:left="1440" w:header="720" w:footer="720" w:gutter="0"/>
          <w:cols w:num="2" w:space="720"/>
          <w:docGrid w:linePitch="360"/>
        </w:sectPr>
      </w:pPr>
    </w:p>
    <w:p w:rsidR="008D41E1" w:rsidRPr="007647BA" w:rsidRDefault="008D41E1">
      <w:pPr>
        <w:snapToGrid w:val="0"/>
        <w:spacing w:after="0" w:line="240" w:lineRule="auto"/>
        <w:jc w:val="both"/>
        <w:rPr>
          <w:rFonts w:ascii="Times New Roman" w:hAnsi="Times New Roman" w:cs="Times New Roman"/>
          <w:sz w:val="20"/>
          <w:szCs w:val="20"/>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Table 7: Frequency of Use of Multimedia Resources</w:t>
      </w:r>
    </w:p>
    <w:tbl>
      <w:tblPr>
        <w:tblStyle w:val="TableGrid"/>
        <w:tblW w:w="5000" w:type="pct"/>
        <w:jc w:val="center"/>
        <w:tblLook w:val="04A0"/>
      </w:tblPr>
      <w:tblGrid>
        <w:gridCol w:w="1614"/>
        <w:gridCol w:w="1660"/>
        <w:gridCol w:w="1400"/>
        <w:gridCol w:w="2275"/>
        <w:gridCol w:w="1327"/>
        <w:gridCol w:w="1300"/>
      </w:tblGrid>
      <w:tr w:rsidR="008D41E1" w:rsidRPr="007647BA" w:rsidTr="007647BA">
        <w:trPr>
          <w:jc w:val="center"/>
        </w:trPr>
        <w:tc>
          <w:tcPr>
            <w:tcW w:w="842" w:type="pct"/>
            <w:tcBorders>
              <w:left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Multimedia</w:t>
            </w:r>
          </w:p>
        </w:tc>
        <w:tc>
          <w:tcPr>
            <w:tcW w:w="867" w:type="pct"/>
            <w:tcBorders>
              <w:left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Ve</w:t>
            </w:r>
            <w:r w:rsidRPr="007647BA">
              <w:rPr>
                <w:rFonts w:ascii="Times New Roman" w:hAnsi="Times New Roman" w:cs="Times New Roman"/>
                <w:b/>
                <w:sz w:val="20"/>
                <w:szCs w:val="20"/>
              </w:rPr>
              <w:t>ry Often</w:t>
            </w:r>
          </w:p>
        </w:tc>
        <w:tc>
          <w:tcPr>
            <w:tcW w:w="731" w:type="pct"/>
            <w:tcBorders>
              <w:left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Often</w:t>
            </w:r>
          </w:p>
        </w:tc>
        <w:tc>
          <w:tcPr>
            <w:tcW w:w="1188" w:type="pct"/>
            <w:tcBorders>
              <w:left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Seldom/Sometimes</w:t>
            </w:r>
          </w:p>
        </w:tc>
        <w:tc>
          <w:tcPr>
            <w:tcW w:w="693"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Rarely</w:t>
            </w:r>
          </w:p>
        </w:tc>
        <w:tc>
          <w:tcPr>
            <w:tcW w:w="679"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Never</w:t>
            </w:r>
          </w:p>
        </w:tc>
      </w:tr>
      <w:tr w:rsidR="008D41E1" w:rsidRPr="007647BA" w:rsidTr="007647BA">
        <w:trPr>
          <w:jc w:val="center"/>
        </w:trPr>
        <w:tc>
          <w:tcPr>
            <w:tcW w:w="842" w:type="pct"/>
            <w:tcBorders>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Transparency</w:t>
            </w:r>
          </w:p>
        </w:tc>
        <w:tc>
          <w:tcPr>
            <w:tcW w:w="867" w:type="pct"/>
            <w:tcBorders>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731" w:type="pct"/>
            <w:tcBorders>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1188" w:type="pct"/>
            <w:tcBorders>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4 (5.00)</w:t>
            </w:r>
          </w:p>
        </w:tc>
        <w:tc>
          <w:tcPr>
            <w:tcW w:w="693"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679"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76 (95.00)</w:t>
            </w:r>
          </w:p>
        </w:tc>
      </w:tr>
      <w:tr w:rsidR="008D41E1" w:rsidRPr="007647BA" w:rsidTr="007647BA">
        <w:trPr>
          <w:jc w:val="center"/>
        </w:trPr>
        <w:tc>
          <w:tcPr>
            <w:tcW w:w="8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Television</w:t>
            </w:r>
          </w:p>
        </w:tc>
        <w:tc>
          <w:tcPr>
            <w:tcW w:w="8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 (12.50)</w:t>
            </w:r>
          </w:p>
        </w:tc>
        <w:tc>
          <w:tcPr>
            <w:tcW w:w="7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30 (37.50)</w:t>
            </w:r>
          </w:p>
        </w:tc>
        <w:tc>
          <w:tcPr>
            <w:tcW w:w="11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4 (5.00)</w:t>
            </w:r>
          </w:p>
        </w:tc>
        <w:tc>
          <w:tcPr>
            <w:tcW w:w="6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6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36 (45.00)</w:t>
            </w:r>
          </w:p>
        </w:tc>
      </w:tr>
      <w:tr w:rsidR="008D41E1" w:rsidRPr="007647BA" w:rsidTr="007647BA">
        <w:trPr>
          <w:jc w:val="center"/>
        </w:trPr>
        <w:tc>
          <w:tcPr>
            <w:tcW w:w="8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Radio</w:t>
            </w:r>
          </w:p>
        </w:tc>
        <w:tc>
          <w:tcPr>
            <w:tcW w:w="8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16 (20.00)</w:t>
            </w:r>
          </w:p>
        </w:tc>
        <w:tc>
          <w:tcPr>
            <w:tcW w:w="7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35 (43.75)</w:t>
            </w:r>
          </w:p>
        </w:tc>
        <w:tc>
          <w:tcPr>
            <w:tcW w:w="11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 (6.25)</w:t>
            </w:r>
          </w:p>
        </w:tc>
        <w:tc>
          <w:tcPr>
            <w:tcW w:w="6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6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24 (30.00)</w:t>
            </w:r>
          </w:p>
        </w:tc>
      </w:tr>
      <w:tr w:rsidR="008D41E1" w:rsidRPr="007647BA" w:rsidTr="007647BA">
        <w:trPr>
          <w:jc w:val="center"/>
        </w:trPr>
        <w:tc>
          <w:tcPr>
            <w:tcW w:w="8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Projector</w:t>
            </w:r>
          </w:p>
        </w:tc>
        <w:tc>
          <w:tcPr>
            <w:tcW w:w="8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30 (37.50)</w:t>
            </w:r>
          </w:p>
        </w:tc>
        <w:tc>
          <w:tcPr>
            <w:tcW w:w="7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16 (20.00)</w:t>
            </w:r>
          </w:p>
        </w:tc>
        <w:tc>
          <w:tcPr>
            <w:tcW w:w="11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 (12.50)</w:t>
            </w:r>
          </w:p>
        </w:tc>
        <w:tc>
          <w:tcPr>
            <w:tcW w:w="6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6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24 (30.00)</w:t>
            </w:r>
          </w:p>
        </w:tc>
      </w:tr>
      <w:tr w:rsidR="008D41E1" w:rsidRPr="007647BA" w:rsidTr="007647BA">
        <w:trPr>
          <w:jc w:val="center"/>
        </w:trPr>
        <w:tc>
          <w:tcPr>
            <w:tcW w:w="8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Graphics</w:t>
            </w:r>
          </w:p>
        </w:tc>
        <w:tc>
          <w:tcPr>
            <w:tcW w:w="8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 (12.50)</w:t>
            </w:r>
          </w:p>
        </w:tc>
        <w:tc>
          <w:tcPr>
            <w:tcW w:w="7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26 (32.50)</w:t>
            </w:r>
          </w:p>
        </w:tc>
        <w:tc>
          <w:tcPr>
            <w:tcW w:w="11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20 (25.00)</w:t>
            </w:r>
          </w:p>
        </w:tc>
        <w:tc>
          <w:tcPr>
            <w:tcW w:w="6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12 (15.00)</w:t>
            </w:r>
          </w:p>
        </w:tc>
        <w:tc>
          <w:tcPr>
            <w:tcW w:w="6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12 (15.00)</w:t>
            </w:r>
          </w:p>
        </w:tc>
      </w:tr>
      <w:tr w:rsidR="008D41E1" w:rsidRPr="007647BA" w:rsidTr="007647BA">
        <w:trPr>
          <w:jc w:val="center"/>
        </w:trPr>
        <w:tc>
          <w:tcPr>
            <w:tcW w:w="8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CD-ROMs</w:t>
            </w:r>
          </w:p>
        </w:tc>
        <w:tc>
          <w:tcPr>
            <w:tcW w:w="8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30 (37.50)</w:t>
            </w:r>
          </w:p>
        </w:tc>
        <w:tc>
          <w:tcPr>
            <w:tcW w:w="7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20 (25.00)</w:t>
            </w:r>
          </w:p>
        </w:tc>
        <w:tc>
          <w:tcPr>
            <w:tcW w:w="11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 (12.50)</w:t>
            </w:r>
          </w:p>
        </w:tc>
        <w:tc>
          <w:tcPr>
            <w:tcW w:w="6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6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20 (25.00)</w:t>
            </w:r>
          </w:p>
        </w:tc>
      </w:tr>
      <w:tr w:rsidR="008D41E1" w:rsidRPr="007647BA" w:rsidTr="007647BA">
        <w:trPr>
          <w:jc w:val="center"/>
        </w:trPr>
        <w:tc>
          <w:tcPr>
            <w:tcW w:w="8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Computer</w:t>
            </w:r>
          </w:p>
        </w:tc>
        <w:tc>
          <w:tcPr>
            <w:tcW w:w="8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64 (80.00)</w:t>
            </w:r>
          </w:p>
        </w:tc>
        <w:tc>
          <w:tcPr>
            <w:tcW w:w="7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12 (15.00)</w:t>
            </w:r>
          </w:p>
        </w:tc>
        <w:tc>
          <w:tcPr>
            <w:tcW w:w="118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4 (5.00)</w:t>
            </w:r>
          </w:p>
        </w:tc>
        <w:tc>
          <w:tcPr>
            <w:tcW w:w="6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6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r>
      <w:tr w:rsidR="008D41E1" w:rsidRPr="007647BA" w:rsidTr="007647BA">
        <w:trPr>
          <w:jc w:val="center"/>
        </w:trPr>
        <w:tc>
          <w:tcPr>
            <w:tcW w:w="842" w:type="pct"/>
            <w:tcBorders>
              <w:top w:val="single" w:sz="4" w:space="0" w:color="FFFFFF" w:themeColor="background1"/>
              <w:left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Internet</w:t>
            </w:r>
          </w:p>
        </w:tc>
        <w:tc>
          <w:tcPr>
            <w:tcW w:w="867" w:type="pct"/>
            <w:tcBorders>
              <w:top w:val="single" w:sz="4" w:space="0" w:color="FFFFFF" w:themeColor="background1"/>
              <w:left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70 (87.50)</w:t>
            </w:r>
          </w:p>
        </w:tc>
        <w:tc>
          <w:tcPr>
            <w:tcW w:w="731" w:type="pct"/>
            <w:tcBorders>
              <w:top w:val="single" w:sz="4" w:space="0" w:color="FFFFFF" w:themeColor="background1"/>
              <w:left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 (12.50)</w:t>
            </w:r>
          </w:p>
        </w:tc>
        <w:tc>
          <w:tcPr>
            <w:tcW w:w="1188" w:type="pct"/>
            <w:tcBorders>
              <w:top w:val="single" w:sz="4" w:space="0" w:color="FFFFFF" w:themeColor="background1"/>
              <w:left w:val="single" w:sz="4" w:space="0" w:color="FFFFFF" w:themeColor="background1"/>
              <w:right w:val="single" w:sz="4" w:space="0" w:color="FFFFFF" w:themeColor="background1"/>
            </w:tcBorders>
            <w:vAlign w:val="center"/>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693"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c>
          <w:tcPr>
            <w:tcW w:w="679"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w:t>
            </w:r>
          </w:p>
        </w:tc>
      </w:tr>
    </w:tbl>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 Note: Values in parenthesis ( ) are % </w:t>
      </w:r>
    </w:p>
    <w:p w:rsidR="008D41E1" w:rsidRDefault="008D41E1">
      <w:pPr>
        <w:snapToGrid w:val="0"/>
        <w:spacing w:after="0" w:line="240" w:lineRule="auto"/>
        <w:jc w:val="both"/>
        <w:rPr>
          <w:rFonts w:ascii="Times New Roman" w:hAnsi="Times New Roman" w:cs="Times New Roman" w:hint="eastAsia"/>
          <w:sz w:val="20"/>
          <w:szCs w:val="20"/>
          <w:lang w:eastAsia="zh-CN"/>
        </w:rPr>
      </w:pPr>
    </w:p>
    <w:p w:rsidR="007647BA" w:rsidRDefault="007647BA">
      <w:pPr>
        <w:snapToGrid w:val="0"/>
        <w:spacing w:after="0" w:line="240" w:lineRule="auto"/>
        <w:jc w:val="both"/>
        <w:rPr>
          <w:rFonts w:ascii="Times New Roman" w:hAnsi="Times New Roman" w:cs="Times New Roman" w:hint="eastAsia"/>
          <w:sz w:val="20"/>
          <w:szCs w:val="20"/>
          <w:lang w:eastAsia="zh-CN"/>
        </w:rPr>
      </w:pPr>
    </w:p>
    <w:p w:rsidR="007647BA" w:rsidRPr="007647BA" w:rsidRDefault="007647BA">
      <w:pPr>
        <w:snapToGrid w:val="0"/>
        <w:spacing w:after="0" w:line="240" w:lineRule="auto"/>
        <w:jc w:val="both"/>
        <w:rPr>
          <w:rFonts w:ascii="Times New Roman" w:hAnsi="Times New Roman" w:cs="Times New Roman" w:hint="eastAsia"/>
          <w:sz w:val="20"/>
          <w:szCs w:val="20"/>
          <w:lang w:eastAsia="zh-CN"/>
        </w:rPr>
        <w:sectPr w:rsidR="007647BA" w:rsidRPr="007647BA">
          <w:type w:val="continuous"/>
          <w:pgSz w:w="12240" w:h="15840"/>
          <w:pgMar w:top="1440" w:right="1440" w:bottom="1440" w:left="1440" w:header="720" w:footer="720" w:gutter="0"/>
          <w:cols w:space="720"/>
          <w:docGrid w:linePitch="360"/>
        </w:sectPr>
      </w:pPr>
    </w:p>
    <w:p w:rsidR="008D41E1" w:rsidRPr="007647BA" w:rsidRDefault="004A7A6E" w:rsidP="007647BA">
      <w:pPr>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lastRenderedPageBreak/>
        <w:t xml:space="preserve">Table 7 presented the frequency of use of the multimedia resources by the lessons in the schools. A critical observation of the result showed that Internet and its facilities have the highest </w:t>
      </w:r>
      <w:r w:rsidRPr="007647BA">
        <w:rPr>
          <w:rFonts w:ascii="Times New Roman" w:hAnsi="Times New Roman" w:cs="Times New Roman"/>
          <w:sz w:val="20"/>
          <w:szCs w:val="20"/>
        </w:rPr>
        <w:lastRenderedPageBreak/>
        <w:t>frequency of use 80 (100.00%) with 70 (87.50%) using it very oft</w:t>
      </w:r>
      <w:r w:rsidRPr="007647BA">
        <w:rPr>
          <w:rFonts w:ascii="Times New Roman" w:hAnsi="Times New Roman" w:cs="Times New Roman"/>
          <w:sz w:val="20"/>
          <w:szCs w:val="20"/>
        </w:rPr>
        <w:t xml:space="preserve">en and 10 (12.50%) often; followed by computer 76 (95.00%) with 64 (80.00%) using it very often and 12 (15.00%) often while Television 44 </w:t>
      </w:r>
      <w:r w:rsidRPr="007647BA">
        <w:rPr>
          <w:rFonts w:ascii="Times New Roman" w:hAnsi="Times New Roman" w:cs="Times New Roman"/>
          <w:sz w:val="20"/>
          <w:szCs w:val="20"/>
        </w:rPr>
        <w:lastRenderedPageBreak/>
        <w:t>(55.00%) with 10 (12.50%) using it very often and 30 (37.50%) often and Transparency 4 (5.00) only seldomly using it h</w:t>
      </w:r>
      <w:r w:rsidRPr="007647BA">
        <w:rPr>
          <w:rFonts w:ascii="Times New Roman" w:hAnsi="Times New Roman" w:cs="Times New Roman"/>
          <w:sz w:val="20"/>
          <w:szCs w:val="20"/>
        </w:rPr>
        <w:t xml:space="preserve">ave the least frequencies. This is an indication that the Internet, computer and its </w:t>
      </w:r>
      <w:r w:rsidRPr="007647BA">
        <w:rPr>
          <w:rFonts w:ascii="Times New Roman" w:hAnsi="Times New Roman" w:cs="Times New Roman"/>
          <w:sz w:val="20"/>
          <w:szCs w:val="20"/>
        </w:rPr>
        <w:lastRenderedPageBreak/>
        <w:t xml:space="preserve">accessories; as well as radio, projector and graphics were regularly being used in the teaching, research and publication activities while television and transparency are </w:t>
      </w:r>
      <w:r w:rsidRPr="007647BA">
        <w:rPr>
          <w:rFonts w:ascii="Times New Roman" w:hAnsi="Times New Roman" w:cs="Times New Roman"/>
          <w:sz w:val="20"/>
          <w:szCs w:val="20"/>
        </w:rPr>
        <w:t>rarely being used in these processes.</w:t>
      </w:r>
    </w:p>
    <w:p w:rsidR="008D41E1" w:rsidRPr="007647BA" w:rsidRDefault="008D41E1">
      <w:pPr>
        <w:snapToGrid w:val="0"/>
        <w:spacing w:after="0" w:line="240" w:lineRule="auto"/>
        <w:jc w:val="both"/>
        <w:rPr>
          <w:rFonts w:ascii="Times New Roman" w:hAnsi="Times New Roman" w:cs="Times New Roman"/>
          <w:b/>
          <w:bCs/>
          <w:sz w:val="20"/>
          <w:szCs w:val="20"/>
        </w:rPr>
        <w:sectPr w:rsidR="008D41E1" w:rsidRPr="007647BA">
          <w:type w:val="continuous"/>
          <w:pgSz w:w="12240" w:h="15840"/>
          <w:pgMar w:top="1440" w:right="1440" w:bottom="1440" w:left="1440" w:header="720" w:footer="720" w:gutter="0"/>
          <w:cols w:num="2" w:space="720"/>
          <w:docGrid w:linePitch="360"/>
        </w:sectPr>
      </w:pPr>
    </w:p>
    <w:p w:rsidR="008D41E1" w:rsidRDefault="008D41E1">
      <w:pPr>
        <w:snapToGrid w:val="0"/>
        <w:spacing w:after="0" w:line="240" w:lineRule="auto"/>
        <w:jc w:val="both"/>
        <w:rPr>
          <w:rFonts w:ascii="Times New Roman" w:hAnsi="Times New Roman" w:cs="Times New Roman" w:hint="eastAsia"/>
          <w:b/>
          <w:bCs/>
          <w:sz w:val="20"/>
          <w:szCs w:val="20"/>
          <w:lang w:eastAsia="zh-CN"/>
        </w:rPr>
      </w:pPr>
    </w:p>
    <w:p w:rsidR="006371B0" w:rsidRPr="007647BA" w:rsidRDefault="006371B0">
      <w:pPr>
        <w:snapToGrid w:val="0"/>
        <w:spacing w:after="0" w:line="240" w:lineRule="auto"/>
        <w:jc w:val="both"/>
        <w:rPr>
          <w:rFonts w:ascii="Times New Roman" w:hAnsi="Times New Roman" w:cs="Times New Roman" w:hint="eastAsia"/>
          <w:b/>
          <w:bCs/>
          <w:sz w:val="20"/>
          <w:szCs w:val="20"/>
          <w:lang w:eastAsia="zh-CN"/>
        </w:rPr>
      </w:pPr>
    </w:p>
    <w:p w:rsidR="008D41E1" w:rsidRDefault="004A7A6E">
      <w:pPr>
        <w:snapToGrid w:val="0"/>
        <w:spacing w:after="0" w:line="240" w:lineRule="auto"/>
        <w:jc w:val="both"/>
        <w:rPr>
          <w:rFonts w:ascii="Times New Roman" w:hAnsi="Times New Roman" w:cs="Times New Roman" w:hint="eastAsia"/>
          <w:sz w:val="20"/>
          <w:szCs w:val="20"/>
          <w:lang w:eastAsia="zh-CN"/>
        </w:rPr>
      </w:pPr>
      <w:r w:rsidRPr="007647BA">
        <w:rPr>
          <w:rFonts w:ascii="Times New Roman" w:hAnsi="Times New Roman" w:cs="Times New Roman"/>
          <w:b/>
          <w:bCs/>
          <w:sz w:val="20"/>
          <w:szCs w:val="20"/>
        </w:rPr>
        <w:t xml:space="preserve">Research Question 4: </w:t>
      </w:r>
      <w:r w:rsidRPr="007647BA">
        <w:rPr>
          <w:rFonts w:ascii="Times New Roman" w:hAnsi="Times New Roman" w:cs="Times New Roman"/>
          <w:sz w:val="20"/>
          <w:szCs w:val="20"/>
        </w:rPr>
        <w:t>What factors limit the use of multimedia by Mathematics teachers in secondary schools within Minna town?</w:t>
      </w:r>
    </w:p>
    <w:p w:rsidR="007647BA" w:rsidRDefault="007647BA">
      <w:pPr>
        <w:snapToGrid w:val="0"/>
        <w:spacing w:after="0" w:line="240" w:lineRule="auto"/>
        <w:jc w:val="both"/>
        <w:rPr>
          <w:rFonts w:ascii="Times New Roman" w:hAnsi="Times New Roman" w:cs="Times New Roman" w:hint="eastAsia"/>
          <w:b/>
          <w:bCs/>
          <w:sz w:val="20"/>
          <w:szCs w:val="20"/>
          <w:lang w:eastAsia="zh-CN"/>
        </w:rPr>
      </w:pPr>
    </w:p>
    <w:p w:rsidR="007647BA" w:rsidRPr="007647BA" w:rsidRDefault="007647BA">
      <w:pPr>
        <w:snapToGrid w:val="0"/>
        <w:spacing w:after="0" w:line="240" w:lineRule="auto"/>
        <w:jc w:val="both"/>
        <w:rPr>
          <w:rFonts w:ascii="Times New Roman" w:hAnsi="Times New Roman" w:cs="Times New Roman" w:hint="eastAsia"/>
          <w:b/>
          <w:bCs/>
          <w:sz w:val="20"/>
          <w:szCs w:val="20"/>
          <w:lang w:eastAsia="zh-CN"/>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Table 8: Factors limiting the use of Multimedia in Schools</w:t>
      </w:r>
    </w:p>
    <w:tbl>
      <w:tblPr>
        <w:tblStyle w:val="TableGrid"/>
        <w:tblW w:w="5000" w:type="pct"/>
        <w:tblLook w:val="04A0"/>
      </w:tblPr>
      <w:tblGrid>
        <w:gridCol w:w="6108"/>
        <w:gridCol w:w="1354"/>
        <w:gridCol w:w="2114"/>
      </w:tblGrid>
      <w:tr w:rsidR="008D41E1" w:rsidRPr="007647BA" w:rsidTr="007647BA">
        <w:tc>
          <w:tcPr>
            <w:tcW w:w="3189"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Factors</w:t>
            </w:r>
          </w:p>
        </w:tc>
        <w:tc>
          <w:tcPr>
            <w:tcW w:w="707"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Frequency</w:t>
            </w:r>
          </w:p>
        </w:tc>
        <w:tc>
          <w:tcPr>
            <w:tcW w:w="1104" w:type="pct"/>
            <w:tcBorders>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Percentage (%)</w:t>
            </w:r>
          </w:p>
        </w:tc>
      </w:tr>
      <w:tr w:rsidR="008D41E1" w:rsidRPr="007647BA" w:rsidTr="007647BA">
        <w:tc>
          <w:tcPr>
            <w:tcW w:w="3189"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Lack of supportive infrastructures </w:t>
            </w:r>
          </w:p>
        </w:tc>
        <w:tc>
          <w:tcPr>
            <w:tcW w:w="707"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80</w:t>
            </w:r>
          </w:p>
        </w:tc>
        <w:tc>
          <w:tcPr>
            <w:tcW w:w="1104" w:type="pct"/>
            <w:tcBorders>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100.00</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7647BA">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b/>
                <w:bCs/>
                <w:sz w:val="20"/>
                <w:szCs w:val="20"/>
              </w:rPr>
              <w:pict>
                <v:shapetype id="_x0000_t202" coordsize="21600,21600" o:spt="202" path="m,l,21600r21600,l21600,xe">
                  <v:stroke joinstyle="miter"/>
                  <v:path gradientshapeok="t" o:connecttype="rect"/>
                </v:shapetype>
                <v:shape id="_x0000_s1030" type="#_x0000_t202" style="position:absolute;left:0;text-align:left;margin-left:233.2pt;margin-top:.05pt;width:42.8pt;height:28.55pt;z-index:251663360;mso-position-horizontal-relative:text;mso-position-vertical-relative:text" filled="f" stroked="f">
                  <v:textbox>
                    <w:txbxContent>
                      <w:p w:rsidR="008D41E1" w:rsidRDefault="004A7A6E">
                        <w:pPr>
                          <w:jc w:val="center"/>
                        </w:pPr>
                        <w:r>
                          <w:t>5</w:t>
                        </w:r>
                      </w:p>
                    </w:txbxContent>
                  </v:textbox>
                </v:shape>
              </w:pict>
            </w:r>
            <w:r w:rsidR="004A7A6E" w:rsidRPr="007647BA">
              <w:rPr>
                <w:rFonts w:ascii="Times New Roman" w:hAnsi="Times New Roman" w:cs="Times New Roman"/>
                <w:sz w:val="20"/>
                <w:szCs w:val="20"/>
              </w:rPr>
              <w:t xml:space="preserve">Lack of time to spend on technology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80</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7647BA">
            <w:pPr>
              <w:snapToGrid w:val="0"/>
              <w:spacing w:after="0" w:line="240" w:lineRule="auto"/>
              <w:jc w:val="both"/>
              <w:rPr>
                <w:rFonts w:ascii="Times New Roman" w:hAnsi="Times New Roman" w:cs="Times New Roman"/>
                <w:sz w:val="20"/>
                <w:szCs w:val="20"/>
              </w:rPr>
            </w:pPr>
            <w:r w:rsidRPr="007647BA">
              <w:rPr>
                <w:sz w:val="20"/>
                <w:szCs w:val="20"/>
              </w:rPr>
              <w:pict>
                <v:shape id="_x0000_s1031" type="#_x0000_t202" style="position:absolute;left:0;text-align:left;margin-left:41.65pt;margin-top:6.8pt;width:42.8pt;height:28.55pt;z-index:251664384;mso-position-horizontal-relative:text;mso-position-vertical-relative:text" filled="f" stroked="f">
                  <v:textbox>
                    <w:txbxContent>
                      <w:p w:rsidR="008D41E1" w:rsidRDefault="004A7A6E">
                        <w:pPr>
                          <w:jc w:val="center"/>
                        </w:pPr>
                        <w:r>
                          <w:t>6</w:t>
                        </w:r>
                      </w:p>
                    </w:txbxContent>
                  </v:textbox>
                </v:shape>
              </w:pict>
            </w:r>
            <w:r w:rsidR="004A7A6E" w:rsidRPr="007647BA">
              <w:rPr>
                <w:rFonts w:ascii="Times New Roman" w:hAnsi="Times New Roman" w:cs="Times New Roman"/>
                <w:sz w:val="20"/>
                <w:szCs w:val="20"/>
              </w:rPr>
              <w:t>100.00</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Inadequate or Lack of/Inadequate training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70</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87.50</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Inadequate capital on the part of the individual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60</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75.00</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High cost of technology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55</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68.75</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Wrong choice of software or software inadequacy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50</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62.50</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Lack of understanding of the value or possible benefits of multimedia facilities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8D41E1">
            <w:pPr>
              <w:snapToGrid w:val="0"/>
              <w:spacing w:after="0" w:line="240" w:lineRule="auto"/>
              <w:jc w:val="both"/>
              <w:rPr>
                <w:rFonts w:ascii="Times New Roman" w:hAnsi="Times New Roman" w:cs="Times New Roman"/>
                <w:sz w:val="20"/>
                <w:szCs w:val="20"/>
              </w:rPr>
            </w:pPr>
          </w:p>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50</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62.50</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Lack of perceived economic or other benefits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50</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62.50</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Too hard to use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30</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37.50</w:t>
            </w:r>
          </w:p>
        </w:tc>
      </w:tr>
      <w:tr w:rsidR="008D41E1" w:rsidRPr="007647BA" w:rsidTr="007647BA">
        <w:tc>
          <w:tcPr>
            <w:tcW w:w="3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Not user-friendly </w:t>
            </w:r>
          </w:p>
        </w:tc>
        <w:tc>
          <w:tcPr>
            <w:tcW w:w="7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w:t>
            </w:r>
          </w:p>
        </w:tc>
        <w:tc>
          <w:tcPr>
            <w:tcW w:w="110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12.50</w:t>
            </w:r>
          </w:p>
        </w:tc>
      </w:tr>
      <w:tr w:rsidR="008D41E1" w:rsidRPr="007647BA" w:rsidTr="007647BA">
        <w:tc>
          <w:tcPr>
            <w:tcW w:w="3189"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 xml:space="preserve">Non-existent of service </w:t>
            </w:r>
          </w:p>
        </w:tc>
        <w:tc>
          <w:tcPr>
            <w:tcW w:w="707"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10</w:t>
            </w:r>
          </w:p>
        </w:tc>
        <w:tc>
          <w:tcPr>
            <w:tcW w:w="1104" w:type="pct"/>
            <w:tcBorders>
              <w:top w:val="single" w:sz="4" w:space="0" w:color="FFFFFF" w:themeColor="background1"/>
              <w:left w:val="single" w:sz="4" w:space="0" w:color="FFFFFF" w:themeColor="background1"/>
              <w:right w:val="single" w:sz="4" w:space="0" w:color="FFFFFF" w:themeColor="background1"/>
            </w:tcBorders>
          </w:tcPr>
          <w:p w:rsidR="008D41E1" w:rsidRPr="007647BA" w:rsidRDefault="004A7A6E">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t>12.50</w:t>
            </w:r>
          </w:p>
        </w:tc>
      </w:tr>
    </w:tbl>
    <w:p w:rsidR="008D41E1" w:rsidRPr="007647BA" w:rsidRDefault="008D41E1">
      <w:pPr>
        <w:snapToGrid w:val="0"/>
        <w:spacing w:after="0" w:line="240" w:lineRule="auto"/>
        <w:jc w:val="both"/>
        <w:rPr>
          <w:rFonts w:ascii="Times New Roman" w:hAnsi="Times New Roman" w:cs="Times New Roman"/>
          <w:sz w:val="20"/>
          <w:szCs w:val="20"/>
        </w:rPr>
      </w:pPr>
    </w:p>
    <w:p w:rsidR="008D41E1" w:rsidRDefault="008D41E1">
      <w:pPr>
        <w:snapToGrid w:val="0"/>
        <w:spacing w:after="0" w:line="240" w:lineRule="auto"/>
        <w:jc w:val="both"/>
        <w:rPr>
          <w:rFonts w:ascii="Times New Roman" w:hAnsi="Times New Roman" w:cs="Times New Roman" w:hint="eastAsia"/>
          <w:sz w:val="20"/>
          <w:szCs w:val="20"/>
          <w:lang w:eastAsia="zh-CN"/>
        </w:rPr>
      </w:pPr>
    </w:p>
    <w:p w:rsidR="006371B0" w:rsidRPr="007647BA" w:rsidRDefault="006371B0">
      <w:pPr>
        <w:snapToGrid w:val="0"/>
        <w:spacing w:after="0" w:line="240" w:lineRule="auto"/>
        <w:jc w:val="both"/>
        <w:rPr>
          <w:rFonts w:ascii="Times New Roman" w:hAnsi="Times New Roman" w:cs="Times New Roman" w:hint="eastAsia"/>
          <w:sz w:val="20"/>
          <w:szCs w:val="20"/>
          <w:lang w:eastAsia="zh-CN"/>
        </w:rPr>
        <w:sectPr w:rsidR="006371B0" w:rsidRPr="007647BA">
          <w:type w:val="continuous"/>
          <w:pgSz w:w="12240" w:h="15840"/>
          <w:pgMar w:top="1440" w:right="1440" w:bottom="1440" w:left="1440" w:header="720" w:footer="720" w:gutter="0"/>
          <w:cols w:space="720"/>
          <w:docGrid w:linePitch="360"/>
        </w:sectPr>
      </w:pPr>
    </w:p>
    <w:p w:rsidR="008D41E1" w:rsidRPr="007647BA" w:rsidRDefault="004A7A6E" w:rsidP="007647BA">
      <w:pPr>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lastRenderedPageBreak/>
        <w:t xml:space="preserve">As shown in the table above, the order of importance of the constraint factors: lack of supportive infrastructures (100.00%), lack of time to spend on </w:t>
      </w:r>
      <w:r w:rsidRPr="007647BA">
        <w:rPr>
          <w:rFonts w:ascii="Times New Roman" w:hAnsi="Times New Roman" w:cs="Times New Roman"/>
          <w:sz w:val="20"/>
          <w:szCs w:val="20"/>
        </w:rPr>
        <w:t>technology (100.00%), lack of/Inadequate training (87.50%) and inadequate capital/funds on the part of the individual lesson (75.00%) appear to be the major constraint factors affecting or limiting Mathematics teachers’ use of multimedia and ICT in these s</w:t>
      </w:r>
      <w:r w:rsidRPr="007647BA">
        <w:rPr>
          <w:rFonts w:ascii="Times New Roman" w:hAnsi="Times New Roman" w:cs="Times New Roman"/>
          <w:sz w:val="20"/>
          <w:szCs w:val="20"/>
        </w:rPr>
        <w:t>econdary schools. Whereas multimedia in terms of being too hard to use, not user friendly and nonexistence of service are found to be of less importance having 37.50%, 12.50% and 12.50% respectively.</w:t>
      </w:r>
    </w:p>
    <w:p w:rsidR="007647BA" w:rsidRDefault="007647BA">
      <w:pPr>
        <w:pStyle w:val="Heading1"/>
        <w:snapToGrid w:val="0"/>
        <w:spacing w:before="0" w:line="240" w:lineRule="auto"/>
        <w:rPr>
          <w:rFonts w:cs="Times New Roman" w:hint="eastAsia"/>
          <w:sz w:val="20"/>
          <w:szCs w:val="20"/>
          <w:lang w:eastAsia="zh-CN"/>
        </w:rPr>
      </w:pPr>
    </w:p>
    <w:p w:rsidR="008D41E1" w:rsidRPr="007647BA" w:rsidRDefault="004A7A6E">
      <w:pPr>
        <w:pStyle w:val="Heading1"/>
        <w:snapToGrid w:val="0"/>
        <w:spacing w:before="0" w:line="240" w:lineRule="auto"/>
        <w:rPr>
          <w:rFonts w:cs="Times New Roman"/>
          <w:sz w:val="20"/>
          <w:szCs w:val="20"/>
        </w:rPr>
      </w:pPr>
      <w:r w:rsidRPr="007647BA">
        <w:rPr>
          <w:rFonts w:cs="Times New Roman"/>
          <w:sz w:val="20"/>
          <w:szCs w:val="20"/>
        </w:rPr>
        <w:t>Conclusion</w:t>
      </w:r>
    </w:p>
    <w:p w:rsidR="008D41E1" w:rsidRPr="007647BA" w:rsidRDefault="004A7A6E" w:rsidP="007647BA">
      <w:pPr>
        <w:autoSpaceDE w:val="0"/>
        <w:autoSpaceDN w:val="0"/>
        <w:adjustRightInd w:val="0"/>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t>Based on the findings of this study, the foll</w:t>
      </w:r>
      <w:r w:rsidRPr="007647BA">
        <w:rPr>
          <w:rFonts w:ascii="Times New Roman" w:hAnsi="Times New Roman" w:cs="Times New Roman"/>
          <w:sz w:val="20"/>
          <w:szCs w:val="20"/>
        </w:rPr>
        <w:t xml:space="preserve">owing conclusions were made: </w:t>
      </w:r>
      <w:bookmarkStart w:id="21" w:name="_Toc532980300"/>
      <w:r w:rsidRPr="007647BA">
        <w:rPr>
          <w:rFonts w:ascii="Times New Roman" w:hAnsi="Times New Roman" w:cs="Times New Roman"/>
          <w:sz w:val="20"/>
          <w:szCs w:val="20"/>
        </w:rPr>
        <w:t xml:space="preserve">Majority of the respondents do not have access to the multimedia resources in schools probably this might be responsible for use of these materials at their homes and cybercafes. The multimedia collections in these schools are </w:t>
      </w:r>
      <w:r w:rsidRPr="007647BA">
        <w:rPr>
          <w:rFonts w:ascii="Times New Roman" w:hAnsi="Times New Roman" w:cs="Times New Roman"/>
          <w:sz w:val="20"/>
          <w:szCs w:val="20"/>
        </w:rPr>
        <w:t>being viewed by respondents as being grossly inadequate. 28 (35.00%) of the respondents had access to the multimedia resources available in schools while the remaining 52 (65.00%) do not have access. It was also found that majority of the respondents did n</w:t>
      </w:r>
      <w:r w:rsidRPr="007647BA">
        <w:rPr>
          <w:rFonts w:ascii="Times New Roman" w:hAnsi="Times New Roman" w:cs="Times New Roman"/>
          <w:sz w:val="20"/>
          <w:szCs w:val="20"/>
        </w:rPr>
        <w:t xml:space="preserve">ot make use of the multimedia resources in practical teaching but rather in forming lesson notes for teaching their students, paper </w:t>
      </w:r>
      <w:r w:rsidRPr="007647BA">
        <w:rPr>
          <w:rFonts w:ascii="Times New Roman" w:hAnsi="Times New Roman" w:cs="Times New Roman"/>
          <w:sz w:val="20"/>
          <w:szCs w:val="20"/>
        </w:rPr>
        <w:lastRenderedPageBreak/>
        <w:t xml:space="preserve">presentations, research and publication activities/outlets. </w:t>
      </w:r>
    </w:p>
    <w:p w:rsidR="008D41E1" w:rsidRPr="007647BA" w:rsidRDefault="004A7A6E" w:rsidP="007647BA">
      <w:pPr>
        <w:autoSpaceDE w:val="0"/>
        <w:autoSpaceDN w:val="0"/>
        <w:adjustRightInd w:val="0"/>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t>It was also found that the mostly used multimedia facilities w</w:t>
      </w:r>
      <w:r w:rsidRPr="007647BA">
        <w:rPr>
          <w:rFonts w:ascii="Times New Roman" w:hAnsi="Times New Roman" w:cs="Times New Roman"/>
          <w:sz w:val="20"/>
          <w:szCs w:val="20"/>
        </w:rPr>
        <w:t>ere being used for research and publication activities rather than for teaching their students. The study further revealed that the Internet and its facilities as well as the Computer and CD-ROMs were the mostly used of the multimedia resources while the t</w:t>
      </w:r>
      <w:r w:rsidRPr="007647BA">
        <w:rPr>
          <w:rFonts w:ascii="Times New Roman" w:hAnsi="Times New Roman" w:cs="Times New Roman"/>
          <w:sz w:val="20"/>
          <w:szCs w:val="20"/>
        </w:rPr>
        <w:t>elevision and transparencies were the least being used. Lack of supportive infrastructures; lack of time to spend on technology, inadequate and or lack of training, inadequate fund on the part of individual teachers and high cost of technology were the maj</w:t>
      </w:r>
      <w:r w:rsidRPr="007647BA">
        <w:rPr>
          <w:rFonts w:ascii="Times New Roman" w:hAnsi="Times New Roman" w:cs="Times New Roman"/>
          <w:sz w:val="20"/>
          <w:szCs w:val="20"/>
        </w:rPr>
        <w:t>or constraint factor limiting the use of multimedia for real – life experience in teaching their students.</w:t>
      </w:r>
    </w:p>
    <w:p w:rsidR="007647BA" w:rsidRDefault="007647BA">
      <w:pPr>
        <w:pStyle w:val="Heading1"/>
        <w:snapToGrid w:val="0"/>
        <w:spacing w:before="0" w:line="240" w:lineRule="auto"/>
        <w:rPr>
          <w:rFonts w:cs="Times New Roman" w:hint="eastAsia"/>
          <w:sz w:val="20"/>
          <w:szCs w:val="20"/>
          <w:lang w:eastAsia="zh-CN"/>
        </w:rPr>
      </w:pPr>
      <w:bookmarkStart w:id="22" w:name="_Toc25012139"/>
    </w:p>
    <w:p w:rsidR="008D41E1" w:rsidRPr="007647BA" w:rsidRDefault="004A7A6E">
      <w:pPr>
        <w:pStyle w:val="Heading1"/>
        <w:snapToGrid w:val="0"/>
        <w:spacing w:before="0" w:line="240" w:lineRule="auto"/>
        <w:rPr>
          <w:rFonts w:cs="Times New Roman"/>
          <w:sz w:val="20"/>
          <w:szCs w:val="20"/>
        </w:rPr>
      </w:pPr>
      <w:r w:rsidRPr="007647BA">
        <w:rPr>
          <w:rFonts w:cs="Times New Roman"/>
          <w:sz w:val="20"/>
          <w:szCs w:val="20"/>
        </w:rPr>
        <w:t>Recommendations</w:t>
      </w:r>
      <w:bookmarkEnd w:id="21"/>
      <w:bookmarkEnd w:id="22"/>
    </w:p>
    <w:p w:rsidR="008D41E1" w:rsidRPr="007647BA" w:rsidRDefault="004A7A6E" w:rsidP="007647BA">
      <w:pPr>
        <w:snapToGrid w:val="0"/>
        <w:spacing w:after="0" w:line="240" w:lineRule="auto"/>
        <w:ind w:firstLine="720"/>
        <w:jc w:val="both"/>
        <w:rPr>
          <w:rFonts w:ascii="Times New Roman" w:hAnsi="Times New Roman" w:cs="Times New Roman"/>
          <w:sz w:val="20"/>
          <w:szCs w:val="20"/>
        </w:rPr>
      </w:pPr>
      <w:r w:rsidRPr="007647BA">
        <w:rPr>
          <w:rFonts w:ascii="Times New Roman" w:hAnsi="Times New Roman" w:cs="Times New Roman"/>
          <w:sz w:val="20"/>
          <w:szCs w:val="20"/>
        </w:rPr>
        <w:t>Based on the findings from the study, the following recommendations were made:</w:t>
      </w:r>
    </w:p>
    <w:p w:rsidR="008D41E1" w:rsidRPr="007647BA" w:rsidRDefault="004A7A6E">
      <w:pPr>
        <w:pStyle w:val="Default"/>
        <w:snapToGrid w:val="0"/>
        <w:ind w:left="720" w:hanging="720"/>
        <w:jc w:val="both"/>
        <w:rPr>
          <w:sz w:val="20"/>
          <w:szCs w:val="20"/>
        </w:rPr>
      </w:pPr>
      <w:r w:rsidRPr="007647BA">
        <w:rPr>
          <w:sz w:val="20"/>
          <w:szCs w:val="20"/>
        </w:rPr>
        <w:t>1.</w:t>
      </w:r>
      <w:r w:rsidRPr="007647BA">
        <w:rPr>
          <w:sz w:val="20"/>
          <w:szCs w:val="20"/>
        </w:rPr>
        <w:tab/>
        <w:t>The Nigerian (federal) government should see ICT in</w:t>
      </w:r>
      <w:r w:rsidRPr="007647BA">
        <w:rPr>
          <w:sz w:val="20"/>
          <w:szCs w:val="20"/>
        </w:rPr>
        <w:t xml:space="preserve">tegration effort at secondary school as an embracing project to development in education and should support by allocating and releasing adequate funds to invest in massive Internet connectivity, as well as purchase and installation of ICT infrastructures. </w:t>
      </w:r>
      <w:r w:rsidRPr="007647BA">
        <w:rPr>
          <w:sz w:val="20"/>
          <w:szCs w:val="20"/>
        </w:rPr>
        <w:t xml:space="preserve">Also, the management of secondary schools must aim </w:t>
      </w:r>
      <w:r w:rsidRPr="007647BA">
        <w:rPr>
          <w:sz w:val="20"/>
          <w:szCs w:val="20"/>
        </w:rPr>
        <w:lastRenderedPageBreak/>
        <w:t>to ensure accessibility, availability and reliability of ICT facilities such that every staff room staff offices have computers linked to Internet and have equipment appropriate for accessing a range of el</w:t>
      </w:r>
      <w:r w:rsidRPr="007647BA">
        <w:rPr>
          <w:sz w:val="20"/>
          <w:szCs w:val="20"/>
        </w:rPr>
        <w:t>ectronic resources.</w:t>
      </w:r>
    </w:p>
    <w:p w:rsidR="008D41E1" w:rsidRPr="007647BA" w:rsidRDefault="004A7A6E">
      <w:pPr>
        <w:pStyle w:val="Default"/>
        <w:snapToGrid w:val="0"/>
        <w:ind w:left="720" w:hanging="720"/>
        <w:jc w:val="both"/>
        <w:rPr>
          <w:sz w:val="20"/>
          <w:szCs w:val="20"/>
        </w:rPr>
      </w:pPr>
      <w:r w:rsidRPr="007647BA">
        <w:rPr>
          <w:sz w:val="20"/>
          <w:szCs w:val="20"/>
        </w:rPr>
        <w:t>3.</w:t>
      </w:r>
      <w:r w:rsidRPr="007647BA">
        <w:rPr>
          <w:sz w:val="20"/>
          <w:szCs w:val="20"/>
        </w:rPr>
        <w:tab/>
        <w:t>The government can also help by subsiding or reducing the tariffs on importation of ICT facilities so that Mathematics teachers and others can afford the purchase of these ICT facilities and accessories since the price will come down</w:t>
      </w:r>
      <w:r w:rsidRPr="007647BA">
        <w:rPr>
          <w:sz w:val="20"/>
          <w:szCs w:val="20"/>
        </w:rPr>
        <w:t>.</w:t>
      </w:r>
    </w:p>
    <w:p w:rsidR="008D41E1" w:rsidRPr="007647BA" w:rsidRDefault="004A7A6E">
      <w:pPr>
        <w:pStyle w:val="Default"/>
        <w:snapToGrid w:val="0"/>
        <w:ind w:left="720" w:hanging="720"/>
        <w:jc w:val="both"/>
        <w:rPr>
          <w:sz w:val="20"/>
          <w:szCs w:val="20"/>
        </w:rPr>
      </w:pPr>
      <w:r w:rsidRPr="007647BA">
        <w:rPr>
          <w:sz w:val="20"/>
          <w:szCs w:val="20"/>
        </w:rPr>
        <w:t>4.</w:t>
      </w:r>
      <w:r w:rsidRPr="007647BA">
        <w:rPr>
          <w:sz w:val="20"/>
          <w:szCs w:val="20"/>
        </w:rPr>
        <w:tab/>
        <w:t>Adequate, competent and experienced ICT technical staff must be made available should problem arises with the integration of ICT in secondary schools.</w:t>
      </w:r>
    </w:p>
    <w:p w:rsidR="008D41E1" w:rsidRPr="007647BA" w:rsidRDefault="008D41E1">
      <w:pPr>
        <w:pStyle w:val="Default"/>
        <w:snapToGrid w:val="0"/>
        <w:ind w:left="720" w:hanging="720"/>
        <w:jc w:val="both"/>
        <w:rPr>
          <w:sz w:val="20"/>
          <w:szCs w:val="20"/>
        </w:rPr>
      </w:pPr>
    </w:p>
    <w:p w:rsidR="008D41E1" w:rsidRPr="007647BA" w:rsidRDefault="004A7A6E">
      <w:pPr>
        <w:snapToGrid w:val="0"/>
        <w:spacing w:after="0" w:line="240" w:lineRule="auto"/>
        <w:jc w:val="both"/>
        <w:rPr>
          <w:rFonts w:ascii="Times New Roman" w:hAnsi="Times New Roman" w:cs="Times New Roman"/>
          <w:b/>
          <w:sz w:val="20"/>
          <w:szCs w:val="20"/>
        </w:rPr>
      </w:pPr>
      <w:r w:rsidRPr="007647BA">
        <w:rPr>
          <w:rFonts w:ascii="Times New Roman" w:hAnsi="Times New Roman" w:cs="Times New Roman"/>
          <w:b/>
          <w:sz w:val="20"/>
          <w:szCs w:val="20"/>
        </w:rPr>
        <w:t>References</w:t>
      </w:r>
    </w:p>
    <w:p w:rsidR="008D41E1" w:rsidRPr="007647BA" w:rsidRDefault="004A7A6E" w:rsidP="007647BA">
      <w:pPr>
        <w:pStyle w:val="ListParagraph"/>
        <w:numPr>
          <w:ilvl w:val="0"/>
          <w:numId w:val="1"/>
        </w:numPr>
        <w:snapToGrid w:val="0"/>
        <w:spacing w:after="0" w:line="240" w:lineRule="auto"/>
        <w:ind w:left="426"/>
        <w:jc w:val="both"/>
        <w:rPr>
          <w:rFonts w:ascii="Times New Roman" w:hAnsi="Times New Roman" w:cs="Times New Roman"/>
          <w:sz w:val="20"/>
          <w:szCs w:val="20"/>
        </w:rPr>
      </w:pPr>
      <w:r w:rsidRPr="007647BA">
        <w:rPr>
          <w:rFonts w:ascii="Times New Roman" w:hAnsi="Times New Roman" w:cs="Times New Roman"/>
          <w:sz w:val="20"/>
          <w:szCs w:val="20"/>
        </w:rPr>
        <w:t>Adeniran, S.A (2000). Involvative Strategies for Effective Teaching and Learning of</w:t>
      </w:r>
      <w:r w:rsidRPr="007647BA">
        <w:rPr>
          <w:rFonts w:ascii="Times New Roman" w:hAnsi="Times New Roman" w:cs="Times New Roman"/>
          <w:sz w:val="20"/>
          <w:szCs w:val="20"/>
        </w:rPr>
        <w:t xml:space="preserve"> Science and Mathematics in the 21</w:t>
      </w:r>
      <w:r w:rsidRPr="007647BA">
        <w:rPr>
          <w:rFonts w:ascii="Times New Roman" w:hAnsi="Times New Roman" w:cs="Times New Roman"/>
          <w:sz w:val="20"/>
          <w:szCs w:val="20"/>
          <w:vertAlign w:val="superscript"/>
        </w:rPr>
        <w:t>st</w:t>
      </w:r>
      <w:r w:rsidRPr="007647BA">
        <w:rPr>
          <w:rFonts w:ascii="Times New Roman" w:hAnsi="Times New Roman" w:cs="Times New Roman"/>
          <w:sz w:val="20"/>
          <w:szCs w:val="20"/>
        </w:rPr>
        <w:t xml:space="preserve"> century. A Lead Paper Presented at the 4</w:t>
      </w:r>
      <w:r w:rsidRPr="007647BA">
        <w:rPr>
          <w:rFonts w:ascii="Times New Roman" w:hAnsi="Times New Roman" w:cs="Times New Roman"/>
          <w:sz w:val="20"/>
          <w:szCs w:val="20"/>
          <w:vertAlign w:val="superscript"/>
        </w:rPr>
        <w:t>th</w:t>
      </w:r>
      <w:r w:rsidRPr="007647BA">
        <w:rPr>
          <w:rFonts w:ascii="Times New Roman" w:hAnsi="Times New Roman" w:cs="Times New Roman"/>
          <w:sz w:val="20"/>
          <w:szCs w:val="20"/>
        </w:rPr>
        <w:t xml:space="preserve"> Annual Conference of School of Science. Osun State College of Education, Messa. </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Adomi, E. E. &amp;Anie, S. O. (2006). An assessment of computer literacy skills of professionals in</w:t>
      </w:r>
      <w:r w:rsidRPr="007647BA">
        <w:rPr>
          <w:rFonts w:ascii="Times New Roman" w:eastAsia="Times New Roman" w:hAnsi="Times New Roman" w:cs="Times New Roman"/>
          <w:color w:val="000000"/>
          <w:sz w:val="20"/>
          <w:szCs w:val="20"/>
        </w:rPr>
        <w:t xml:space="preserve"> Nigerian university libraries. Library Hi Tech News 23 (2): 10- 14.</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Agnew, P.W., Kellerman, A.S. &amp; Meyer, J. (2006). Multimedia in the Classroom.</w:t>
      </w:r>
      <w:r w:rsidR="007647BA" w:rsidRPr="007647BA">
        <w:rPr>
          <w:rFonts w:ascii="Times New Roman" w:hAnsi="Times New Roman" w:cs="Times New Roman" w:hint="eastAsia"/>
          <w:color w:val="000000"/>
          <w:sz w:val="20"/>
          <w:szCs w:val="20"/>
          <w:lang w:eastAsia="zh-CN"/>
        </w:rPr>
        <w:t xml:space="preserve"> </w:t>
      </w:r>
      <w:r w:rsidRPr="007647BA">
        <w:rPr>
          <w:rFonts w:ascii="Times New Roman" w:eastAsia="Times New Roman" w:hAnsi="Times New Roman" w:cs="Times New Roman"/>
          <w:color w:val="000000"/>
          <w:sz w:val="20"/>
          <w:szCs w:val="20"/>
        </w:rPr>
        <w:t>Boston: Allyn and Bacon.</w:t>
      </w:r>
    </w:p>
    <w:p w:rsidR="008D41E1" w:rsidRPr="007647BA" w:rsidRDefault="004A7A6E" w:rsidP="007647BA">
      <w:pPr>
        <w:pStyle w:val="ListParagraph"/>
        <w:numPr>
          <w:ilvl w:val="0"/>
          <w:numId w:val="1"/>
        </w:numPr>
        <w:snapToGrid w:val="0"/>
        <w:spacing w:after="0" w:line="240" w:lineRule="auto"/>
        <w:ind w:left="426"/>
        <w:jc w:val="both"/>
        <w:rPr>
          <w:rFonts w:ascii="Times New Roman" w:hAnsi="Times New Roman" w:cs="Times New Roman"/>
          <w:sz w:val="20"/>
          <w:szCs w:val="20"/>
        </w:rPr>
      </w:pPr>
      <w:r w:rsidRPr="007647BA">
        <w:rPr>
          <w:rFonts w:ascii="Times New Roman" w:hAnsi="Times New Roman" w:cs="Times New Roman"/>
          <w:sz w:val="20"/>
          <w:szCs w:val="20"/>
        </w:rPr>
        <w:t>Barro, R.J. and Jong-Wha, L. (2000). International Data on Educational Attainment Upd</w:t>
      </w:r>
      <w:r w:rsidRPr="007647BA">
        <w:rPr>
          <w:rFonts w:ascii="Times New Roman" w:hAnsi="Times New Roman" w:cs="Times New Roman"/>
          <w:sz w:val="20"/>
          <w:szCs w:val="20"/>
        </w:rPr>
        <w:t>ates and Implications. National Bureau of Economic Review. Working Paper No. 7911.</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Bottino, R. M. (2014). Which Perspectives Can Drive the Analysis of Technology-Enhanced Learning Environments?</w:t>
      </w:r>
      <w:r w:rsidR="007647BA">
        <w:rPr>
          <w:rFonts w:ascii="Times New Roman" w:hAnsi="Times New Roman" w:cs="Times New Roman" w:hint="eastAsia"/>
          <w:color w:val="000000"/>
          <w:sz w:val="20"/>
          <w:szCs w:val="20"/>
          <w:lang w:eastAsia="zh-CN"/>
        </w:rPr>
        <w:t xml:space="preserve"> </w:t>
      </w:r>
      <w:r w:rsidRPr="007647BA">
        <w:rPr>
          <w:rFonts w:ascii="Times New Roman" w:eastAsia="Times New Roman" w:hAnsi="Times New Roman" w:cs="Times New Roman"/>
          <w:i/>
          <w:iCs/>
          <w:color w:val="000000"/>
          <w:sz w:val="20"/>
          <w:szCs w:val="20"/>
        </w:rPr>
        <w:t xml:space="preserve">Educational Technology Use and Design for Improved Learning </w:t>
      </w:r>
      <w:r w:rsidRPr="007647BA">
        <w:rPr>
          <w:rFonts w:ascii="Times New Roman" w:eastAsia="Times New Roman" w:hAnsi="Times New Roman" w:cs="Times New Roman"/>
          <w:i/>
          <w:iCs/>
          <w:color w:val="000000"/>
          <w:sz w:val="20"/>
          <w:szCs w:val="20"/>
        </w:rPr>
        <w:t>Opportunities</w:t>
      </w:r>
      <w:r w:rsidRPr="007647BA">
        <w:rPr>
          <w:rFonts w:ascii="Times New Roman" w:eastAsia="Times New Roman" w:hAnsi="Times New Roman" w:cs="Times New Roman"/>
          <w:color w:val="000000"/>
          <w:sz w:val="20"/>
          <w:szCs w:val="20"/>
        </w:rPr>
        <w:t>, 172-184. doi:10.4018/978-1-4666-6102-8.ch009</w:t>
      </w:r>
    </w:p>
    <w:p w:rsidR="008D41E1" w:rsidRPr="007647BA" w:rsidRDefault="004A7A6E" w:rsidP="007647BA">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20"/>
          <w:szCs w:val="20"/>
          <w:shd w:val="clear" w:color="auto" w:fill="FFFFFF"/>
        </w:rPr>
      </w:pPr>
      <w:r w:rsidRPr="007647BA">
        <w:rPr>
          <w:rFonts w:ascii="Times New Roman" w:hAnsi="Times New Roman" w:cs="Times New Roman"/>
          <w:sz w:val="20"/>
          <w:szCs w:val="20"/>
          <w:shd w:val="clear" w:color="auto" w:fill="FFFFFF"/>
        </w:rPr>
        <w:t>Fahlström, M. (2017). Mathematics Teachers’ Conceptions of the Classroom Environment.</w:t>
      </w:r>
      <w:r w:rsidR="007647BA">
        <w:rPr>
          <w:rFonts w:ascii="Times New Roman" w:hAnsi="Times New Roman" w:cs="Times New Roman" w:hint="eastAsia"/>
          <w:sz w:val="20"/>
          <w:szCs w:val="20"/>
          <w:shd w:val="clear" w:color="auto" w:fill="FFFFFF"/>
          <w:lang w:eastAsia="zh-CN"/>
        </w:rPr>
        <w:t xml:space="preserve"> </w:t>
      </w:r>
      <w:r w:rsidRPr="007647BA">
        <w:rPr>
          <w:rStyle w:val="Emphasis"/>
          <w:rFonts w:ascii="Times New Roman" w:hAnsi="Times New Roman" w:cs="Times New Roman"/>
          <w:sz w:val="20"/>
          <w:szCs w:val="20"/>
          <w:shd w:val="clear" w:color="auto" w:fill="FFFFFF"/>
        </w:rPr>
        <w:t>Teaching and Learning in Maths Classrooms</w:t>
      </w:r>
      <w:r w:rsidRPr="007647BA">
        <w:rPr>
          <w:rFonts w:ascii="Times New Roman" w:hAnsi="Times New Roman" w:cs="Times New Roman"/>
          <w:sz w:val="20"/>
          <w:szCs w:val="20"/>
          <w:shd w:val="clear" w:color="auto" w:fill="FFFFFF"/>
        </w:rPr>
        <w:t>, 141-151. doi:10.1007/978-3-319-49232-2_14</w:t>
      </w:r>
    </w:p>
    <w:p w:rsidR="008D41E1" w:rsidRPr="007647BA" w:rsidRDefault="004A7A6E" w:rsidP="007647BA">
      <w:pPr>
        <w:pStyle w:val="ListParagraph"/>
        <w:numPr>
          <w:ilvl w:val="0"/>
          <w:numId w:val="1"/>
        </w:numPr>
        <w:snapToGrid w:val="0"/>
        <w:spacing w:after="0" w:line="240" w:lineRule="auto"/>
        <w:ind w:left="426"/>
        <w:jc w:val="both"/>
        <w:rPr>
          <w:rFonts w:ascii="Times New Roman" w:hAnsi="Times New Roman" w:cs="Times New Roman"/>
          <w:sz w:val="20"/>
          <w:szCs w:val="20"/>
        </w:rPr>
      </w:pPr>
      <w:r w:rsidRPr="007647BA">
        <w:rPr>
          <w:rFonts w:ascii="Times New Roman" w:hAnsi="Times New Roman" w:cs="Times New Roman"/>
          <w:sz w:val="20"/>
          <w:szCs w:val="20"/>
        </w:rPr>
        <w:t xml:space="preserve">Hanushek, E.A. and Kimko, D.D. (2000). Schooling, Labor-Force Quality, and the Growth of Nations. </w:t>
      </w:r>
      <w:r w:rsidRPr="007647BA">
        <w:rPr>
          <w:rFonts w:ascii="Times New Roman" w:hAnsi="Times New Roman" w:cs="Times New Roman"/>
          <w:i/>
          <w:sz w:val="20"/>
          <w:szCs w:val="20"/>
        </w:rPr>
        <w:t xml:space="preserve">The American Economic Review. </w:t>
      </w:r>
      <w:r w:rsidRPr="007647BA">
        <w:rPr>
          <w:rFonts w:ascii="Times New Roman" w:hAnsi="Times New Roman" w:cs="Times New Roman"/>
          <w:sz w:val="20"/>
          <w:szCs w:val="20"/>
        </w:rPr>
        <w:t>90(5): 1184 – 1208.</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Hoffman. B. (2001). What drives successful technology planning? Journal of Information Technology for Instru</w:t>
      </w:r>
      <w:r w:rsidRPr="007647BA">
        <w:rPr>
          <w:rFonts w:ascii="Times New Roman" w:eastAsia="Times New Roman" w:hAnsi="Times New Roman" w:cs="Times New Roman"/>
          <w:color w:val="000000"/>
          <w:sz w:val="20"/>
          <w:szCs w:val="20"/>
        </w:rPr>
        <w:t>ctor Education, 5(1/2), 46.</w:t>
      </w:r>
    </w:p>
    <w:p w:rsidR="008D41E1" w:rsidRPr="007647BA" w:rsidRDefault="004A7A6E" w:rsidP="007647BA">
      <w:pPr>
        <w:pStyle w:val="ListParagraph"/>
        <w:numPr>
          <w:ilvl w:val="0"/>
          <w:numId w:val="1"/>
        </w:numPr>
        <w:snapToGrid w:val="0"/>
        <w:spacing w:after="0" w:line="240" w:lineRule="auto"/>
        <w:ind w:left="426"/>
        <w:jc w:val="both"/>
        <w:rPr>
          <w:rFonts w:ascii="Times New Roman" w:hAnsi="Times New Roman" w:cs="Times New Roman"/>
          <w:i/>
          <w:sz w:val="20"/>
          <w:szCs w:val="20"/>
        </w:rPr>
      </w:pPr>
      <w:r w:rsidRPr="007647BA">
        <w:rPr>
          <w:rFonts w:ascii="Times New Roman" w:hAnsi="Times New Roman" w:cs="Times New Roman"/>
          <w:sz w:val="20"/>
          <w:szCs w:val="20"/>
        </w:rPr>
        <w:t xml:space="preserve">Iji, C.O. (2007). Challenges of Primary Mathematics for Universal Basic Education </w:t>
      </w:r>
      <w:r w:rsidRPr="007647BA">
        <w:rPr>
          <w:rFonts w:ascii="Times New Roman" w:hAnsi="Times New Roman" w:cs="Times New Roman"/>
          <w:sz w:val="20"/>
          <w:szCs w:val="20"/>
        </w:rPr>
        <w:lastRenderedPageBreak/>
        <w:t xml:space="preserve">(UBE). ABACUS. </w:t>
      </w:r>
      <w:r w:rsidRPr="007647BA">
        <w:rPr>
          <w:rFonts w:ascii="Times New Roman" w:hAnsi="Times New Roman" w:cs="Times New Roman"/>
          <w:i/>
          <w:sz w:val="20"/>
          <w:szCs w:val="20"/>
        </w:rPr>
        <w:t>The Journal of Mathematical Association of Nigeria. 32: 10 – 16.</w:t>
      </w:r>
    </w:p>
    <w:p w:rsidR="008D41E1" w:rsidRPr="007647BA" w:rsidRDefault="008D41E1"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sz w:val="20"/>
          <w:szCs w:val="20"/>
        </w:rPr>
        <w:pict>
          <v:shape id="_x0000_s1032" type="#_x0000_t202" style="position:absolute;left:0;text-align:left;margin-left:225.05pt;margin-top:81.1pt;width:42.8pt;height:28.55pt;z-index:251665408" filled="f" stroked="f">
            <v:textbox>
              <w:txbxContent>
                <w:p w:rsidR="008D41E1" w:rsidRDefault="004A7A6E">
                  <w:pPr>
                    <w:jc w:val="center"/>
                  </w:pPr>
                  <w:r>
                    <w:t>7</w:t>
                  </w:r>
                </w:p>
              </w:txbxContent>
            </v:textbox>
          </v:shape>
        </w:pict>
      </w:r>
      <w:r w:rsidR="004A7A6E" w:rsidRPr="007647BA">
        <w:rPr>
          <w:rFonts w:ascii="Times New Roman" w:eastAsia="Times New Roman" w:hAnsi="Times New Roman" w:cs="Times New Roman"/>
          <w:color w:val="000000"/>
          <w:sz w:val="20"/>
          <w:szCs w:val="20"/>
        </w:rPr>
        <w:t>Lindstrom, T. (2012). Eyeke. </w:t>
      </w:r>
      <w:r w:rsidR="004A7A6E" w:rsidRPr="007647BA">
        <w:rPr>
          <w:rFonts w:ascii="Times New Roman" w:eastAsia="Times New Roman" w:hAnsi="Times New Roman" w:cs="Times New Roman"/>
          <w:i/>
          <w:iCs/>
          <w:color w:val="000000"/>
          <w:sz w:val="20"/>
          <w:szCs w:val="20"/>
        </w:rPr>
        <w:t xml:space="preserve">Proceedings of the 20th ACM </w:t>
      </w:r>
      <w:r w:rsidR="004A7A6E" w:rsidRPr="007647BA">
        <w:rPr>
          <w:rFonts w:ascii="Times New Roman" w:eastAsia="Times New Roman" w:hAnsi="Times New Roman" w:cs="Times New Roman"/>
          <w:i/>
          <w:iCs/>
          <w:color w:val="000000"/>
          <w:sz w:val="20"/>
          <w:szCs w:val="20"/>
        </w:rPr>
        <w:t>international conference on Multimedia - MM '12</w:t>
      </w:r>
      <w:r w:rsidR="004A7A6E" w:rsidRPr="007647BA">
        <w:rPr>
          <w:rFonts w:ascii="Times New Roman" w:eastAsia="Times New Roman" w:hAnsi="Times New Roman" w:cs="Times New Roman"/>
          <w:color w:val="000000"/>
          <w:sz w:val="20"/>
          <w:szCs w:val="20"/>
        </w:rPr>
        <w:t>, </w:t>
      </w:r>
      <w:r w:rsidR="004A7A6E" w:rsidRPr="007647BA">
        <w:rPr>
          <w:rFonts w:ascii="Times New Roman" w:eastAsia="Times New Roman" w:hAnsi="Times New Roman" w:cs="Times New Roman"/>
          <w:i/>
          <w:iCs/>
          <w:color w:val="000000"/>
          <w:sz w:val="20"/>
          <w:szCs w:val="20"/>
        </w:rPr>
        <w:t>10</w:t>
      </w:r>
      <w:r w:rsidR="004A7A6E" w:rsidRPr="007647BA">
        <w:rPr>
          <w:rFonts w:ascii="Times New Roman" w:eastAsia="Times New Roman" w:hAnsi="Times New Roman" w:cs="Times New Roman"/>
          <w:color w:val="000000"/>
          <w:sz w:val="20"/>
          <w:szCs w:val="20"/>
        </w:rPr>
        <w:t>(5). doi:10.1145/2393347.2396445</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Neo, M. and Neo, T.K. (2000). Multimedia learning: using multimedia as a platform for instruction and learning in higher education. Paper presented at the Multimedia Univer</w:t>
      </w:r>
      <w:r w:rsidRPr="007647BA">
        <w:rPr>
          <w:rFonts w:ascii="Times New Roman" w:eastAsia="Times New Roman" w:hAnsi="Times New Roman" w:cs="Times New Roman"/>
          <w:color w:val="000000"/>
          <w:sz w:val="20"/>
          <w:szCs w:val="20"/>
        </w:rPr>
        <w:t>sity International Symposium on Information and Communication Technologies 2000 (M2USIC’2000), October 5-6, 2000, Petaling Jaya, Malaysia.</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Ng, K. H. and Komiya, R. (2000). Introduction of Intelligent Interface to Virtual Learning Environment. Paper present</w:t>
      </w:r>
      <w:r w:rsidRPr="007647BA">
        <w:rPr>
          <w:rFonts w:ascii="Times New Roman" w:eastAsia="Times New Roman" w:hAnsi="Times New Roman" w:cs="Times New Roman"/>
          <w:color w:val="000000"/>
          <w:sz w:val="20"/>
          <w:szCs w:val="20"/>
        </w:rPr>
        <w:t>ed at the Multimedia University International Symposium on Information and Communication Technologies 2000 (M2USIC’2000), October 5-6, Petaling Jaya, Malaysia.</w:t>
      </w:r>
    </w:p>
    <w:p w:rsidR="008D41E1" w:rsidRPr="007647BA" w:rsidRDefault="004A7A6E" w:rsidP="007647BA">
      <w:pPr>
        <w:pStyle w:val="ListParagraph"/>
        <w:numPr>
          <w:ilvl w:val="0"/>
          <w:numId w:val="1"/>
        </w:numPr>
        <w:snapToGrid w:val="0"/>
        <w:spacing w:after="0" w:line="240" w:lineRule="auto"/>
        <w:ind w:left="426"/>
        <w:jc w:val="both"/>
        <w:rPr>
          <w:rFonts w:ascii="Times New Roman" w:hAnsi="Times New Roman" w:cs="Times New Roman"/>
          <w:sz w:val="20"/>
          <w:szCs w:val="20"/>
        </w:rPr>
      </w:pPr>
      <w:r w:rsidRPr="007647BA">
        <w:rPr>
          <w:rFonts w:ascii="Times New Roman" w:hAnsi="Times New Roman" w:cs="Times New Roman"/>
          <w:sz w:val="20"/>
          <w:szCs w:val="20"/>
        </w:rPr>
        <w:t>Okudo, A.R. (2013). National Policy on Education: Problems and Prospects for Teaching and Learni</w:t>
      </w:r>
      <w:r w:rsidRPr="007647BA">
        <w:rPr>
          <w:rFonts w:ascii="Times New Roman" w:hAnsi="Times New Roman" w:cs="Times New Roman"/>
          <w:sz w:val="20"/>
          <w:szCs w:val="20"/>
        </w:rPr>
        <w:t xml:space="preserve">ng of Igbo as a Second Language in Nigerian Secondary Schools. </w:t>
      </w:r>
      <w:r w:rsidRPr="007647BA">
        <w:rPr>
          <w:rFonts w:ascii="Times New Roman" w:hAnsi="Times New Roman" w:cs="Times New Roman"/>
          <w:i/>
          <w:sz w:val="20"/>
          <w:szCs w:val="20"/>
        </w:rPr>
        <w:t xml:space="preserve">Journal of Education and Social Research. </w:t>
      </w:r>
      <w:r w:rsidRPr="007647BA">
        <w:rPr>
          <w:rFonts w:ascii="Times New Roman" w:hAnsi="Times New Roman" w:cs="Times New Roman"/>
          <w:sz w:val="20"/>
          <w:szCs w:val="20"/>
        </w:rPr>
        <w:t>3(2): 371 – 376.</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Omagbemi, C.O., Akinola, B.A. and OlayiwolaI.B. (2004). Academic libraries, the Internet and it’s potential impact on teaching and lea</w:t>
      </w:r>
      <w:r w:rsidRPr="007647BA">
        <w:rPr>
          <w:rFonts w:ascii="Times New Roman" w:eastAsia="Times New Roman" w:hAnsi="Times New Roman" w:cs="Times New Roman"/>
          <w:color w:val="000000"/>
          <w:sz w:val="20"/>
          <w:szCs w:val="20"/>
        </w:rPr>
        <w:t>rning in Nigerian tertiary institutions. Journal of Library and Information Science, Vol. 1 (1 &amp; 2), pp. 34-46.</w:t>
      </w:r>
    </w:p>
    <w:p w:rsidR="008D41E1" w:rsidRPr="007647BA" w:rsidRDefault="004A7A6E" w:rsidP="007647BA">
      <w:pPr>
        <w:pStyle w:val="ListParagraph"/>
        <w:numPr>
          <w:ilvl w:val="0"/>
          <w:numId w:val="1"/>
        </w:numPr>
        <w:snapToGrid w:val="0"/>
        <w:spacing w:after="0" w:line="240" w:lineRule="auto"/>
        <w:ind w:left="426"/>
        <w:jc w:val="both"/>
        <w:rPr>
          <w:rFonts w:ascii="Times New Roman" w:hAnsi="Times New Roman" w:cs="Times New Roman"/>
          <w:sz w:val="20"/>
          <w:szCs w:val="20"/>
        </w:rPr>
      </w:pPr>
      <w:r w:rsidRPr="007647BA">
        <w:rPr>
          <w:rFonts w:ascii="Times New Roman" w:hAnsi="Times New Roman" w:cs="Times New Roman"/>
          <w:sz w:val="20"/>
          <w:szCs w:val="20"/>
        </w:rPr>
        <w:t>Odili, G.A. (2006). Mathematics in Nigerian Secondary Schools: A teaching perspective. PortHarcourt: Rex Charles and Practice Limited.</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Oshodi, O</w:t>
      </w:r>
      <w:r w:rsidRPr="007647BA">
        <w:rPr>
          <w:rFonts w:ascii="Times New Roman" w:eastAsia="Times New Roman" w:hAnsi="Times New Roman" w:cs="Times New Roman"/>
          <w:color w:val="000000"/>
          <w:sz w:val="20"/>
          <w:szCs w:val="20"/>
        </w:rPr>
        <w:t>. (2009). Introduction to instructional media. Lagos: Amazing Grace Press.</w:t>
      </w:r>
    </w:p>
    <w:p w:rsidR="008D41E1" w:rsidRPr="007647BA" w:rsidRDefault="004A7A6E" w:rsidP="007647BA">
      <w:pPr>
        <w:pStyle w:val="ListParagraph"/>
        <w:numPr>
          <w:ilvl w:val="0"/>
          <w:numId w:val="1"/>
        </w:numPr>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hAnsi="Times New Roman" w:cs="Times New Roman"/>
          <w:color w:val="333333"/>
          <w:sz w:val="20"/>
          <w:szCs w:val="20"/>
        </w:rPr>
        <w:t>Omotoba, B. O. (2016). The problems of development gap between developed and developing nations. </w:t>
      </w:r>
      <w:r w:rsidRPr="007647BA">
        <w:rPr>
          <w:rStyle w:val="Emphasis"/>
          <w:rFonts w:ascii="Times New Roman" w:hAnsi="Times New Roman" w:cs="Times New Roman"/>
          <w:color w:val="333333"/>
          <w:sz w:val="20"/>
          <w:szCs w:val="20"/>
        </w:rPr>
        <w:t>IOSR Journal of Research &amp; Method in Education</w:t>
      </w:r>
      <w:r w:rsidRPr="007647BA">
        <w:rPr>
          <w:rFonts w:ascii="Times New Roman" w:hAnsi="Times New Roman" w:cs="Times New Roman"/>
          <w:color w:val="333333"/>
          <w:sz w:val="20"/>
          <w:szCs w:val="20"/>
        </w:rPr>
        <w:t>, </w:t>
      </w:r>
      <w:r w:rsidRPr="007647BA">
        <w:rPr>
          <w:rStyle w:val="Emphasis"/>
          <w:rFonts w:ascii="Times New Roman" w:hAnsi="Times New Roman" w:cs="Times New Roman"/>
          <w:color w:val="333333"/>
          <w:sz w:val="20"/>
          <w:szCs w:val="20"/>
        </w:rPr>
        <w:t>42</w:t>
      </w:r>
      <w:r w:rsidRPr="007647BA">
        <w:rPr>
          <w:rFonts w:ascii="Times New Roman" w:hAnsi="Times New Roman" w:cs="Times New Roman"/>
          <w:color w:val="333333"/>
          <w:sz w:val="20"/>
          <w:szCs w:val="20"/>
        </w:rPr>
        <w:t>(10), 515-536</w:t>
      </w:r>
    </w:p>
    <w:p w:rsidR="008D41E1" w:rsidRPr="007647BA" w:rsidRDefault="004A7A6E" w:rsidP="007647BA">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20"/>
          <w:szCs w:val="20"/>
        </w:rPr>
      </w:pPr>
      <w:r w:rsidRPr="007647BA">
        <w:rPr>
          <w:rFonts w:ascii="Times New Roman" w:hAnsi="Times New Roman" w:cs="Times New Roman"/>
          <w:sz w:val="20"/>
          <w:szCs w:val="20"/>
        </w:rPr>
        <w:t xml:space="preserve">Salehdeen, H.M and Murtala, B.A (2004). Relationship between Admissions Grades and Performances of students in the first professional examination in a new medical school. </w:t>
      </w:r>
      <w:r w:rsidRPr="007647BA">
        <w:rPr>
          <w:rFonts w:ascii="Times New Roman" w:hAnsi="Times New Roman" w:cs="Times New Roman"/>
          <w:i/>
          <w:sz w:val="20"/>
          <w:szCs w:val="20"/>
        </w:rPr>
        <w:t>African Journal of Biomedical Research</w:t>
      </w:r>
      <w:r w:rsidRPr="007647BA">
        <w:rPr>
          <w:rFonts w:ascii="Times New Roman" w:hAnsi="Times New Roman" w:cs="Times New Roman"/>
          <w:sz w:val="20"/>
          <w:szCs w:val="20"/>
        </w:rPr>
        <w:t>: 8(1); 57 – 67.</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Simpson, M., Payne, F., Munro,</w:t>
      </w:r>
      <w:r w:rsidRPr="007647BA">
        <w:rPr>
          <w:rFonts w:ascii="Times New Roman" w:eastAsia="Times New Roman" w:hAnsi="Times New Roman" w:cs="Times New Roman"/>
          <w:color w:val="000000"/>
          <w:sz w:val="20"/>
          <w:szCs w:val="20"/>
        </w:rPr>
        <w:t xml:space="preserve"> R. and Hughes, S. (2009). Using information and communications technology as a pedagogical tool-who educates the educator? A paper presented at the European Conference on </w:t>
      </w:r>
      <w:r w:rsidRPr="007647BA">
        <w:rPr>
          <w:rFonts w:ascii="Times New Roman" w:eastAsia="Times New Roman" w:hAnsi="Times New Roman" w:cs="Times New Roman"/>
          <w:color w:val="000000"/>
          <w:sz w:val="20"/>
          <w:szCs w:val="20"/>
        </w:rPr>
        <w:lastRenderedPageBreak/>
        <w:t>Educational Research, Lahti, Finland, 22 – 25 September.</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Tan, N. (2000). Retooling i</w:t>
      </w:r>
      <w:r w:rsidRPr="007647BA">
        <w:rPr>
          <w:rFonts w:ascii="Times New Roman" w:eastAsia="Times New Roman" w:hAnsi="Times New Roman" w:cs="Times New Roman"/>
          <w:color w:val="000000"/>
          <w:sz w:val="20"/>
          <w:szCs w:val="20"/>
        </w:rPr>
        <w:t>nstruction in secondary schools health education for the information age. Journals of Education in the Information Age, 1, 52-58.</w:t>
      </w:r>
    </w:p>
    <w:p w:rsidR="008D41E1" w:rsidRPr="007647BA" w:rsidRDefault="004A7A6E" w:rsidP="007647BA">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20"/>
          <w:szCs w:val="20"/>
        </w:rPr>
      </w:pPr>
      <w:r w:rsidRPr="007647BA">
        <w:rPr>
          <w:rFonts w:ascii="Times New Roman" w:hAnsi="Times New Roman" w:cs="Times New Roman"/>
          <w:sz w:val="20"/>
          <w:szCs w:val="20"/>
        </w:rPr>
        <w:t xml:space="preserve">Thomaskutty, P. G. and George, M. (2007). Mathematics and Civil Society. Retrieved from </w:t>
      </w:r>
      <w:hyperlink r:id="rId17" w:history="1">
        <w:r w:rsidRPr="007647BA">
          <w:rPr>
            <w:rStyle w:val="Hyperlink"/>
            <w:rFonts w:ascii="Times New Roman" w:hAnsi="Times New Roman" w:cs="Times New Roman"/>
            <w:sz w:val="20"/>
            <w:szCs w:val="20"/>
          </w:rPr>
          <w:t>http://www.en.wikipedia.org/wiki/civil</w:t>
        </w:r>
      </w:hyperlink>
      <w:r w:rsidRPr="007647BA">
        <w:rPr>
          <w:rFonts w:ascii="Times New Roman" w:hAnsi="Times New Roman" w:cs="Times New Roman"/>
          <w:sz w:val="20"/>
          <w:szCs w:val="20"/>
        </w:rPr>
        <w:t xml:space="preserve"> on 11th Feb., 2017.</w:t>
      </w:r>
    </w:p>
    <w:p w:rsidR="008D41E1" w:rsidRPr="007647BA" w:rsidRDefault="004A7A6E" w:rsidP="007647BA">
      <w:pPr>
        <w:pStyle w:val="ListParagraph"/>
        <w:numPr>
          <w:ilvl w:val="0"/>
          <w:numId w:val="1"/>
        </w:numPr>
        <w:autoSpaceDE w:val="0"/>
        <w:autoSpaceDN w:val="0"/>
        <w:adjustRightInd w:val="0"/>
        <w:snapToGrid w:val="0"/>
        <w:spacing w:after="0" w:line="240" w:lineRule="auto"/>
        <w:ind w:left="426"/>
        <w:jc w:val="both"/>
        <w:rPr>
          <w:rFonts w:ascii="Times New Roman" w:hAnsi="Times New Roman" w:cs="Times New Roman"/>
          <w:sz w:val="20"/>
          <w:szCs w:val="20"/>
        </w:rPr>
      </w:pPr>
      <w:r w:rsidRPr="007647BA">
        <w:rPr>
          <w:rFonts w:ascii="Times New Roman" w:eastAsia="Times New Roman" w:hAnsi="Times New Roman" w:cs="Times New Roman"/>
          <w:color w:val="000000"/>
          <w:sz w:val="20"/>
          <w:szCs w:val="20"/>
        </w:rPr>
        <w:lastRenderedPageBreak/>
        <w:t>Valasidou, A., Sidiropoulos, D., Hatzis, T. and Bousiou-Makridou, D. (2005). Guidelines for the design and implementation of e-learning programmes. Procee</w:t>
      </w:r>
      <w:r w:rsidRPr="007647BA">
        <w:rPr>
          <w:rFonts w:ascii="Times New Roman" w:eastAsia="Times New Roman" w:hAnsi="Times New Roman" w:cs="Times New Roman"/>
          <w:color w:val="000000"/>
          <w:sz w:val="20"/>
          <w:szCs w:val="20"/>
        </w:rPr>
        <w:t>dings of the IADIS International Conference IADIS E-Society, 27th – 30th June, Qawra, Malta.</w:t>
      </w:r>
    </w:p>
    <w:p w:rsidR="008D41E1" w:rsidRPr="007647BA" w:rsidRDefault="004A7A6E" w:rsidP="007647BA">
      <w:pPr>
        <w:pStyle w:val="ListParagraph"/>
        <w:numPr>
          <w:ilvl w:val="0"/>
          <w:numId w:val="1"/>
        </w:numPr>
        <w:shd w:val="clear" w:color="auto" w:fill="FFFFFF"/>
        <w:snapToGrid w:val="0"/>
        <w:spacing w:after="0" w:line="240" w:lineRule="auto"/>
        <w:ind w:left="426" w:right="72"/>
        <w:jc w:val="both"/>
        <w:rPr>
          <w:rFonts w:ascii="Times New Roman" w:eastAsia="Times New Roman" w:hAnsi="Times New Roman" w:cs="Times New Roman"/>
          <w:color w:val="000000"/>
          <w:sz w:val="20"/>
          <w:szCs w:val="20"/>
        </w:rPr>
      </w:pPr>
      <w:r w:rsidRPr="007647BA">
        <w:rPr>
          <w:rFonts w:ascii="Times New Roman" w:eastAsia="Times New Roman" w:hAnsi="Times New Roman" w:cs="Times New Roman"/>
          <w:color w:val="000000"/>
          <w:sz w:val="20"/>
          <w:szCs w:val="20"/>
        </w:rPr>
        <w:t>Wood, D. (2003). The classroom of 2015 in: Briefings for the National Commission on Education for the Paul Hamlyn Foundation. London: Heinneman.</w:t>
      </w:r>
    </w:p>
    <w:p w:rsidR="008D41E1" w:rsidRPr="007647BA" w:rsidRDefault="008D41E1">
      <w:pPr>
        <w:snapToGrid w:val="0"/>
        <w:spacing w:after="0" w:line="240" w:lineRule="auto"/>
        <w:jc w:val="both"/>
        <w:rPr>
          <w:rFonts w:ascii="Times New Roman" w:hAnsi="Times New Roman" w:cs="Times New Roman"/>
          <w:sz w:val="20"/>
          <w:szCs w:val="20"/>
        </w:rPr>
        <w:sectPr w:rsidR="008D41E1" w:rsidRPr="007647BA">
          <w:type w:val="continuous"/>
          <w:pgSz w:w="12240" w:h="15840"/>
          <w:pgMar w:top="1440" w:right="1440" w:bottom="1440" w:left="1440" w:header="720" w:footer="720" w:gutter="0"/>
          <w:cols w:num="2" w:space="720"/>
          <w:docGrid w:linePitch="360"/>
        </w:sectPr>
      </w:pPr>
    </w:p>
    <w:p w:rsidR="008D41E1" w:rsidRPr="007647BA" w:rsidRDefault="008D41E1">
      <w:pPr>
        <w:snapToGrid w:val="0"/>
        <w:spacing w:after="0" w:line="240" w:lineRule="auto"/>
        <w:jc w:val="both"/>
        <w:rPr>
          <w:rFonts w:ascii="Times New Roman" w:hAnsi="Times New Roman" w:cs="Times New Roman"/>
          <w:sz w:val="20"/>
          <w:szCs w:val="20"/>
          <w:lang w:eastAsia="zh-CN"/>
        </w:rPr>
      </w:pPr>
    </w:p>
    <w:p w:rsidR="008D41E1" w:rsidRPr="007647BA" w:rsidRDefault="008D41E1">
      <w:pPr>
        <w:snapToGrid w:val="0"/>
        <w:spacing w:after="0" w:line="240" w:lineRule="auto"/>
        <w:jc w:val="both"/>
        <w:rPr>
          <w:rFonts w:ascii="Times New Roman" w:hAnsi="Times New Roman" w:cs="Times New Roman"/>
          <w:sz w:val="20"/>
          <w:szCs w:val="20"/>
          <w:lang w:eastAsia="zh-CN"/>
        </w:rPr>
      </w:pPr>
    </w:p>
    <w:p w:rsidR="008D41E1" w:rsidRPr="007647BA" w:rsidRDefault="008D41E1">
      <w:pPr>
        <w:snapToGrid w:val="0"/>
        <w:spacing w:after="0" w:line="240" w:lineRule="auto"/>
        <w:jc w:val="both"/>
        <w:rPr>
          <w:rFonts w:ascii="Times New Roman" w:hAnsi="Times New Roman" w:cs="Times New Roman"/>
          <w:sz w:val="20"/>
          <w:szCs w:val="20"/>
          <w:lang w:eastAsia="zh-CN"/>
        </w:rPr>
      </w:pPr>
    </w:p>
    <w:p w:rsidR="008D41E1" w:rsidRPr="007647BA" w:rsidRDefault="004A7A6E">
      <w:pPr>
        <w:autoSpaceDE w:val="0"/>
        <w:autoSpaceDN w:val="0"/>
        <w:adjustRightInd w:val="0"/>
        <w:snapToGrid w:val="0"/>
        <w:spacing w:after="0" w:line="240" w:lineRule="auto"/>
        <w:ind w:left="720" w:hanging="720"/>
        <w:jc w:val="both"/>
        <w:rPr>
          <w:rFonts w:ascii="Times New Roman" w:hAnsi="Times New Roman" w:cs="Times New Roman"/>
          <w:sz w:val="20"/>
          <w:szCs w:val="20"/>
          <w:lang w:eastAsia="zh-CN"/>
        </w:rPr>
      </w:pPr>
      <w:r w:rsidRPr="007647BA">
        <w:rPr>
          <w:rFonts w:ascii="Times New Roman" w:hAnsi="Times New Roman" w:cs="Times New Roman"/>
          <w:sz w:val="20"/>
          <w:szCs w:val="20"/>
          <w:lang w:eastAsia="zh-CN"/>
        </w:rPr>
        <w:t>1/2</w:t>
      </w:r>
      <w:r w:rsidRPr="007647BA">
        <w:rPr>
          <w:rFonts w:ascii="Times New Roman" w:hAnsi="Times New Roman" w:cs="Times New Roman"/>
          <w:sz w:val="20"/>
          <w:szCs w:val="20"/>
          <w:lang w:eastAsia="zh-CN"/>
        </w:rPr>
        <w:t>1/2022</w:t>
      </w:r>
    </w:p>
    <w:p w:rsidR="008D41E1" w:rsidRPr="007647BA" w:rsidRDefault="008D41E1">
      <w:pPr>
        <w:snapToGrid w:val="0"/>
        <w:spacing w:after="0" w:line="240" w:lineRule="auto"/>
        <w:jc w:val="both"/>
        <w:rPr>
          <w:rFonts w:ascii="Times New Roman" w:hAnsi="Times New Roman" w:cs="Times New Roman"/>
          <w:sz w:val="20"/>
          <w:szCs w:val="20"/>
        </w:rPr>
      </w:pPr>
      <w:r w:rsidRPr="007647BA">
        <w:rPr>
          <w:rFonts w:ascii="Times New Roman" w:hAnsi="Times New Roman" w:cs="Times New Roman"/>
          <w:sz w:val="20"/>
          <w:szCs w:val="20"/>
        </w:rPr>
        <w:pict>
          <v:shape id="_x0000_s1033" type="#_x0000_t202" style="position:absolute;left:0;text-align:left;margin-left:216.25pt;margin-top:552.15pt;width:42.8pt;height:28.55pt;z-index:251666432" filled="f" stroked="f">
            <v:textbox>
              <w:txbxContent>
                <w:p w:rsidR="008D41E1" w:rsidRDefault="004A7A6E">
                  <w:pPr>
                    <w:jc w:val="center"/>
                  </w:pPr>
                  <w:r>
                    <w:t>8</w:t>
                  </w:r>
                </w:p>
              </w:txbxContent>
            </v:textbox>
          </v:shape>
        </w:pict>
      </w:r>
    </w:p>
    <w:sectPr w:rsidR="008D41E1" w:rsidRPr="007647BA" w:rsidSect="008D41E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A6E" w:rsidRDefault="004A7A6E">
      <w:pPr>
        <w:spacing w:line="240" w:lineRule="auto"/>
      </w:pPr>
      <w:r>
        <w:separator/>
      </w:r>
    </w:p>
  </w:endnote>
  <w:endnote w:type="continuationSeparator" w:id="0">
    <w:p w:rsidR="004A7A6E" w:rsidRDefault="004A7A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E1" w:rsidRDefault="008D41E1">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8D41E1" w:rsidRDefault="008D41E1">
                <w:pPr>
                  <w:pStyle w:val="Footer"/>
                </w:pPr>
                <w:r>
                  <w:rPr>
                    <w:rFonts w:ascii="Times New Roman" w:hAnsi="Times New Roman" w:cs="Times New Roman"/>
                    <w:sz w:val="20"/>
                    <w:szCs w:val="20"/>
                  </w:rPr>
                  <w:fldChar w:fldCharType="begin"/>
                </w:r>
                <w:r w:rsidR="004A7A6E">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371B0">
                  <w:rPr>
                    <w:rFonts w:ascii="Times New Roman" w:hAnsi="Times New Roman" w:cs="Times New Roman"/>
                    <w:noProof/>
                    <w:sz w:val="20"/>
                    <w:szCs w:val="20"/>
                  </w:rPr>
                  <w:t>56</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E1" w:rsidRDefault="008D41E1">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8D41E1" w:rsidRDefault="008D41E1">
                <w:pPr>
                  <w:pStyle w:val="Footer"/>
                </w:pPr>
                <w:r>
                  <w:rPr>
                    <w:rFonts w:ascii="Times New Roman" w:hAnsi="Times New Roman" w:cs="Times New Roman"/>
                    <w:sz w:val="20"/>
                    <w:szCs w:val="20"/>
                  </w:rPr>
                  <w:fldChar w:fldCharType="begin"/>
                </w:r>
                <w:r w:rsidR="004A7A6E">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371B0">
                  <w:rPr>
                    <w:rFonts w:ascii="Times New Roman" w:hAnsi="Times New Roman" w:cs="Times New Roman"/>
                    <w:noProof/>
                    <w:sz w:val="20"/>
                    <w:szCs w:val="20"/>
                  </w:rPr>
                  <w:t>57</w:t>
                </w:r>
                <w:r>
                  <w:rPr>
                    <w:rFonts w:ascii="Times New Roman" w:hAnsi="Times New Roman" w:cs="Times New Roman"/>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E1" w:rsidRDefault="008D41E1">
    <w:pPr>
      <w:pStyle w:val="Footer"/>
    </w:pPr>
    <w:r>
      <w:pict>
        <v:shapetype id="_x0000_t202" coordsize="21600,21600" o:spt="202" path="m,l,21600r21600,l21600,xe">
          <v:stroke joinstyle="miter"/>
          <v:path gradientshapeok="t" o:connecttype="rect"/>
        </v:shapetype>
        <v:shape id="_x0000_s2051" type="#_x0000_t202" style="position:absolute;margin-left:0;margin-top:0;width:2in;height:2in;z-index:251661312;mso-wrap-style:none;mso-position-horizontal:center;mso-position-horizontal-relative:margin" filled="f" stroked="f">
          <v:textbox style="mso-fit-shape-to-text:t" inset="0,0,0,0">
            <w:txbxContent>
              <w:p w:rsidR="008D41E1" w:rsidRDefault="008D41E1">
                <w:pPr>
                  <w:pStyle w:val="Footer"/>
                </w:pPr>
                <w:r>
                  <w:rPr>
                    <w:rFonts w:ascii="Times New Roman" w:hAnsi="Times New Roman" w:cs="Times New Roman"/>
                    <w:sz w:val="20"/>
                    <w:szCs w:val="20"/>
                  </w:rPr>
                  <w:fldChar w:fldCharType="begin"/>
                </w:r>
                <w:r w:rsidR="004A7A6E">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371B0">
                  <w:rPr>
                    <w:rFonts w:ascii="Times New Roman" w:hAnsi="Times New Roman" w:cs="Times New Roman"/>
                    <w:noProof/>
                    <w:sz w:val="20"/>
                    <w:szCs w:val="20"/>
                  </w:rPr>
                  <w:t>55</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A6E" w:rsidRDefault="004A7A6E">
      <w:pPr>
        <w:spacing w:after="0"/>
      </w:pPr>
      <w:r>
        <w:separator/>
      </w:r>
    </w:p>
  </w:footnote>
  <w:footnote w:type="continuationSeparator" w:id="0">
    <w:p w:rsidR="004A7A6E" w:rsidRDefault="004A7A6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E1" w:rsidRDefault="004A7A6E">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eastAsia="宋体" w:cs="Times New Roman" w:hint="eastAsia"/>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cs="Times New Roman" w:hint="eastAsia"/>
        <w:iCs/>
        <w:sz w:val="20"/>
        <w:szCs w:val="20"/>
        <w:lang w:eastAsia="zh-CN"/>
      </w:rPr>
      <w:t>4</w:t>
    </w:r>
    <w:r>
      <w:rPr>
        <w:rFonts w:ascii="Times New Roman" w:hAnsi="Times New Roman" w:cs="Times New Roman"/>
        <w:iCs/>
        <w:sz w:val="20"/>
        <w:szCs w:val="20"/>
      </w:rPr>
      <w:t>(</w:t>
    </w:r>
    <w:r>
      <w:rPr>
        <w:rFonts w:cs="Times New Roman" w:hint="eastAsia"/>
        <w:iCs/>
        <w:sz w:val="20"/>
        <w:szCs w:val="20"/>
        <w:lang w:eastAsia="zh-CN"/>
      </w:rPr>
      <w:t>1</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E1" w:rsidRDefault="004A7A6E">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eastAsia="宋体" w:cs="Times New Roman" w:hint="eastAsia"/>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cs="Times New Roman" w:hint="eastAsia"/>
        <w:iCs/>
        <w:sz w:val="20"/>
        <w:szCs w:val="20"/>
        <w:lang w:eastAsia="zh-CN"/>
      </w:rPr>
      <w:t>4</w:t>
    </w:r>
    <w:r>
      <w:rPr>
        <w:rFonts w:ascii="Times New Roman" w:hAnsi="Times New Roman" w:cs="Times New Roman"/>
        <w:iCs/>
        <w:sz w:val="20"/>
        <w:szCs w:val="20"/>
      </w:rPr>
      <w:t>(</w:t>
    </w:r>
    <w:r>
      <w:rPr>
        <w:rFonts w:cs="Times New Roman" w:hint="eastAsia"/>
        <w:iCs/>
        <w:sz w:val="20"/>
        <w:szCs w:val="20"/>
        <w:lang w:eastAsia="zh-CN"/>
      </w:rPr>
      <w:t>1</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1E1" w:rsidRDefault="004A7A6E">
    <w:pPr>
      <w:pStyle w:val="Header"/>
    </w:pPr>
    <w:r>
      <w:rPr>
        <w:iCs/>
        <w:noProof/>
        <w:color w:val="000000"/>
        <w:sz w:val="20"/>
        <w:szCs w:val="20"/>
        <w:lang w:eastAsia="zh-CN"/>
      </w:rPr>
      <w:drawing>
        <wp:inline distT="0" distB="0" distL="114300" distR="114300">
          <wp:extent cx="5958205" cy="789305"/>
          <wp:effectExtent l="0" t="0" r="4445" b="10795"/>
          <wp:docPr id="2"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slndlogo-rsj"/>
                  <pic:cNvPicPr>
                    <a:picLocks noChangeAspect="1"/>
                  </pic:cNvPicPr>
                </pic:nvPicPr>
                <pic:blipFill>
                  <a:blip r:embed="rId1"/>
                  <a:stretch>
                    <a:fillRect/>
                  </a:stretch>
                </pic:blipFill>
                <pic:spPr>
                  <a:xfrm>
                    <a:off x="0" y="0"/>
                    <a:ext cx="5958205" cy="7893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61043"/>
    <w:multiLevelType w:val="hybridMultilevel"/>
    <w:tmpl w:val="0C86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useFELayout/>
  </w:compat>
  <w:rsids>
    <w:rsidRoot w:val="00487FFB"/>
    <w:rsid w:val="00073F12"/>
    <w:rsid w:val="000B1D59"/>
    <w:rsid w:val="000C0859"/>
    <w:rsid w:val="000C7B21"/>
    <w:rsid w:val="000D05D0"/>
    <w:rsid w:val="001E1951"/>
    <w:rsid w:val="0020788D"/>
    <w:rsid w:val="002758C8"/>
    <w:rsid w:val="00286D5D"/>
    <w:rsid w:val="002A03FB"/>
    <w:rsid w:val="002A791C"/>
    <w:rsid w:val="002D3311"/>
    <w:rsid w:val="002F590B"/>
    <w:rsid w:val="00342C74"/>
    <w:rsid w:val="003E104D"/>
    <w:rsid w:val="003F0165"/>
    <w:rsid w:val="003F6443"/>
    <w:rsid w:val="00487FFB"/>
    <w:rsid w:val="004910C5"/>
    <w:rsid w:val="004A7A6E"/>
    <w:rsid w:val="004D406F"/>
    <w:rsid w:val="004E02AA"/>
    <w:rsid w:val="004E02CA"/>
    <w:rsid w:val="004E04F8"/>
    <w:rsid w:val="004F6248"/>
    <w:rsid w:val="005275E7"/>
    <w:rsid w:val="00531131"/>
    <w:rsid w:val="00547CE4"/>
    <w:rsid w:val="005563A2"/>
    <w:rsid w:val="00595152"/>
    <w:rsid w:val="005D7213"/>
    <w:rsid w:val="005E5313"/>
    <w:rsid w:val="006371B0"/>
    <w:rsid w:val="00646860"/>
    <w:rsid w:val="00671209"/>
    <w:rsid w:val="0068251A"/>
    <w:rsid w:val="007647BA"/>
    <w:rsid w:val="007B30F9"/>
    <w:rsid w:val="007F4820"/>
    <w:rsid w:val="007F5C55"/>
    <w:rsid w:val="008204A2"/>
    <w:rsid w:val="00836462"/>
    <w:rsid w:val="0084266C"/>
    <w:rsid w:val="00860F3A"/>
    <w:rsid w:val="008A1A4E"/>
    <w:rsid w:val="008D41E1"/>
    <w:rsid w:val="00921E61"/>
    <w:rsid w:val="009F1BED"/>
    <w:rsid w:val="00A0063B"/>
    <w:rsid w:val="00A6304F"/>
    <w:rsid w:val="00AF10B5"/>
    <w:rsid w:val="00B756C5"/>
    <w:rsid w:val="00B93364"/>
    <w:rsid w:val="00B96FDB"/>
    <w:rsid w:val="00B972AE"/>
    <w:rsid w:val="00BE2AB4"/>
    <w:rsid w:val="00C67B77"/>
    <w:rsid w:val="00D36648"/>
    <w:rsid w:val="00D830FD"/>
    <w:rsid w:val="00DF4959"/>
    <w:rsid w:val="00E023D8"/>
    <w:rsid w:val="00E775E6"/>
    <w:rsid w:val="00E9083E"/>
    <w:rsid w:val="00EB5C39"/>
    <w:rsid w:val="00EC42CD"/>
    <w:rsid w:val="00ED7346"/>
    <w:rsid w:val="00EE2AD0"/>
    <w:rsid w:val="00F01937"/>
    <w:rsid w:val="00F32310"/>
    <w:rsid w:val="00F57B5B"/>
    <w:rsid w:val="00FA2D12"/>
    <w:rsid w:val="24A262AA"/>
    <w:rsid w:val="45817243"/>
    <w:rsid w:val="62D742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E1"/>
    <w:pPr>
      <w:spacing w:after="200" w:line="276" w:lineRule="auto"/>
    </w:pPr>
    <w:rPr>
      <w:sz w:val="22"/>
      <w:szCs w:val="22"/>
      <w:lang w:eastAsia="en-US"/>
    </w:rPr>
  </w:style>
  <w:style w:type="paragraph" w:styleId="Heading1">
    <w:name w:val="heading 1"/>
    <w:basedOn w:val="Normal"/>
    <w:next w:val="Normal"/>
    <w:link w:val="Heading1Char"/>
    <w:uiPriority w:val="9"/>
    <w:qFormat/>
    <w:rsid w:val="008D41E1"/>
    <w:pPr>
      <w:keepNext/>
      <w:keepLines/>
      <w:spacing w:before="480" w:after="0" w:line="480" w:lineRule="auto"/>
      <w:jc w:val="both"/>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41E1"/>
    <w:pPr>
      <w:tabs>
        <w:tab w:val="center" w:pos="4680"/>
        <w:tab w:val="right" w:pos="9360"/>
      </w:tabs>
      <w:spacing w:after="0" w:line="240" w:lineRule="auto"/>
    </w:pPr>
  </w:style>
  <w:style w:type="paragraph" w:styleId="Header">
    <w:name w:val="header"/>
    <w:basedOn w:val="Normal"/>
    <w:link w:val="HeaderChar"/>
    <w:uiPriority w:val="99"/>
    <w:unhideWhenUsed/>
    <w:rsid w:val="008D41E1"/>
    <w:pPr>
      <w:tabs>
        <w:tab w:val="center" w:pos="4680"/>
        <w:tab w:val="right" w:pos="9360"/>
      </w:tabs>
      <w:spacing w:after="0" w:line="240" w:lineRule="auto"/>
    </w:pPr>
  </w:style>
  <w:style w:type="table" w:styleId="TableGrid">
    <w:name w:val="Table Grid"/>
    <w:basedOn w:val="TableNormal"/>
    <w:uiPriority w:val="59"/>
    <w:qFormat/>
    <w:rsid w:val="008D41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D41E1"/>
    <w:rPr>
      <w:i/>
      <w:iCs/>
    </w:rPr>
  </w:style>
  <w:style w:type="character" w:styleId="Hyperlink">
    <w:name w:val="Hyperlink"/>
    <w:basedOn w:val="DefaultParagraphFont"/>
    <w:uiPriority w:val="99"/>
    <w:unhideWhenUsed/>
    <w:qFormat/>
    <w:rsid w:val="008D41E1"/>
    <w:rPr>
      <w:color w:val="0000FF" w:themeColor="hyperlink"/>
      <w:u w:val="single"/>
    </w:rPr>
  </w:style>
  <w:style w:type="character" w:customStyle="1" w:styleId="HeaderChar">
    <w:name w:val="Header Char"/>
    <w:basedOn w:val="DefaultParagraphFont"/>
    <w:link w:val="Header"/>
    <w:uiPriority w:val="99"/>
    <w:rsid w:val="008D41E1"/>
  </w:style>
  <w:style w:type="character" w:customStyle="1" w:styleId="FooterChar">
    <w:name w:val="Footer Char"/>
    <w:basedOn w:val="DefaultParagraphFont"/>
    <w:link w:val="Footer"/>
    <w:uiPriority w:val="99"/>
    <w:rsid w:val="008D41E1"/>
  </w:style>
  <w:style w:type="character" w:customStyle="1" w:styleId="Heading1Char">
    <w:name w:val="Heading 1 Char"/>
    <w:basedOn w:val="DefaultParagraphFont"/>
    <w:link w:val="Heading1"/>
    <w:uiPriority w:val="9"/>
    <w:rsid w:val="008D41E1"/>
    <w:rPr>
      <w:rFonts w:ascii="Times New Roman" w:eastAsiaTheme="majorEastAsia" w:hAnsi="Times New Roman" w:cstheme="majorBidi"/>
      <w:b/>
      <w:bCs/>
      <w:sz w:val="28"/>
      <w:szCs w:val="28"/>
    </w:rPr>
  </w:style>
  <w:style w:type="paragraph" w:customStyle="1" w:styleId="Default">
    <w:name w:val="Default"/>
    <w:rsid w:val="008D41E1"/>
    <w:pPr>
      <w:autoSpaceDE w:val="0"/>
      <w:autoSpaceDN w:val="0"/>
      <w:adjustRightInd w:val="0"/>
    </w:pPr>
    <w:rPr>
      <w:rFonts w:ascii="Times New Roman"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764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7BA"/>
    <w:rPr>
      <w:rFonts w:ascii="Tahoma" w:hAnsi="Tahoma" w:cs="Tahoma"/>
      <w:sz w:val="16"/>
      <w:szCs w:val="16"/>
      <w:lang w:eastAsia="en-US"/>
    </w:rPr>
  </w:style>
  <w:style w:type="paragraph" w:styleId="ListParagraph">
    <w:name w:val="List Paragraph"/>
    <w:basedOn w:val="Normal"/>
    <w:uiPriority w:val="99"/>
    <w:unhideWhenUsed/>
    <w:rsid w:val="007647B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imanmohammedalhaji@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n.wikipedia.org/wiki/civil"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40122.0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t26877</dc:creator>
  <cp:lastModifiedBy>Administrator</cp:lastModifiedBy>
  <cp:revision>6</cp:revision>
  <dcterms:created xsi:type="dcterms:W3CDTF">2022-01-26T04:47:00Z</dcterms:created>
  <dcterms:modified xsi:type="dcterms:W3CDTF">2022-01-29T23:06:00Z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B1E11D15C458473A989EF49A079E97C2</vt:lpwstr>
  </property>
</Properties>
</file>