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83E9" w14:textId="77777777" w:rsidR="003A16BE" w:rsidRDefault="003A16BE">
      <w:pPr>
        <w:snapToGrid w:val="0"/>
        <w:spacing w:after="0" w:line="240" w:lineRule="auto"/>
        <w:jc w:val="center"/>
        <w:rPr>
          <w:rFonts w:ascii="Times New Roman" w:hAnsi="Times New Roman" w:cs="Times New Roman"/>
          <w:b/>
          <w:sz w:val="20"/>
          <w:szCs w:val="20"/>
        </w:rPr>
      </w:pPr>
    </w:p>
    <w:p w14:paraId="22C37689" w14:textId="77777777" w:rsidR="003A16BE" w:rsidRDefault="0017494B">
      <w:pPr>
        <w:snapToGrid w:val="0"/>
        <w:spacing w:after="0" w:line="240" w:lineRule="auto"/>
        <w:jc w:val="center"/>
        <w:rPr>
          <w:rFonts w:ascii="Times New Roman" w:eastAsia="Times New Roman" w:hAnsi="Times New Roman" w:cs="Times New Roman"/>
          <w:sz w:val="20"/>
          <w:szCs w:val="20"/>
          <w:lang w:eastAsia="en-GB"/>
        </w:rPr>
      </w:pPr>
      <w:r>
        <w:rPr>
          <w:rFonts w:ascii="Times New Roman" w:hAnsi="Times New Roman" w:cs="Times New Roman"/>
          <w:b/>
          <w:sz w:val="20"/>
          <w:szCs w:val="20"/>
        </w:rPr>
        <w:t xml:space="preserve">Prevalence of Human Cytomegalovirus IgM antibodies </w:t>
      </w:r>
      <w:r>
        <w:rPr>
          <w:rFonts w:ascii="Times New Roman" w:eastAsia="Times New Roman" w:hAnsi="Times New Roman" w:cs="Times New Roman"/>
          <w:b/>
          <w:bCs/>
          <w:sz w:val="20"/>
          <w:szCs w:val="20"/>
          <w:lang w:eastAsia="en-GB"/>
        </w:rPr>
        <w:t>in Pregnant Women in</w:t>
      </w:r>
      <w:r>
        <w:rPr>
          <w:rFonts w:ascii="Times New Roman" w:hAnsi="Times New Roman" w:cs="Times New Roman"/>
          <w:b/>
          <w:sz w:val="20"/>
          <w:szCs w:val="20"/>
        </w:rPr>
        <w:t xml:space="preserve"> Port Harcourt, Rivers </w:t>
      </w:r>
      <w:r>
        <w:rPr>
          <w:rFonts w:ascii="Times New Roman" w:eastAsia="Times New Roman" w:hAnsi="Times New Roman" w:cs="Times New Roman"/>
          <w:b/>
          <w:bCs/>
          <w:sz w:val="20"/>
          <w:szCs w:val="20"/>
          <w:lang w:eastAsia="en-GB"/>
        </w:rPr>
        <w:t>State</w:t>
      </w:r>
      <w:r>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b/>
          <w:bCs/>
          <w:sz w:val="20"/>
          <w:szCs w:val="20"/>
          <w:lang w:eastAsia="en-GB"/>
        </w:rPr>
        <w:t>Nigeria</w:t>
      </w:r>
      <w:r>
        <w:rPr>
          <w:rFonts w:ascii="Times New Roman" w:eastAsia="Times New Roman" w:hAnsi="Times New Roman" w:cs="Times New Roman"/>
          <w:sz w:val="20"/>
          <w:szCs w:val="20"/>
          <w:lang w:eastAsia="en-GB"/>
        </w:rPr>
        <w:t xml:space="preserve"> </w:t>
      </w:r>
    </w:p>
    <w:p w14:paraId="3FA72708" w14:textId="77777777" w:rsidR="003A16BE" w:rsidRDefault="003A16BE">
      <w:pPr>
        <w:snapToGrid w:val="0"/>
        <w:spacing w:after="0" w:line="240" w:lineRule="auto"/>
        <w:jc w:val="center"/>
        <w:rPr>
          <w:rFonts w:ascii="Times New Roman" w:eastAsia="Times New Roman" w:hAnsi="Times New Roman" w:cs="Times New Roman"/>
          <w:sz w:val="20"/>
          <w:szCs w:val="20"/>
          <w:lang w:eastAsia="en-GB"/>
        </w:rPr>
      </w:pPr>
    </w:p>
    <w:p w14:paraId="0A913FC4" w14:textId="77777777" w:rsidR="003A16BE" w:rsidRDefault="0017494B">
      <w:pPr>
        <w:snapToGrid w:val="0"/>
        <w:spacing w:after="0" w:line="240" w:lineRule="auto"/>
        <w:jc w:val="center"/>
        <w:rPr>
          <w:rFonts w:ascii="Times New Roman" w:hAnsi="Times New Roman" w:cs="Times New Roman"/>
          <w:bCs/>
          <w:sz w:val="20"/>
          <w:szCs w:val="20"/>
          <w:lang w:eastAsia="en-GB"/>
        </w:rPr>
      </w:pPr>
      <w:r>
        <w:rPr>
          <w:rFonts w:ascii="Times New Roman" w:hAnsi="Times New Roman" w:cs="Times New Roman"/>
          <w:bCs/>
          <w:sz w:val="20"/>
          <w:szCs w:val="20"/>
          <w:lang w:eastAsia="en-GB"/>
        </w:rPr>
        <w:t xml:space="preserve">Okonko IO, </w:t>
      </w:r>
      <w:r>
        <w:rPr>
          <w:rFonts w:ascii="Times New Roman" w:eastAsia="Times New Roman" w:hAnsi="Times New Roman" w:cs="Times New Roman"/>
          <w:bCs/>
          <w:sz w:val="20"/>
          <w:szCs w:val="20"/>
          <w:lang w:eastAsia="en-GB"/>
        </w:rPr>
        <w:t xml:space="preserve">Jasper DE, </w:t>
      </w:r>
      <w:r>
        <w:rPr>
          <w:rFonts w:ascii="Times New Roman" w:hAnsi="Times New Roman" w:cs="Times New Roman"/>
          <w:bCs/>
          <w:sz w:val="20"/>
          <w:szCs w:val="20"/>
          <w:lang w:eastAsia="en-GB"/>
        </w:rPr>
        <w:t>Innocent-Adiele HC, Frank-Peterside N</w:t>
      </w:r>
    </w:p>
    <w:p w14:paraId="0147FE3A" w14:textId="77777777" w:rsidR="003A16BE" w:rsidRDefault="003A16BE">
      <w:pPr>
        <w:snapToGrid w:val="0"/>
        <w:spacing w:after="0" w:line="240" w:lineRule="auto"/>
        <w:jc w:val="center"/>
        <w:rPr>
          <w:rFonts w:ascii="Times New Roman" w:hAnsi="Times New Roman" w:cs="Times New Roman"/>
          <w:b/>
          <w:sz w:val="20"/>
          <w:szCs w:val="20"/>
          <w:lang w:eastAsia="en-GB"/>
        </w:rPr>
      </w:pPr>
    </w:p>
    <w:p w14:paraId="41F09724" w14:textId="6ABCD159" w:rsidR="003A16BE" w:rsidRDefault="0017494B">
      <w:pPr>
        <w:pStyle w:val="NoSpacing1"/>
        <w:snapToGrid w:val="0"/>
        <w:jc w:val="center"/>
        <w:rPr>
          <w:rFonts w:ascii="Times New Roman" w:hAnsi="Times New Roman"/>
          <w:sz w:val="20"/>
          <w:szCs w:val="20"/>
        </w:rPr>
      </w:pPr>
      <w:r>
        <w:rPr>
          <w:rFonts w:ascii="Times New Roman" w:hAnsi="Times New Roman"/>
          <w:sz w:val="20"/>
          <w:szCs w:val="20"/>
        </w:rPr>
        <w:t xml:space="preserve">Virus Research Unit, Department of Microbiology, University of Port </w:t>
      </w:r>
      <w:r>
        <w:rPr>
          <w:rFonts w:ascii="Times New Roman" w:hAnsi="Times New Roman"/>
          <w:sz w:val="20"/>
          <w:szCs w:val="20"/>
        </w:rPr>
        <w:t>Harcourt, Port Harcourt, Nigeria.</w:t>
      </w:r>
    </w:p>
    <w:p w14:paraId="68B83692" w14:textId="77777777" w:rsidR="005F2AA2" w:rsidRDefault="005F2AA2">
      <w:pPr>
        <w:pStyle w:val="NoSpacing1"/>
        <w:snapToGrid w:val="0"/>
        <w:jc w:val="center"/>
        <w:rPr>
          <w:rFonts w:ascii="Times New Roman" w:hAnsi="Times New Roman"/>
          <w:b/>
          <w:sz w:val="20"/>
          <w:szCs w:val="20"/>
          <w:lang w:eastAsia="en-GB"/>
        </w:rPr>
      </w:pPr>
    </w:p>
    <w:p w14:paraId="32EABA94" w14:textId="31E26233" w:rsidR="003A16BE" w:rsidRDefault="0017494B" w:rsidP="005F2AA2">
      <w:pPr>
        <w:tabs>
          <w:tab w:val="left" w:pos="-17"/>
          <w:tab w:val="center" w:pos="4545"/>
        </w:tabs>
        <w:snapToGrid w:val="0"/>
        <w:spacing w:after="0" w:line="240" w:lineRule="auto"/>
        <w:jc w:val="both"/>
        <w:rPr>
          <w:rFonts w:ascii="Times New Roman" w:eastAsia="Times New Roman" w:hAnsi="Times New Roman" w:cs="Times New Roman"/>
          <w:sz w:val="20"/>
          <w:szCs w:val="20"/>
          <w:lang w:eastAsia="en-GB"/>
        </w:rPr>
      </w:pPr>
      <w:r>
        <w:rPr>
          <w:rFonts w:ascii="Times New Roman" w:hAnsi="Times New Roman" w:cs="Times New Roman"/>
          <w:b/>
          <w:sz w:val="20"/>
          <w:szCs w:val="20"/>
        </w:rPr>
        <w:t>ABSTRACT</w:t>
      </w:r>
      <w:r w:rsidR="005F2AA2">
        <w:rPr>
          <w:rFonts w:ascii="Times New Roman" w:hAnsi="Times New Roman" w:cs="Times New Roman"/>
          <w:b/>
          <w:sz w:val="20"/>
          <w:szCs w:val="20"/>
        </w:rPr>
        <w:t xml:space="preserve">: </w:t>
      </w:r>
      <w:r>
        <w:rPr>
          <w:rFonts w:ascii="Times New Roman" w:eastAsia="Times New Roman" w:hAnsi="Times New Roman" w:cs="Times New Roman"/>
          <w:sz w:val="20"/>
          <w:szCs w:val="20"/>
          <w:lang w:eastAsia="en-GB"/>
        </w:rPr>
        <w:t>Notwithstanding, human cytomegalovirus (HCMV) infection is linked to a possible danger to the fetus, there is scanty data from Rivers State, Nigeria concerning the epidemiology and the impact of HCMV infections. T</w:t>
      </w:r>
      <w:r>
        <w:rPr>
          <w:rFonts w:ascii="Times New Roman" w:eastAsia="Times New Roman" w:hAnsi="Times New Roman" w:cs="Times New Roman"/>
          <w:sz w:val="20"/>
          <w:szCs w:val="20"/>
          <w:lang w:eastAsia="en-GB"/>
        </w:rPr>
        <w:t>his cross-sectional study was conducted between February 2019 and November 2019 among pregnant women attending an antenatal clinic at the University of Port Harcourt Teaching Hospital (UPTH), Port Harcourt, Nigeria, to investigate the magnitude and associa</w:t>
      </w:r>
      <w:r>
        <w:rPr>
          <w:rFonts w:ascii="Times New Roman" w:eastAsia="Times New Roman" w:hAnsi="Times New Roman" w:cs="Times New Roman"/>
          <w:sz w:val="20"/>
          <w:szCs w:val="20"/>
          <w:lang w:eastAsia="en-GB"/>
        </w:rPr>
        <w:t>ted factors of HCMV infection. The specific HCMV IgM antibody was detected using an enzyme-linked immunosorbent assay (ELISA). A total of 90 pregnant women in the age range of 20-49 years were enrolled. The prevalence of HCMV IgM antibodies was 25.6%. Only</w:t>
      </w:r>
      <w:r>
        <w:rPr>
          <w:rFonts w:ascii="Times New Roman" w:eastAsia="Times New Roman" w:hAnsi="Times New Roman" w:cs="Times New Roman"/>
          <w:sz w:val="20"/>
          <w:szCs w:val="20"/>
          <w:lang w:eastAsia="en-GB"/>
        </w:rPr>
        <w:t xml:space="preserve"> </w:t>
      </w:r>
      <w:r>
        <w:rPr>
          <w:rFonts w:ascii="Times New Roman" w:hAnsi="Times New Roman" w:cs="Times New Roman"/>
          <w:sz w:val="20"/>
          <w:szCs w:val="20"/>
          <w:shd w:val="clear" w:color="auto" w:fill="FFFFFF"/>
        </w:rPr>
        <w:t xml:space="preserve">occupation, family type, history of STDs, HIV status, and being married </w:t>
      </w:r>
      <w:r>
        <w:rPr>
          <w:rFonts w:ascii="Times New Roman" w:eastAsia="Times New Roman" w:hAnsi="Times New Roman" w:cs="Times New Roman"/>
          <w:sz w:val="20"/>
          <w:szCs w:val="20"/>
          <w:lang w:eastAsia="en-GB"/>
        </w:rPr>
        <w:t xml:space="preserve">(p &lt; 0.05) occurred to predict HCMV IgM seropositivity independently. Concerning the outcomes of preceding pregnancies, history of abortion/miscarriage independently </w:t>
      </w:r>
      <w:r>
        <w:rPr>
          <w:rFonts w:ascii="Times New Roman" w:eastAsia="Times New Roman" w:hAnsi="Times New Roman" w:cs="Times New Roman"/>
          <w:sz w:val="20"/>
          <w:szCs w:val="20"/>
          <w:lang w:eastAsia="en-GB"/>
        </w:rPr>
        <w:t>predicted IgM seropositivity (p=0.021). Human cytomegalovirus (HCMV) prevalence amongst pregnant women in Port Harcourt, Nigeria is high. This is linked to deprived pregnancy outcomes. Infection with human cytomegalovirus (HCMV) during pregnancy may lead t</w:t>
      </w:r>
      <w:r>
        <w:rPr>
          <w:rFonts w:ascii="Times New Roman" w:eastAsia="Times New Roman" w:hAnsi="Times New Roman" w:cs="Times New Roman"/>
          <w:sz w:val="20"/>
          <w:szCs w:val="20"/>
          <w:lang w:eastAsia="en-GB"/>
        </w:rPr>
        <w:t>o congenital disease. Thus, emphasize the screening of HCMV routinely to establish the impact of HCMV during pregnancy.</w:t>
      </w:r>
    </w:p>
    <w:p w14:paraId="72049807" w14:textId="04B4AF8B" w:rsidR="003A16BE" w:rsidRDefault="0017494B">
      <w:pPr>
        <w:wordWrap w:val="0"/>
        <w:snapToGrid w:val="0"/>
        <w:spacing w:after="0" w:line="240" w:lineRule="auto"/>
        <w:jc w:val="both"/>
        <w:rPr>
          <w:rFonts w:ascii="Times New Roman" w:hAnsi="Times New Roman" w:cs="Times New Roman"/>
          <w:b/>
          <w:bCs/>
          <w:sz w:val="20"/>
          <w:szCs w:val="20"/>
        </w:rPr>
      </w:pPr>
      <w:r>
        <w:rPr>
          <w:rFonts w:ascii="Times New Roman" w:hAnsi="Times New Roman" w:cs="Times New Roman"/>
          <w:color w:val="000000"/>
          <w:sz w:val="20"/>
          <w:szCs w:val="20"/>
          <w:shd w:val="clear" w:color="auto" w:fill="FFFFFF"/>
        </w:rPr>
        <w:t>[</w:t>
      </w:r>
      <w:r>
        <w:rPr>
          <w:rFonts w:ascii="Times New Roman" w:hAnsi="Times New Roman" w:cs="Times New Roman"/>
          <w:bCs/>
          <w:sz w:val="20"/>
          <w:szCs w:val="20"/>
          <w:lang w:eastAsia="en-GB"/>
        </w:rPr>
        <w:t xml:space="preserve">Okonko IO, </w:t>
      </w:r>
      <w:r>
        <w:rPr>
          <w:rFonts w:ascii="Times New Roman" w:eastAsia="Times New Roman" w:hAnsi="Times New Roman" w:cs="Times New Roman"/>
          <w:bCs/>
          <w:sz w:val="20"/>
          <w:szCs w:val="20"/>
          <w:lang w:eastAsia="en-GB"/>
        </w:rPr>
        <w:t xml:space="preserve">Jasper DE, </w:t>
      </w:r>
      <w:r>
        <w:rPr>
          <w:rFonts w:ascii="Times New Roman" w:hAnsi="Times New Roman" w:cs="Times New Roman"/>
          <w:bCs/>
          <w:sz w:val="20"/>
          <w:szCs w:val="20"/>
          <w:lang w:eastAsia="en-GB"/>
        </w:rPr>
        <w:t>Innocent-Adiele HC, Frank-Peterside N</w:t>
      </w:r>
      <w:r>
        <w:rPr>
          <w:rFonts w:ascii="Times New Roman" w:hAnsi="Times New Roman" w:cs="Times New Roman"/>
          <w:bCs/>
          <w:color w:val="000000"/>
          <w:sz w:val="20"/>
          <w:szCs w:val="20"/>
          <w:shd w:val="clear" w:color="auto" w:fill="FFFFFF"/>
        </w:rPr>
        <w:t>.</w:t>
      </w:r>
      <w:r w:rsidR="005F2AA2">
        <w:rPr>
          <w:rFonts w:ascii="Times New Roman" w:hAnsi="Times New Roman" w:cs="Times New Roman"/>
          <w:bCs/>
          <w:color w:val="000000"/>
          <w:sz w:val="20"/>
          <w:szCs w:val="20"/>
          <w:shd w:val="clear" w:color="auto" w:fill="FFFFFF"/>
        </w:rPr>
        <w:t xml:space="preserve"> </w:t>
      </w:r>
      <w:r>
        <w:rPr>
          <w:rFonts w:ascii="Times New Roman" w:hAnsi="Times New Roman" w:cs="Times New Roman"/>
          <w:b/>
          <w:sz w:val="20"/>
          <w:szCs w:val="20"/>
        </w:rPr>
        <w:t xml:space="preserve">Prevalence of Human Cytomegalovirus IgM antibodies </w:t>
      </w:r>
      <w:r>
        <w:rPr>
          <w:rFonts w:ascii="Times New Roman" w:eastAsia="Times New Roman" w:hAnsi="Times New Roman" w:cs="Times New Roman"/>
          <w:b/>
          <w:bCs/>
          <w:sz w:val="20"/>
          <w:szCs w:val="20"/>
          <w:lang w:eastAsia="en-GB"/>
        </w:rPr>
        <w:t>in Pregnant Women in</w:t>
      </w:r>
      <w:r>
        <w:rPr>
          <w:rFonts w:ascii="Times New Roman" w:hAnsi="Times New Roman" w:cs="Times New Roman"/>
          <w:b/>
          <w:sz w:val="20"/>
          <w:szCs w:val="20"/>
        </w:rPr>
        <w:t xml:space="preserve"> Po</w:t>
      </w:r>
      <w:r>
        <w:rPr>
          <w:rFonts w:ascii="Times New Roman" w:hAnsi="Times New Roman" w:cs="Times New Roman"/>
          <w:b/>
          <w:sz w:val="20"/>
          <w:szCs w:val="20"/>
        </w:rPr>
        <w:t xml:space="preserve">rt Harcourt, Rivers </w:t>
      </w:r>
      <w:r>
        <w:rPr>
          <w:rFonts w:ascii="Times New Roman" w:eastAsia="Times New Roman" w:hAnsi="Times New Roman" w:cs="Times New Roman"/>
          <w:b/>
          <w:bCs/>
          <w:sz w:val="20"/>
          <w:szCs w:val="20"/>
          <w:lang w:eastAsia="en-GB"/>
        </w:rPr>
        <w:t>State</w:t>
      </w:r>
      <w:r>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b/>
          <w:bCs/>
          <w:sz w:val="20"/>
          <w:szCs w:val="20"/>
          <w:lang w:eastAsia="en-GB"/>
        </w:rPr>
        <w:t>Nigeria</w:t>
      </w:r>
      <w:r>
        <w:rPr>
          <w:rFonts w:ascii="Times New Roman" w:hAnsi="Times New Roman" w:cs="Times New Roman"/>
          <w:b/>
          <w:sz w:val="20"/>
          <w:szCs w:val="20"/>
          <w:lang w:eastAsia="en-GB"/>
        </w:rPr>
        <w:t xml:space="preserve">. </w:t>
      </w:r>
      <w:r>
        <w:rPr>
          <w:rFonts w:ascii="Times New Roman" w:hAnsi="Times New Roman" w:cs="Times New Roman"/>
          <w:sz w:val="20"/>
          <w:szCs w:val="20"/>
        </w:rPr>
        <w:t>.</w:t>
      </w:r>
      <w:r>
        <w:rPr>
          <w:rFonts w:ascii="Times New Roman" w:hAnsi="Times New Roman" w:cs="Times New Roman"/>
          <w:i/>
          <w:sz w:val="20"/>
          <w:szCs w:val="20"/>
        </w:rPr>
        <w:t>Researcher</w:t>
      </w:r>
      <w:r w:rsidR="005F2AA2">
        <w:rPr>
          <w:rFonts w:ascii="Times New Roman" w:hAnsi="Times New Roman" w:cs="Times New Roman"/>
          <w:i/>
          <w:sz w:val="20"/>
          <w:szCs w:val="20"/>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10</w:t>
      </w:r>
      <w:r>
        <w:rPr>
          <w:rFonts w:ascii="Times New Roman" w:hAnsi="Times New Roman" w:cs="Times New Roman"/>
          <w:sz w:val="20"/>
          <w:szCs w:val="20"/>
        </w:rPr>
        <w:t>):</w:t>
      </w:r>
      <w:r>
        <w:rPr>
          <w:rFonts w:ascii="Times New Roman" w:hAnsi="Times New Roman" w:cs="Times New Roman"/>
          <w:sz w:val="20"/>
          <w:szCs w:val="20"/>
          <w:lang w:eastAsia="zh-CN"/>
        </w:rPr>
        <w:t xml:space="preserve"> 3</w:t>
      </w:r>
      <w:r w:rsidR="005F2AA2">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4</w:t>
      </w:r>
      <w:r w:rsidR="005F2AA2">
        <w:rPr>
          <w:rFonts w:ascii="Times New Roman" w:hAnsi="Times New Roman" w:cs="Times New Roman"/>
          <w:sz w:val="20"/>
          <w:szCs w:val="20"/>
          <w:lang w:eastAsia="zh-CN"/>
        </w:rPr>
        <w:t>2</w:t>
      </w:r>
      <w:r>
        <w:rPr>
          <w:rFonts w:ascii="Times New Roman" w:hAnsi="Times New Roman" w:cs="Times New Roman"/>
          <w:sz w:val="20"/>
          <w:szCs w:val="20"/>
        </w:rPr>
        <w:t>]</w:t>
      </w:r>
      <w:r w:rsidR="005F2AA2">
        <w:rPr>
          <w:rFonts w:ascii="Times New Roman" w:hAnsi="Times New Roman" w:cs="Times New Roman"/>
          <w:sz w:val="20"/>
          <w:szCs w:val="20"/>
        </w:rPr>
        <w:t xml:space="preserve"> </w:t>
      </w:r>
      <w:r>
        <w:rPr>
          <w:rFonts w:ascii="Times New Roman" w:hAnsi="Times New Roman" w:cs="Times New Roman"/>
          <w:sz w:val="20"/>
          <w:szCs w:val="20"/>
        </w:rPr>
        <w:t>ISSN</w:t>
      </w:r>
      <w:r w:rsidR="005F2AA2">
        <w:rPr>
          <w:rFonts w:ascii="Times New Roman" w:hAnsi="Times New Roman" w:cs="Times New Roman"/>
          <w:sz w:val="20"/>
          <w:szCs w:val="20"/>
        </w:rPr>
        <w:t xml:space="preserve"> </w:t>
      </w:r>
      <w:r>
        <w:rPr>
          <w:rFonts w:ascii="Times New Roman" w:hAnsi="Times New Roman" w:cs="Times New Roman"/>
          <w:sz w:val="20"/>
          <w:szCs w:val="20"/>
        </w:rPr>
        <w:t>1553-9865</w:t>
      </w:r>
      <w:r w:rsidR="005F2AA2">
        <w:rPr>
          <w:rFonts w:ascii="Times New Roman" w:hAnsi="Times New Roman" w:cs="Times New Roman"/>
          <w:sz w:val="20"/>
          <w:szCs w:val="20"/>
        </w:rPr>
        <w:t xml:space="preserve"> </w:t>
      </w:r>
      <w:r>
        <w:rPr>
          <w:rFonts w:ascii="Times New Roman" w:hAnsi="Times New Roman" w:cs="Times New Roman"/>
          <w:sz w:val="20"/>
          <w:szCs w:val="20"/>
        </w:rPr>
        <w:t>(print);</w:t>
      </w:r>
      <w:r w:rsidR="005F2AA2">
        <w:rPr>
          <w:rFonts w:ascii="Times New Roman" w:hAnsi="Times New Roman" w:cs="Times New Roman"/>
          <w:sz w:val="20"/>
          <w:szCs w:val="20"/>
        </w:rPr>
        <w:t xml:space="preserve"> </w:t>
      </w:r>
      <w:r>
        <w:rPr>
          <w:rFonts w:ascii="Times New Roman" w:hAnsi="Times New Roman" w:cs="Times New Roman"/>
          <w:sz w:val="20"/>
          <w:szCs w:val="20"/>
        </w:rPr>
        <w:t>ISSN</w:t>
      </w:r>
      <w:r w:rsidR="005F2AA2">
        <w:rPr>
          <w:rFonts w:ascii="Times New Roman" w:hAnsi="Times New Roman" w:cs="Times New Roman"/>
          <w:sz w:val="20"/>
          <w:szCs w:val="20"/>
        </w:rPr>
        <w:t xml:space="preserve"> </w:t>
      </w:r>
      <w:r>
        <w:rPr>
          <w:rFonts w:ascii="Times New Roman" w:hAnsi="Times New Roman" w:cs="Times New Roman"/>
          <w:sz w:val="20"/>
          <w:szCs w:val="20"/>
        </w:rPr>
        <w:t>2163-8950</w:t>
      </w:r>
      <w:r w:rsidR="005F2AA2">
        <w:rPr>
          <w:rFonts w:ascii="Times New Roman" w:hAnsi="Times New Roman" w:cs="Times New Roman"/>
          <w:sz w:val="20"/>
          <w:szCs w:val="20"/>
        </w:rPr>
        <w:t xml:space="preserve"> </w:t>
      </w:r>
      <w:r>
        <w:rPr>
          <w:rFonts w:ascii="Times New Roman" w:hAnsi="Times New Roman" w:cs="Times New Roman"/>
          <w:sz w:val="20"/>
          <w:szCs w:val="20"/>
        </w:rPr>
        <w:t>(online)</w:t>
      </w:r>
      <w:r w:rsidR="005F2AA2">
        <w:rPr>
          <w:rFonts w:ascii="Times New Roman" w:hAnsi="Times New Roman" w:cs="Times New Roman"/>
          <w:sz w:val="20"/>
          <w:szCs w:val="20"/>
        </w:rPr>
        <w:t xml:space="preserve"> </w:t>
      </w:r>
      <w:hyperlink r:id="rId8" w:history="1">
        <w:r w:rsidR="005F2AA2" w:rsidRPr="001C23A6">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eastAsia="宋体" w:hAnsi="Times New Roman" w:cs="Times New Roman"/>
          <w:sz w:val="20"/>
          <w:szCs w:val="20"/>
          <w:lang w:eastAsia="zh-CN"/>
        </w:rPr>
        <w:t>0</w:t>
      </w:r>
      <w:r>
        <w:rPr>
          <w:rFonts w:ascii="Times New Roman" w:eastAsia="宋体" w:hAnsi="Times New Roman" w:cs="Times New Roman" w:hint="eastAsia"/>
          <w:sz w:val="20"/>
          <w:szCs w:val="20"/>
          <w:lang w:eastAsia="zh-CN"/>
        </w:rPr>
        <w:t>7</w:t>
      </w:r>
      <w:r>
        <w:rPr>
          <w:rFonts w:ascii="Times New Roman" w:eastAsia="宋体" w:hAnsi="Times New Roman" w:cs="Times New Roman"/>
          <w:sz w:val="20"/>
          <w:szCs w:val="20"/>
          <w:lang w:eastAsia="zh-CN"/>
        </w:rPr>
        <w:t>.</w:t>
      </w:r>
      <w:r w:rsidR="005F2AA2">
        <w:rPr>
          <w:rFonts w:ascii="Times New Roman" w:eastAsia="宋体" w:hAnsi="Times New Roman" w:cs="Times New Roman"/>
          <w:sz w:val="20"/>
          <w:szCs w:val="20"/>
          <w:lang w:eastAsia="zh-CN"/>
        </w:rPr>
        <w:t xml:space="preserve"> </w:t>
      </w:r>
      <w:r>
        <w:rPr>
          <w:rFonts w:ascii="Times New Roman" w:hAnsi="Times New Roman" w:cs="Times New Roman"/>
          <w:sz w:val="20"/>
          <w:szCs w:val="20"/>
        </w:rPr>
        <w:t>doi:</w:t>
      </w:r>
      <w:hyperlink r:id="rId9" w:history="1">
        <w:r>
          <w:rPr>
            <w:rStyle w:val="Hyperlink"/>
            <w:rFonts w:ascii="Times New Roman" w:hAnsi="Times New Roman" w:cs="Times New Roman"/>
            <w:sz w:val="20"/>
            <w:szCs w:val="20"/>
          </w:rPr>
          <w:t>10.7537/marsrsj14102</w:t>
        </w:r>
      </w:hyperlink>
      <w:r>
        <w:rPr>
          <w:rStyle w:val="Hyperlink"/>
          <w:rFonts w:ascii="Times New Roman" w:eastAsia="宋体" w:hAnsi="Times New Roman" w:cs="Times New Roman"/>
          <w:sz w:val="20"/>
          <w:szCs w:val="20"/>
          <w:lang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7</w:t>
      </w:r>
      <w:r>
        <w:rPr>
          <w:rStyle w:val="Hyperlink"/>
          <w:rFonts w:ascii="Times New Roman" w:hAnsi="Times New Roman" w:cs="Times New Roman"/>
          <w:sz w:val="20"/>
          <w:szCs w:val="20"/>
        </w:rPr>
        <w:t>.</w:t>
      </w:r>
    </w:p>
    <w:p w14:paraId="354943B2" w14:textId="77777777" w:rsidR="003A16BE" w:rsidRDefault="003A16BE">
      <w:pPr>
        <w:autoSpaceDE w:val="0"/>
        <w:autoSpaceDN w:val="0"/>
        <w:adjustRightInd w:val="0"/>
        <w:snapToGrid w:val="0"/>
        <w:spacing w:after="0" w:line="240" w:lineRule="auto"/>
        <w:rPr>
          <w:rFonts w:ascii="Times New Roman" w:hAnsi="Times New Roman" w:cs="Times New Roman"/>
          <w:b/>
          <w:bCs/>
          <w:sz w:val="20"/>
          <w:szCs w:val="20"/>
        </w:rPr>
      </w:pPr>
    </w:p>
    <w:p w14:paraId="56B6E6F1" w14:textId="77777777" w:rsidR="003A16BE" w:rsidRDefault="0017494B">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Antibody, HCMV, IgM, Pregnant women, Rivers State, Nigeria</w:t>
      </w:r>
    </w:p>
    <w:p w14:paraId="41C69F3E" w14:textId="77777777" w:rsidR="003A16BE" w:rsidRDefault="003A16BE">
      <w:pPr>
        <w:snapToGrid w:val="0"/>
        <w:spacing w:after="0" w:line="240" w:lineRule="auto"/>
        <w:rPr>
          <w:rFonts w:ascii="Times New Roman" w:hAnsi="Times New Roman" w:cs="Times New Roman"/>
          <w:b/>
          <w:sz w:val="20"/>
          <w:szCs w:val="20"/>
        </w:rPr>
      </w:pPr>
    </w:p>
    <w:p w14:paraId="7BD7D261" w14:textId="77777777" w:rsidR="003A16BE" w:rsidRDefault="003A16BE">
      <w:pPr>
        <w:snapToGrid w:val="0"/>
        <w:spacing w:after="0" w:line="240" w:lineRule="auto"/>
        <w:rPr>
          <w:rFonts w:ascii="Times New Roman" w:hAnsi="Times New Roman" w:cs="Times New Roman"/>
          <w:b/>
          <w:sz w:val="20"/>
          <w:szCs w:val="20"/>
        </w:rPr>
        <w:sectPr w:rsidR="003A16BE" w:rsidSect="005F2AA2">
          <w:headerReference w:type="default" r:id="rId10"/>
          <w:footerReference w:type="default" r:id="rId11"/>
          <w:headerReference w:type="first" r:id="rId12"/>
          <w:footerReference w:type="first" r:id="rId13"/>
          <w:pgSz w:w="12240" w:h="15839"/>
          <w:pgMar w:top="1440" w:right="1440" w:bottom="1440" w:left="1440" w:header="720" w:footer="720" w:gutter="0"/>
          <w:pgNumType w:start="36"/>
          <w:cols w:space="720"/>
          <w:titlePg/>
          <w:docGrid w:linePitch="360"/>
        </w:sectPr>
      </w:pPr>
    </w:p>
    <w:p w14:paraId="21AED0AC" w14:textId="77777777" w:rsidR="003A16BE" w:rsidRDefault="0017494B">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INTRODUCTION </w:t>
      </w:r>
    </w:p>
    <w:p w14:paraId="4A880CA8" w14:textId="77777777" w:rsidR="003A16BE" w:rsidRDefault="0017494B">
      <w:pPr>
        <w:pStyle w:val="p"/>
        <w:shd w:val="clear" w:color="auto" w:fill="FFFFFF"/>
        <w:snapToGrid w:val="0"/>
        <w:spacing w:before="0" w:beforeAutospacing="0" w:after="0" w:afterAutospacing="0"/>
        <w:jc w:val="both"/>
        <w:rPr>
          <w:sz w:val="20"/>
          <w:szCs w:val="20"/>
        </w:rPr>
      </w:pPr>
      <w:r>
        <w:rPr>
          <w:sz w:val="20"/>
          <w:szCs w:val="20"/>
        </w:rPr>
        <w:t>Human cytomegalovirus (CMV) is a double-stranded DNA virus member of the Herpesviridae family (</w:t>
      </w:r>
      <w:r>
        <w:rPr>
          <w:sz w:val="20"/>
          <w:szCs w:val="20"/>
          <w:shd w:val="clear" w:color="auto" w:fill="FFFFFF"/>
        </w:rPr>
        <w:t xml:space="preserve">Zamora, 2011; Drebber et al., 2011; </w:t>
      </w:r>
      <w:r>
        <w:rPr>
          <w:sz w:val="20"/>
          <w:szCs w:val="20"/>
          <w:shd w:val="clear" w:color="auto" w:fill="FFFFFF"/>
        </w:rPr>
        <w:t>Alvarado-Esquivel et al., 2018</w:t>
      </w:r>
      <w:r>
        <w:rPr>
          <w:sz w:val="20"/>
          <w:szCs w:val="20"/>
        </w:rPr>
        <w:t>). Primary infections with HCMV occurred worldwide (</w:t>
      </w:r>
      <w:r>
        <w:rPr>
          <w:sz w:val="20"/>
          <w:szCs w:val="20"/>
          <w:shd w:val="clear" w:color="auto" w:fill="FFFFFF"/>
        </w:rPr>
        <w:t>Davis et al., 2017</w:t>
      </w:r>
      <w:r>
        <w:rPr>
          <w:sz w:val="20"/>
          <w:szCs w:val="20"/>
        </w:rPr>
        <w:t>), leading to lifelong latency with reactivation during relative immunosuppression in the host (</w:t>
      </w:r>
      <w:r>
        <w:rPr>
          <w:sz w:val="20"/>
          <w:szCs w:val="20"/>
          <w:shd w:val="clear" w:color="auto" w:fill="FFFFFF"/>
        </w:rPr>
        <w:t>Zamora, 2011; Drebber et al., 2011; Alvarado-Esquivel et al.</w:t>
      </w:r>
      <w:r>
        <w:rPr>
          <w:sz w:val="20"/>
          <w:szCs w:val="20"/>
          <w:shd w:val="clear" w:color="auto" w:fill="FFFFFF"/>
        </w:rPr>
        <w:t>, 2018</w:t>
      </w:r>
      <w:r>
        <w:rPr>
          <w:sz w:val="20"/>
          <w:szCs w:val="20"/>
        </w:rPr>
        <w:t xml:space="preserve">). </w:t>
      </w:r>
    </w:p>
    <w:p w14:paraId="605A6F62" w14:textId="77777777" w:rsidR="003A16BE" w:rsidRDefault="0017494B">
      <w:pPr>
        <w:pStyle w:val="p"/>
        <w:shd w:val="clear" w:color="auto" w:fill="FFFFFF"/>
        <w:snapToGrid w:val="0"/>
        <w:spacing w:before="0" w:beforeAutospacing="0" w:after="0" w:afterAutospacing="0"/>
        <w:jc w:val="both"/>
        <w:rPr>
          <w:sz w:val="20"/>
          <w:szCs w:val="20"/>
        </w:rPr>
      </w:pPr>
      <w:r>
        <w:rPr>
          <w:sz w:val="20"/>
          <w:szCs w:val="20"/>
        </w:rPr>
        <w:t>Principal sources of CMV infection during pregnancy are young children and intimate contacts (</w:t>
      </w:r>
      <w:r>
        <w:rPr>
          <w:sz w:val="20"/>
          <w:szCs w:val="20"/>
          <w:shd w:val="clear" w:color="auto" w:fill="FFFFFF"/>
        </w:rPr>
        <w:t>Johnson et al., 2012; Davis et al., 2017</w:t>
      </w:r>
      <w:r>
        <w:rPr>
          <w:sz w:val="20"/>
          <w:szCs w:val="20"/>
        </w:rPr>
        <w:t>). Primary infection with CMV occurs in approximately 1-4% of pregnancies (</w:t>
      </w:r>
      <w:r>
        <w:rPr>
          <w:sz w:val="20"/>
          <w:szCs w:val="20"/>
          <w:shd w:val="clear" w:color="auto" w:fill="FFFFFF"/>
        </w:rPr>
        <w:t>Davis et al., 2017; Alvarado-Esquivel</w:t>
      </w:r>
      <w:r>
        <w:rPr>
          <w:sz w:val="20"/>
          <w:szCs w:val="20"/>
          <w:shd w:val="clear" w:color="auto" w:fill="FFFFFF"/>
        </w:rPr>
        <w:t xml:space="preserve"> et al., 2018</w:t>
      </w:r>
      <w:r>
        <w:rPr>
          <w:sz w:val="20"/>
          <w:szCs w:val="20"/>
        </w:rPr>
        <w:t>). Congenital HCMV transmission rates were as high as 50% in women who got infected during pregnancy and &lt;2% in women with non-primary infection (</w:t>
      </w:r>
      <w:r>
        <w:rPr>
          <w:sz w:val="20"/>
          <w:szCs w:val="20"/>
          <w:shd w:val="clear" w:color="auto" w:fill="FFFFFF"/>
        </w:rPr>
        <w:t>Davis et al., 2017; Alvarado-Esquivel et al., 2018</w:t>
      </w:r>
      <w:r>
        <w:rPr>
          <w:sz w:val="20"/>
          <w:szCs w:val="20"/>
        </w:rPr>
        <w:t>). Intrauterine HCMV transmission rates are abo</w:t>
      </w:r>
      <w:r>
        <w:rPr>
          <w:sz w:val="20"/>
          <w:szCs w:val="20"/>
        </w:rPr>
        <w:t>ut 30% and 0.2% for primary and non-primary infections, respectively (</w:t>
      </w:r>
      <w:r>
        <w:rPr>
          <w:sz w:val="20"/>
          <w:szCs w:val="20"/>
          <w:shd w:val="clear" w:color="auto" w:fill="FFFFFF"/>
        </w:rPr>
        <w:t>Saldan et al., 2017</w:t>
      </w:r>
      <w:r>
        <w:rPr>
          <w:sz w:val="20"/>
          <w:szCs w:val="20"/>
        </w:rPr>
        <w:t>). HCMV can be spread from mother to child, during breastfeeding or intrapartum (</w:t>
      </w:r>
      <w:r>
        <w:rPr>
          <w:sz w:val="20"/>
          <w:szCs w:val="20"/>
          <w:shd w:val="clear" w:color="auto" w:fill="FFFFFF"/>
        </w:rPr>
        <w:t>Davis et al., 2017; Alvarado-Esquivel et al., 2018</w:t>
      </w:r>
      <w:r>
        <w:rPr>
          <w:sz w:val="20"/>
          <w:szCs w:val="20"/>
        </w:rPr>
        <w:t xml:space="preserve">). </w:t>
      </w:r>
    </w:p>
    <w:p w14:paraId="086FE117" w14:textId="77777777" w:rsidR="003A16BE" w:rsidRDefault="003A16BE">
      <w:pPr>
        <w:pStyle w:val="NoSpacing"/>
        <w:snapToGrid w:val="0"/>
        <w:jc w:val="both"/>
        <w:rPr>
          <w:rFonts w:ascii="Times New Roman" w:eastAsia="Times New Roman" w:hAnsi="Times New Roman" w:cs="Times New Roman"/>
          <w:sz w:val="20"/>
          <w:szCs w:val="20"/>
          <w:lang w:eastAsia="en-GB"/>
        </w:rPr>
      </w:pPr>
    </w:p>
    <w:p w14:paraId="471AE4B4" w14:textId="77777777" w:rsidR="003A16BE" w:rsidRDefault="0017494B">
      <w:pPr>
        <w:pStyle w:val="NoSpacing"/>
        <w:snapToGrid w:val="0"/>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The seroprevalences of HCMV in pregnant women are high (Mocarski et al., 2007); with the highest proportions being reported in Qatar, Saudi Arabia, </w:t>
      </w:r>
      <w:r>
        <w:rPr>
          <w:rFonts w:ascii="Times New Roman" w:eastAsia="Times New Roman" w:hAnsi="Times New Roman" w:cs="Times New Roman"/>
          <w:sz w:val="20"/>
          <w:szCs w:val="20"/>
          <w:lang w:eastAsia="en-GB"/>
        </w:rPr>
        <w:t xml:space="preserve">Turkey, Taiwan and sub-Saharan Africa (Abu-Madi et al., 2010; Mashuda et al., 2014; Yamamoto et al., 2013; </w:t>
      </w:r>
      <w:hyperlink r:id="rId14" w:anchor="auth-1" w:history="1">
        <w:r>
          <w:rPr>
            <w:rFonts w:ascii="Times New Roman" w:eastAsia="Times New Roman" w:hAnsi="Times New Roman" w:cs="Times New Roman"/>
            <w:sz w:val="20"/>
            <w:szCs w:val="20"/>
            <w:lang w:eastAsia="en-GB"/>
          </w:rPr>
          <w:t>Chibwe</w:t>
        </w:r>
      </w:hyperlink>
      <w:r>
        <w:rPr>
          <w:rFonts w:ascii="Times New Roman" w:eastAsia="Times New Roman" w:hAnsi="Times New Roman" w:cs="Times New Roman"/>
          <w:sz w:val="20"/>
          <w:szCs w:val="20"/>
          <w:lang w:eastAsia="en-GB"/>
        </w:rPr>
        <w:t xml:space="preserve"> et al., 2017). In Rivers State, Nigeria, there is scanty information on the magnitude of HCMV amongst pregnant women, despite having high prevalences</w:t>
      </w:r>
      <w:r>
        <w:rPr>
          <w:rFonts w:ascii="Times New Roman" w:eastAsia="Times New Roman" w:hAnsi="Times New Roman" w:cs="Times New Roman"/>
          <w:sz w:val="20"/>
          <w:szCs w:val="20"/>
          <w:lang w:eastAsia="en-GB"/>
        </w:rPr>
        <w:t xml:space="preserve"> of congenital disabilities with unknown origins (Mashuda et al., 2014; </w:t>
      </w:r>
      <w:hyperlink r:id="rId15" w:anchor="auth-1" w:history="1">
        <w:r>
          <w:rPr>
            <w:rFonts w:ascii="Times New Roman" w:eastAsia="Times New Roman" w:hAnsi="Times New Roman" w:cs="Times New Roman"/>
            <w:sz w:val="20"/>
            <w:szCs w:val="20"/>
            <w:lang w:eastAsia="en-GB"/>
          </w:rPr>
          <w:t>Chibwe</w:t>
        </w:r>
      </w:hyperlink>
      <w:r>
        <w:rPr>
          <w:rFonts w:ascii="Times New Roman" w:eastAsia="Times New Roman" w:hAnsi="Times New Roman" w:cs="Times New Roman"/>
          <w:sz w:val="20"/>
          <w:szCs w:val="20"/>
          <w:lang w:eastAsia="en-GB"/>
        </w:rPr>
        <w:t xml:space="preserve"> et al., 2017</w:t>
      </w:r>
    </w:p>
    <w:p w14:paraId="6DC4B3D1" w14:textId="77777777" w:rsidR="003A16BE" w:rsidRDefault="003A16BE">
      <w:pPr>
        <w:pStyle w:val="NoSpacing"/>
        <w:snapToGrid w:val="0"/>
        <w:jc w:val="both"/>
        <w:rPr>
          <w:rFonts w:ascii="Times New Roman" w:eastAsia="Times New Roman" w:hAnsi="Times New Roman" w:cs="Times New Roman"/>
          <w:sz w:val="20"/>
          <w:szCs w:val="20"/>
          <w:lang w:eastAsia="en-GB"/>
        </w:rPr>
      </w:pPr>
    </w:p>
    <w:p w14:paraId="2E333E61" w14:textId="77777777" w:rsidR="003A16BE" w:rsidRDefault="0017494B">
      <w:pPr>
        <w:pStyle w:val="NoSpacing"/>
        <w:snapToGrid w:val="0"/>
        <w:jc w:val="both"/>
        <w:rPr>
          <w:rFonts w:ascii="Times New Roman" w:hAnsi="Times New Roman" w:cs="Times New Roman"/>
          <w:sz w:val="20"/>
          <w:szCs w:val="20"/>
        </w:rPr>
      </w:pPr>
      <w:r>
        <w:rPr>
          <w:rFonts w:ascii="Times New Roman" w:eastAsia="Times New Roman" w:hAnsi="Times New Roman" w:cs="Times New Roman"/>
          <w:sz w:val="20"/>
          <w:szCs w:val="20"/>
          <w:lang w:eastAsia="en-GB"/>
        </w:rPr>
        <w:t>Notwithstanding, human cytomegalovirus (HCMV) infection is lin</w:t>
      </w:r>
      <w:r>
        <w:rPr>
          <w:rFonts w:ascii="Times New Roman" w:eastAsia="Times New Roman" w:hAnsi="Times New Roman" w:cs="Times New Roman"/>
          <w:sz w:val="20"/>
          <w:szCs w:val="20"/>
          <w:lang w:eastAsia="en-GB"/>
        </w:rPr>
        <w:t xml:space="preserve">ked to a possible danger to the fetus, there is scanty data from Rivers State, Nigeria concerning the epidemiology and the impact of HCMV infections. </w:t>
      </w:r>
      <w:r>
        <w:rPr>
          <w:rFonts w:ascii="Times New Roman" w:hAnsi="Times New Roman" w:cs="Times New Roman"/>
          <w:sz w:val="20"/>
          <w:szCs w:val="20"/>
        </w:rPr>
        <w:t>The study sought to determine the seroprevalence and correlates of HCMV infection amid pregnant women in P</w:t>
      </w:r>
      <w:r>
        <w:rPr>
          <w:rFonts w:ascii="Times New Roman" w:hAnsi="Times New Roman" w:cs="Times New Roman"/>
          <w:sz w:val="20"/>
          <w:szCs w:val="20"/>
        </w:rPr>
        <w:t>ort Harcourt, Nigeria.</w:t>
      </w:r>
    </w:p>
    <w:p w14:paraId="7EECE6FA" w14:textId="77777777" w:rsidR="003A16BE" w:rsidRDefault="003A16BE">
      <w:pPr>
        <w:pStyle w:val="ListParagraph"/>
        <w:tabs>
          <w:tab w:val="left" w:pos="284"/>
        </w:tabs>
        <w:snapToGrid w:val="0"/>
        <w:spacing w:after="0" w:line="240" w:lineRule="auto"/>
        <w:ind w:left="0"/>
        <w:jc w:val="both"/>
        <w:rPr>
          <w:rFonts w:ascii="Times New Roman" w:hAnsi="Times New Roman" w:cs="Times New Roman"/>
          <w:b/>
          <w:sz w:val="20"/>
          <w:szCs w:val="20"/>
        </w:rPr>
      </w:pPr>
    </w:p>
    <w:p w14:paraId="6165F98F" w14:textId="77777777" w:rsidR="003A16BE" w:rsidRDefault="0017494B">
      <w:pPr>
        <w:pStyle w:val="ListParagraph"/>
        <w:tabs>
          <w:tab w:val="left" w:pos="284"/>
        </w:tabs>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MATERIALS AND METHODS</w:t>
      </w:r>
    </w:p>
    <w:p w14:paraId="2023BCCA" w14:textId="77777777" w:rsidR="003A16BE" w:rsidRDefault="0017494B">
      <w:pPr>
        <w:pStyle w:val="ListParagraph"/>
        <w:tabs>
          <w:tab w:val="left" w:pos="7751"/>
        </w:tabs>
        <w:snapToGrid w:val="0"/>
        <w:spacing w:after="0" w:line="240" w:lineRule="auto"/>
        <w:ind w:left="0"/>
        <w:rPr>
          <w:rFonts w:ascii="Times New Roman" w:hAnsi="Times New Roman" w:cs="Times New Roman"/>
          <w:b/>
          <w:sz w:val="20"/>
          <w:szCs w:val="20"/>
        </w:rPr>
      </w:pPr>
      <w:r>
        <w:rPr>
          <w:rFonts w:ascii="Times New Roman" w:hAnsi="Times New Roman" w:cs="Times New Roman"/>
          <w:b/>
          <w:sz w:val="20"/>
          <w:szCs w:val="20"/>
        </w:rPr>
        <w:t>2.1. Study Area</w:t>
      </w:r>
    </w:p>
    <w:p w14:paraId="160E630F" w14:textId="77777777" w:rsidR="003A16BE" w:rsidRDefault="0017494B">
      <w:pPr>
        <w:pStyle w:val="ListParagraph"/>
        <w:tabs>
          <w:tab w:val="left" w:pos="7751"/>
        </w:tabs>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The study was carried out with pregnant women at the University of Port Harcourt Teaching Hospital (UPTH), Rivers State, Nigeria. UPTH is located at Alakahia, East-West Road of Port Harcourt, Ri</w:t>
      </w:r>
      <w:r>
        <w:rPr>
          <w:rFonts w:ascii="Times New Roman" w:hAnsi="Times New Roman" w:cs="Times New Roman"/>
          <w:sz w:val="20"/>
          <w:szCs w:val="20"/>
        </w:rPr>
        <w:t>vers State, Nigeria. Port Harcourt lies 4.78</w:t>
      </w:r>
      <w:r>
        <w:rPr>
          <w:rFonts w:ascii="Times New Roman" w:hAnsi="Times New Roman" w:cs="Times New Roman"/>
          <w:sz w:val="20"/>
          <w:szCs w:val="20"/>
          <w:vertAlign w:val="superscript"/>
        </w:rPr>
        <w:t>0</w:t>
      </w:r>
      <w:r>
        <w:rPr>
          <w:rFonts w:ascii="Times New Roman" w:hAnsi="Times New Roman" w:cs="Times New Roman"/>
          <w:sz w:val="20"/>
          <w:szCs w:val="20"/>
        </w:rPr>
        <w:t>N and 7.01</w:t>
      </w:r>
      <w:r>
        <w:rPr>
          <w:rFonts w:ascii="Times New Roman" w:hAnsi="Times New Roman" w:cs="Times New Roman"/>
          <w:sz w:val="20"/>
          <w:szCs w:val="20"/>
          <w:vertAlign w:val="superscript"/>
        </w:rPr>
        <w:t>0</w:t>
      </w:r>
      <w:r>
        <w:rPr>
          <w:rFonts w:ascii="Times New Roman" w:hAnsi="Times New Roman" w:cs="Times New Roman"/>
          <w:sz w:val="20"/>
          <w:szCs w:val="20"/>
        </w:rPr>
        <w:t>E. The city is characterised by a moderate level of sanitation, improper waste management, moderate housing and potable water.</w:t>
      </w:r>
    </w:p>
    <w:p w14:paraId="40FAE97A" w14:textId="77777777" w:rsidR="003A16BE" w:rsidRDefault="003A16BE">
      <w:pPr>
        <w:pStyle w:val="NoSpacing"/>
        <w:snapToGrid w:val="0"/>
        <w:jc w:val="both"/>
        <w:rPr>
          <w:rFonts w:ascii="Times New Roman" w:hAnsi="Times New Roman" w:cs="Times New Roman"/>
          <w:b/>
          <w:bCs/>
          <w:sz w:val="20"/>
          <w:szCs w:val="20"/>
        </w:rPr>
      </w:pPr>
    </w:p>
    <w:p w14:paraId="74DBBB8B" w14:textId="77777777" w:rsidR="003A16BE" w:rsidRDefault="0017494B">
      <w:pPr>
        <w:pStyle w:val="NoSpacing"/>
        <w:snapToGrid w:val="0"/>
        <w:jc w:val="both"/>
        <w:rPr>
          <w:rFonts w:ascii="Times New Roman" w:hAnsi="Times New Roman" w:cs="Times New Roman"/>
          <w:b/>
          <w:bCs/>
          <w:sz w:val="20"/>
          <w:szCs w:val="20"/>
        </w:rPr>
      </w:pPr>
      <w:r>
        <w:rPr>
          <w:rFonts w:ascii="Times New Roman" w:hAnsi="Times New Roman" w:cs="Times New Roman"/>
          <w:b/>
          <w:bCs/>
          <w:sz w:val="20"/>
          <w:szCs w:val="20"/>
        </w:rPr>
        <w:lastRenderedPageBreak/>
        <w:t>2.2</w:t>
      </w:r>
      <w:r>
        <w:rPr>
          <w:rFonts w:ascii="Times New Roman" w:hAnsi="Times New Roman" w:cs="Times New Roman"/>
          <w:b/>
          <w:bCs/>
          <w:sz w:val="20"/>
          <w:szCs w:val="20"/>
        </w:rPr>
        <w:tab/>
        <w:t>Ethical aspects</w:t>
      </w:r>
    </w:p>
    <w:p w14:paraId="2CB6B59D" w14:textId="77777777" w:rsidR="003A16BE" w:rsidRDefault="0017494B">
      <w:pPr>
        <w:pStyle w:val="NoSpacing"/>
        <w:snapToGrid w:val="0"/>
        <w:jc w:val="both"/>
        <w:rPr>
          <w:rFonts w:ascii="Times New Roman" w:hAnsi="Times New Roman" w:cs="Times New Roman"/>
          <w:sz w:val="20"/>
          <w:szCs w:val="20"/>
        </w:rPr>
      </w:pPr>
      <w:r>
        <w:rPr>
          <w:rFonts w:ascii="Times New Roman" w:hAnsi="Times New Roman" w:cs="Times New Roman"/>
          <w:sz w:val="20"/>
          <w:szCs w:val="20"/>
        </w:rPr>
        <w:t>The Hospital Ethical Committees of UPTH and Universi</w:t>
      </w:r>
      <w:r>
        <w:rPr>
          <w:rFonts w:ascii="Times New Roman" w:hAnsi="Times New Roman" w:cs="Times New Roman"/>
          <w:sz w:val="20"/>
          <w:szCs w:val="20"/>
        </w:rPr>
        <w:t>ty of Port Harcourt approved this study. The purpose and procedures of this study were explained to pregnant women. Participation in this study was voluntary, and informed consents were gotten from all participants.</w:t>
      </w:r>
    </w:p>
    <w:p w14:paraId="78621416" w14:textId="77777777" w:rsidR="003A16BE" w:rsidRDefault="0017494B">
      <w:pPr>
        <w:shd w:val="clear" w:color="auto" w:fill="FFFFFF"/>
        <w:snapToGrid w:val="0"/>
        <w:spacing w:after="0" w:line="240" w:lineRule="auto"/>
        <w:jc w:val="both"/>
        <w:outlineLvl w:val="2"/>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 xml:space="preserve">2.3 Study design and women </w:t>
      </w:r>
      <w:r>
        <w:rPr>
          <w:rFonts w:ascii="Times New Roman" w:eastAsia="Times New Roman" w:hAnsi="Times New Roman" w:cs="Times New Roman"/>
          <w:b/>
          <w:bCs/>
          <w:sz w:val="20"/>
          <w:szCs w:val="20"/>
          <w:lang w:val="en-GB" w:eastAsia="en-GB"/>
        </w:rPr>
        <w:t>studied</w:t>
      </w:r>
    </w:p>
    <w:p w14:paraId="65A977D7" w14:textId="77777777" w:rsidR="003A16BE" w:rsidRDefault="0017494B">
      <w:pPr>
        <w:shd w:val="clear" w:color="auto" w:fill="FFFFFF"/>
        <w:snapToGrid w:val="0"/>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 xml:space="preserve">This cross-sectional study was evaluated from February 2019 to November 2019. Participants were enrolled consecutively in the study when attending their antenatal care consultations at </w:t>
      </w:r>
      <w:r>
        <w:rPr>
          <w:rFonts w:ascii="Times New Roman" w:hAnsi="Times New Roman" w:cs="Times New Roman"/>
          <w:sz w:val="20"/>
          <w:szCs w:val="20"/>
        </w:rPr>
        <w:t>UPTH</w:t>
      </w:r>
      <w:r>
        <w:rPr>
          <w:rFonts w:ascii="Times New Roman" w:eastAsia="Times New Roman" w:hAnsi="Times New Roman" w:cs="Times New Roman"/>
          <w:sz w:val="20"/>
          <w:szCs w:val="20"/>
          <w:lang w:val="en-GB" w:eastAsia="en-GB"/>
        </w:rPr>
        <w:t>. Inclusion criteria for enrollment in the study were: 1) p</w:t>
      </w:r>
      <w:r>
        <w:rPr>
          <w:rFonts w:ascii="Times New Roman" w:eastAsia="Times New Roman" w:hAnsi="Times New Roman" w:cs="Times New Roman"/>
          <w:sz w:val="20"/>
          <w:szCs w:val="20"/>
          <w:lang w:val="en-GB" w:eastAsia="en-GB"/>
        </w:rPr>
        <w:t>regnant women at their 1 - 9 months of pregnancy, 2) 20 - 49 years old, and 3) voluntarily accepted to participate. Pregnant women were invited to participate in the study regardless of their socio-economic status, occupation, or educational level. In tota</w:t>
      </w:r>
      <w:r>
        <w:rPr>
          <w:rFonts w:ascii="Times New Roman" w:eastAsia="Times New Roman" w:hAnsi="Times New Roman" w:cs="Times New Roman"/>
          <w:sz w:val="20"/>
          <w:szCs w:val="20"/>
          <w:lang w:val="en-GB" w:eastAsia="en-GB"/>
        </w:rPr>
        <w:t>l, 90 pregnant women (average age: 25 years; range 20 - 49 years) were included in the study.</w:t>
      </w:r>
    </w:p>
    <w:p w14:paraId="4D3BBD40" w14:textId="77777777" w:rsidR="005F2AA2" w:rsidRDefault="0017494B">
      <w:pPr>
        <w:tabs>
          <w:tab w:val="left" w:pos="7751"/>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2.4 Study Population</w:t>
      </w:r>
    </w:p>
    <w:p w14:paraId="31676A05" w14:textId="07D82A47" w:rsidR="003A16BE" w:rsidRDefault="003A16BE">
      <w:pPr>
        <w:tabs>
          <w:tab w:val="left" w:pos="7751"/>
        </w:tabs>
        <w:snapToGrid w:val="0"/>
        <w:spacing w:after="0" w:line="240" w:lineRule="auto"/>
        <w:jc w:val="both"/>
        <w:rPr>
          <w:rFonts w:ascii="Times New Roman" w:hAnsi="Times New Roman" w:cs="Times New Roman"/>
          <w:sz w:val="20"/>
          <w:szCs w:val="20"/>
        </w:rPr>
      </w:pPr>
    </w:p>
    <w:p w14:paraId="675AFF68" w14:textId="77777777" w:rsidR="003A16BE" w:rsidRDefault="0017494B">
      <w:pPr>
        <w:tabs>
          <w:tab w:val="left" w:pos="3083"/>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Ninety pregnant women of different ages and socio-economic statuses at UPTH were enrolled in this study. This study commenced by </w:t>
      </w:r>
      <w:r>
        <w:rPr>
          <w:rFonts w:ascii="Times New Roman" w:hAnsi="Times New Roman" w:cs="Times New Roman"/>
          <w:sz w:val="20"/>
          <w:szCs w:val="20"/>
        </w:rPr>
        <w:t xml:space="preserve">recruiting consecutive consenting pregnant women until 90 blood samples were obtained. Relevant information on all pregnant women was gotten from the hospital records. Table 1 summarises the characteristics of pregnant women in Port Harcourt used for this </w:t>
      </w:r>
      <w:r>
        <w:rPr>
          <w:rFonts w:ascii="Times New Roman" w:hAnsi="Times New Roman" w:cs="Times New Roman"/>
          <w:sz w:val="20"/>
          <w:szCs w:val="20"/>
        </w:rPr>
        <w:t>study.</w:t>
      </w:r>
      <w:bookmarkStart w:id="0" w:name="_Hlk23660024"/>
    </w:p>
    <w:p w14:paraId="29051E76" w14:textId="77777777" w:rsidR="003A16BE" w:rsidRDefault="0017494B">
      <w:pPr>
        <w:tabs>
          <w:tab w:val="left" w:pos="3083"/>
        </w:tabs>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2.5 Socio-demographic, clinical, behavioural and family characteristics of pregnant women</w:t>
      </w:r>
    </w:p>
    <w:bookmarkEnd w:id="0"/>
    <w:p w14:paraId="446E5B00" w14:textId="77777777" w:rsidR="003A16BE" w:rsidRDefault="0017494B">
      <w:pPr>
        <w:pStyle w:val="NoSpacing"/>
        <w:snapToGrid w:val="0"/>
        <w:jc w:val="both"/>
        <w:rPr>
          <w:rFonts w:ascii="Times New Roman" w:hAnsi="Times New Roman" w:cs="Times New Roman"/>
          <w:sz w:val="20"/>
          <w:szCs w:val="20"/>
        </w:rPr>
      </w:pPr>
      <w:r>
        <w:rPr>
          <w:rFonts w:ascii="Times New Roman" w:hAnsi="Times New Roman" w:cs="Times New Roman"/>
          <w:sz w:val="20"/>
          <w:szCs w:val="20"/>
        </w:rPr>
        <w:t>The pregnant's socio-demographic, clinical, behavioural, and family characteristics were obtained with a standardised questionnaire in face-to-face interviews.</w:t>
      </w:r>
      <w:r>
        <w:rPr>
          <w:rFonts w:ascii="Times New Roman" w:hAnsi="Times New Roman" w:cs="Times New Roman"/>
          <w:sz w:val="20"/>
          <w:szCs w:val="20"/>
        </w:rPr>
        <w:t xml:space="preserve"> </w:t>
      </w:r>
    </w:p>
    <w:p w14:paraId="58A5E970" w14:textId="77777777" w:rsidR="003A16BE" w:rsidRDefault="0017494B">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2.6</w:t>
      </w:r>
      <w:r>
        <w:rPr>
          <w:rFonts w:ascii="Times New Roman" w:hAnsi="Times New Roman" w:cs="Times New Roman"/>
          <w:b/>
          <w:sz w:val="20"/>
          <w:szCs w:val="20"/>
        </w:rPr>
        <w:tab/>
        <w:t>Sample Collection and preparation/processing</w:t>
      </w:r>
    </w:p>
    <w:p w14:paraId="6FF950BD" w14:textId="77777777" w:rsidR="003A16BE" w:rsidRDefault="0017494B">
      <w:pPr>
        <w:tabs>
          <w:tab w:val="left" w:pos="7751"/>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method of sample collection employed was the venipuncture technique (Okocha et al., 2005). The samples of blood were collected into an EDTA bottle. These samples were elated to the laboratory in a cold</w:t>
      </w:r>
      <w:r>
        <w:rPr>
          <w:rFonts w:ascii="Times New Roman" w:hAnsi="Times New Roman" w:cs="Times New Roman"/>
          <w:sz w:val="20"/>
          <w:szCs w:val="20"/>
        </w:rPr>
        <w:t xml:space="preserve"> chain for further analysis and processed using standard laboratory procedures.</w:t>
      </w:r>
    </w:p>
    <w:p w14:paraId="4A9B67CF" w14:textId="77777777" w:rsidR="003A16BE" w:rsidRDefault="003A16BE">
      <w:pPr>
        <w:pStyle w:val="NoSpacing"/>
        <w:snapToGrid w:val="0"/>
        <w:jc w:val="both"/>
        <w:rPr>
          <w:rFonts w:ascii="Times New Roman" w:hAnsi="Times New Roman" w:cs="Times New Roman"/>
          <w:b/>
          <w:sz w:val="20"/>
          <w:szCs w:val="20"/>
        </w:rPr>
      </w:pPr>
    </w:p>
    <w:p w14:paraId="46EA417F" w14:textId="77777777" w:rsidR="003A16BE" w:rsidRDefault="0017494B">
      <w:pPr>
        <w:pStyle w:val="NoSpacing"/>
        <w:snapToGrid w:val="0"/>
        <w:jc w:val="both"/>
        <w:rPr>
          <w:rFonts w:ascii="Times New Roman" w:hAnsi="Times New Roman" w:cs="Times New Roman"/>
          <w:b/>
          <w:sz w:val="20"/>
          <w:szCs w:val="20"/>
        </w:rPr>
      </w:pPr>
      <w:r>
        <w:rPr>
          <w:rFonts w:ascii="Times New Roman" w:hAnsi="Times New Roman" w:cs="Times New Roman"/>
          <w:b/>
          <w:sz w:val="20"/>
          <w:szCs w:val="20"/>
        </w:rPr>
        <w:t>2.7 Detection of anti-CMV IgM antibodies</w:t>
      </w:r>
    </w:p>
    <w:p w14:paraId="23DF820D" w14:textId="77777777" w:rsidR="003A16BE" w:rsidRDefault="0017494B">
      <w:pPr>
        <w:tabs>
          <w:tab w:val="left" w:pos="7751"/>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ELISA Kit (Cytomegalovirus IgM) manufactured by DIA.PRO Diagnostic Bioprobes Srl via Columella n</w:t>
      </w:r>
      <w:r>
        <w:rPr>
          <w:rFonts w:ascii="Times New Roman" w:hAnsi="Times New Roman" w:cs="Times New Roman"/>
          <w:sz w:val="20"/>
          <w:szCs w:val="20"/>
          <w:vertAlign w:val="superscript"/>
        </w:rPr>
        <w:t>0</w:t>
      </w:r>
      <w:r>
        <w:rPr>
          <w:rFonts w:ascii="Times New Roman" w:hAnsi="Times New Roman" w:cs="Times New Roman"/>
          <w:sz w:val="20"/>
          <w:szCs w:val="20"/>
        </w:rPr>
        <w:t>31 20128 Milano- Italy was used to sc</w:t>
      </w:r>
      <w:r>
        <w:rPr>
          <w:rFonts w:ascii="Times New Roman" w:hAnsi="Times New Roman" w:cs="Times New Roman"/>
          <w:sz w:val="20"/>
          <w:szCs w:val="20"/>
        </w:rPr>
        <w:t xml:space="preserve">reen for CMV specific-IgM antibodies following manufacturer's instructions. A blood sample from each participant was collected. After centrifugation of blood samples, plasma samples were obtained and kept frozen until analysed. </w:t>
      </w:r>
      <w:r>
        <w:rPr>
          <w:rFonts w:ascii="Times New Roman" w:hAnsi="Times New Roman" w:cs="Times New Roman"/>
          <w:sz w:val="20"/>
          <w:szCs w:val="20"/>
        </w:rPr>
        <w:t>Plasmas were tested for anti</w:t>
      </w:r>
      <w:r>
        <w:rPr>
          <w:rFonts w:ascii="Times New Roman" w:hAnsi="Times New Roman" w:cs="Times New Roman"/>
          <w:sz w:val="20"/>
          <w:szCs w:val="20"/>
        </w:rPr>
        <w:t xml:space="preserve">-CMV IgM antibodies by the commercially available enzyme-linked immunosorbent assay (ELISA) "CMV IgM” (Dia. Pro, Milano, Italy). Results were interpreted as described by the manufacturer. </w:t>
      </w:r>
    </w:p>
    <w:p w14:paraId="508CE930" w14:textId="77777777" w:rsidR="003A16BE" w:rsidRDefault="0017494B">
      <w:pPr>
        <w:tabs>
          <w:tab w:val="left" w:pos="2863"/>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2.8. Data Analysis</w:t>
      </w:r>
    </w:p>
    <w:p w14:paraId="48DAC6AE" w14:textId="77777777" w:rsidR="003A16BE" w:rsidRDefault="0017494B">
      <w:pPr>
        <w:tabs>
          <w:tab w:val="left" w:pos="2863"/>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Data were analysed using Microsoft Excel 2016 ve</w:t>
      </w:r>
      <w:r>
        <w:rPr>
          <w:rFonts w:ascii="Times New Roman" w:hAnsi="Times New Roman" w:cs="Times New Roman"/>
          <w:sz w:val="20"/>
          <w:szCs w:val="20"/>
        </w:rPr>
        <w:t>rsion to calculate the results. The statistical analysis was performed with the aid of SPSS version 16.0. Pearson's Chi-square test (when cell values were &lt; 5) was used to compare the frequencies among groups. Bivariate analyses assessed the association of</w:t>
      </w:r>
      <w:r>
        <w:rPr>
          <w:rFonts w:ascii="Times New Roman" w:hAnsi="Times New Roman" w:cs="Times New Roman"/>
          <w:sz w:val="20"/>
          <w:szCs w:val="20"/>
        </w:rPr>
        <w:t xml:space="preserve"> pregnant women characteristics and CMV seropositivity. P value &lt; 0.05 was taken as statistically significant.</w:t>
      </w:r>
    </w:p>
    <w:p w14:paraId="0C04DECD" w14:textId="77777777" w:rsidR="003A16BE" w:rsidRDefault="003A16BE">
      <w:pPr>
        <w:pStyle w:val="NoSpacing"/>
        <w:snapToGrid w:val="0"/>
        <w:jc w:val="both"/>
        <w:rPr>
          <w:rFonts w:ascii="Times New Roman" w:hAnsi="Times New Roman" w:cs="Times New Roman"/>
          <w:b/>
          <w:bCs/>
          <w:sz w:val="20"/>
          <w:szCs w:val="20"/>
        </w:rPr>
      </w:pPr>
    </w:p>
    <w:p w14:paraId="31E40CEE" w14:textId="77777777" w:rsidR="003A16BE" w:rsidRDefault="0017494B">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3. RESULTS</w:t>
      </w:r>
    </w:p>
    <w:p w14:paraId="14D0D19E" w14:textId="77777777" w:rsidR="003A16BE" w:rsidRDefault="0017494B">
      <w:pPr>
        <w:tabs>
          <w:tab w:val="left" w:pos="2863"/>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3.1 Characteristics of Study Population</w:t>
      </w:r>
    </w:p>
    <w:p w14:paraId="2A0654FE" w14:textId="77777777" w:rsidR="003A16BE" w:rsidRDefault="0017494B">
      <w:pPr>
        <w:pStyle w:val="thesis"/>
        <w:snapToGrid w:val="0"/>
        <w:spacing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The total number of pregnant women included was 90. The socio-demographic data for these samples were stratified and shown in Table 1. </w:t>
      </w:r>
    </w:p>
    <w:p w14:paraId="4FF76FC3" w14:textId="77777777" w:rsidR="003A16BE" w:rsidRDefault="003A16BE">
      <w:pPr>
        <w:snapToGrid w:val="0"/>
        <w:spacing w:after="0" w:line="240" w:lineRule="auto"/>
        <w:rPr>
          <w:rFonts w:ascii="Times New Roman" w:hAnsi="Times New Roman" w:cs="Times New Roman"/>
          <w:b/>
          <w:sz w:val="20"/>
          <w:szCs w:val="20"/>
        </w:rPr>
      </w:pPr>
    </w:p>
    <w:p w14:paraId="62875D5C" w14:textId="77777777" w:rsidR="003A16BE" w:rsidRDefault="0017494B">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3.2    Prevalence of HCMV IgM antibodies</w:t>
      </w:r>
    </w:p>
    <w:p w14:paraId="7E15843C" w14:textId="77777777" w:rsidR="003A16BE" w:rsidRDefault="0017494B">
      <w:pPr>
        <w:pStyle w:val="thesis"/>
        <w:snapToGrid w:val="0"/>
        <w:spacing w:after="0" w:afterAutospacing="0" w:line="240" w:lineRule="auto"/>
        <w:rPr>
          <w:rFonts w:ascii="Times New Roman" w:hAnsi="Times New Roman" w:cs="Times New Roman"/>
          <w:sz w:val="20"/>
          <w:szCs w:val="20"/>
          <w:shd w:val="clear" w:color="auto" w:fill="FFFFFF"/>
        </w:rPr>
      </w:pPr>
      <w:r>
        <w:rPr>
          <w:rFonts w:ascii="Times New Roman" w:hAnsi="Times New Roman" w:cs="Times New Roman"/>
          <w:sz w:val="20"/>
          <w:szCs w:val="20"/>
        </w:rPr>
        <w:t>Of the 90 specimens tested, only 23 (25.6%) were seropositive for HCMV IgM ant</w:t>
      </w:r>
      <w:r>
        <w:rPr>
          <w:rFonts w:ascii="Times New Roman" w:hAnsi="Times New Roman" w:cs="Times New Roman"/>
          <w:sz w:val="20"/>
          <w:szCs w:val="20"/>
        </w:rPr>
        <w:t xml:space="preserve">ibodies, while 67 (74.4%) tested seronegative. </w:t>
      </w:r>
      <w:bookmarkStart w:id="1" w:name="_Hlk23661277"/>
      <w:r>
        <w:rPr>
          <w:rFonts w:ascii="Times New Roman" w:hAnsi="Times New Roman" w:cs="Times New Roman"/>
          <w:sz w:val="20"/>
          <w:szCs w:val="20"/>
          <w:shd w:val="clear" w:color="auto" w:fill="FFFFFF"/>
        </w:rPr>
        <w:t xml:space="preserve">Individual values of anti-HCMV IgM antibodies obtained in the 90 pregnant women studied are shown in Table 1. The General socio-demographic characteristics of the pregnant women surveyed are shown in Table 1. </w:t>
      </w:r>
      <w:r>
        <w:rPr>
          <w:rFonts w:ascii="Times New Roman" w:hAnsi="Times New Roman" w:cs="Times New Roman"/>
          <w:sz w:val="20"/>
          <w:szCs w:val="20"/>
          <w:shd w:val="clear" w:color="auto" w:fill="FFFFFF"/>
        </w:rPr>
        <w:t>By bivariate analysis, none of the socio-demographic characteristics of pregnant women was associated (P &gt; 0.05) with seropositivity to HCMV IgM antibodies.</w:t>
      </w:r>
    </w:p>
    <w:bookmarkEnd w:id="1"/>
    <w:p w14:paraId="1A7EEEA1" w14:textId="77777777" w:rsidR="003A16BE" w:rsidRDefault="0017494B">
      <w:pPr>
        <w:pStyle w:val="thesis"/>
        <w:snapToGrid w:val="0"/>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3.3</w:t>
      </w:r>
      <w:r>
        <w:rPr>
          <w:rFonts w:ascii="Times New Roman" w:hAnsi="Times New Roman" w:cs="Times New Roman"/>
          <w:b/>
          <w:sz w:val="20"/>
          <w:szCs w:val="20"/>
        </w:rPr>
        <w:tab/>
        <w:t>Prevalence of HCMV IgM antibodies concerning age</w:t>
      </w:r>
    </w:p>
    <w:p w14:paraId="129561A5" w14:textId="77777777" w:rsidR="003A16BE" w:rsidRDefault="0017494B">
      <w:pPr>
        <w:pStyle w:val="thesis"/>
        <w:snapToGrid w:val="0"/>
        <w:spacing w:after="0" w:afterAutospacing="0" w:line="240" w:lineRule="auto"/>
        <w:rPr>
          <w:rFonts w:ascii="Times New Roman" w:hAnsi="Times New Roman" w:cs="Times New Roman"/>
          <w:sz w:val="20"/>
          <w:szCs w:val="20"/>
        </w:rPr>
      </w:pPr>
      <w:r>
        <w:rPr>
          <w:rFonts w:ascii="Times New Roman" w:hAnsi="Times New Roman" w:cs="Times New Roman"/>
          <w:sz w:val="20"/>
          <w:szCs w:val="20"/>
        </w:rPr>
        <w:t>The prevalence of HCMV IgM antibodies concerni</w:t>
      </w:r>
      <w:r>
        <w:rPr>
          <w:rFonts w:ascii="Times New Roman" w:hAnsi="Times New Roman" w:cs="Times New Roman"/>
          <w:sz w:val="20"/>
          <w:szCs w:val="20"/>
        </w:rPr>
        <w:t>ng age is shown in Table 1. Concerning age, all three age groups were reactive. A higher prevalence of HCMV IgM antibodies occurred in the 20-29 years and 40-49 years (33.3%) than in the age group 30-39 years (21.7%). There was, however, no significant rel</w:t>
      </w:r>
      <w:r>
        <w:rPr>
          <w:rFonts w:ascii="Times New Roman" w:hAnsi="Times New Roman" w:cs="Times New Roman"/>
          <w:sz w:val="20"/>
          <w:szCs w:val="20"/>
        </w:rPr>
        <w:t>ationship between the age groups and HCMV IgM (χ</w:t>
      </w:r>
      <w:r>
        <w:rPr>
          <w:rFonts w:ascii="Times New Roman" w:hAnsi="Times New Roman" w:cs="Times New Roman"/>
          <w:sz w:val="20"/>
          <w:szCs w:val="20"/>
          <w:vertAlign w:val="superscript"/>
        </w:rPr>
        <w:t>2</w:t>
      </w:r>
      <w:r>
        <w:rPr>
          <w:rFonts w:ascii="Times New Roman" w:hAnsi="Times New Roman" w:cs="Times New Roman"/>
          <w:sz w:val="20"/>
          <w:szCs w:val="20"/>
        </w:rPr>
        <w:t>= 2.169, df = 2, p&gt;0.05) (Table 1).</w:t>
      </w:r>
    </w:p>
    <w:p w14:paraId="07CFB18A" w14:textId="77777777" w:rsidR="003A16BE" w:rsidRDefault="0017494B">
      <w:pPr>
        <w:pStyle w:val="thesis"/>
        <w:snapToGrid w:val="0"/>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3.4</w:t>
      </w:r>
      <w:r>
        <w:rPr>
          <w:rFonts w:ascii="Times New Roman" w:hAnsi="Times New Roman" w:cs="Times New Roman"/>
          <w:b/>
          <w:sz w:val="20"/>
          <w:szCs w:val="20"/>
        </w:rPr>
        <w:tab/>
        <w:t>Prevalence of HCMV IgM antibodies concerning marital status</w:t>
      </w:r>
    </w:p>
    <w:p w14:paraId="45DAB042" w14:textId="77777777" w:rsidR="003A16BE" w:rsidRDefault="0017494B">
      <w:pPr>
        <w:pStyle w:val="thesis"/>
        <w:snapToGrid w:val="0"/>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 xml:space="preserve">Table 1 shows the </w:t>
      </w:r>
      <w:r>
        <w:rPr>
          <w:rStyle w:val="thesisChar"/>
          <w:rFonts w:ascii="Times New Roman" w:hAnsi="Times New Roman" w:cs="Times New Roman"/>
          <w:sz w:val="20"/>
          <w:szCs w:val="20"/>
        </w:rPr>
        <w:t>serop</w:t>
      </w:r>
      <w:r>
        <w:rPr>
          <w:rFonts w:ascii="Times New Roman" w:hAnsi="Times New Roman" w:cs="Times New Roman"/>
          <w:sz w:val="20"/>
          <w:szCs w:val="20"/>
        </w:rPr>
        <w:t>ositivity rate of H</w:t>
      </w:r>
      <w:r>
        <w:rPr>
          <w:rStyle w:val="thesisChar"/>
          <w:rFonts w:ascii="Times New Roman" w:hAnsi="Times New Roman" w:cs="Times New Roman"/>
          <w:sz w:val="20"/>
          <w:szCs w:val="20"/>
        </w:rPr>
        <w:t>CMV IgM antibodies according to marital status.</w:t>
      </w:r>
      <w:r>
        <w:rPr>
          <w:rFonts w:ascii="Times New Roman" w:hAnsi="Times New Roman" w:cs="Times New Roman"/>
          <w:sz w:val="20"/>
          <w:szCs w:val="20"/>
        </w:rPr>
        <w:t xml:space="preserve"> None of the single pregnant women was seropositive (0.0%) for HCMV IgM, while 23 (25.8%) married women tested seropositive. </w:t>
      </w:r>
      <w:r>
        <w:rPr>
          <w:rStyle w:val="thesisChar"/>
          <w:rFonts w:ascii="Times New Roman" w:hAnsi="Times New Roman" w:cs="Times New Roman"/>
          <w:sz w:val="20"/>
          <w:szCs w:val="20"/>
        </w:rPr>
        <w:t xml:space="preserve">Statistically, marital status was not significantly associated with HCMV </w:t>
      </w:r>
      <w:r>
        <w:rPr>
          <w:rFonts w:ascii="Times New Roman" w:hAnsi="Times New Roman" w:cs="Times New Roman"/>
          <w:sz w:val="20"/>
          <w:szCs w:val="20"/>
        </w:rPr>
        <w:t>IgM (χ</w:t>
      </w:r>
      <w:r>
        <w:rPr>
          <w:rFonts w:ascii="Times New Roman" w:hAnsi="Times New Roman" w:cs="Times New Roman"/>
          <w:sz w:val="20"/>
          <w:szCs w:val="20"/>
          <w:vertAlign w:val="superscript"/>
        </w:rPr>
        <w:t>2</w:t>
      </w:r>
      <w:r>
        <w:rPr>
          <w:rFonts w:ascii="Times New Roman" w:hAnsi="Times New Roman" w:cs="Times New Roman"/>
          <w:sz w:val="20"/>
          <w:szCs w:val="20"/>
        </w:rPr>
        <w:t>= 0.017, df = 1, p&gt;0.05</w:t>
      </w:r>
      <w:r>
        <w:rPr>
          <w:rStyle w:val="thesisChar"/>
          <w:rFonts w:ascii="Times New Roman" w:hAnsi="Times New Roman" w:cs="Times New Roman"/>
          <w:sz w:val="20"/>
          <w:szCs w:val="20"/>
        </w:rPr>
        <w:t>).</w:t>
      </w:r>
    </w:p>
    <w:p w14:paraId="71A8A57F" w14:textId="77777777" w:rsidR="003A16BE" w:rsidRDefault="003A16BE">
      <w:pPr>
        <w:pStyle w:val="thesis"/>
        <w:snapToGrid w:val="0"/>
        <w:spacing w:after="0" w:afterAutospacing="0" w:line="240" w:lineRule="auto"/>
        <w:rPr>
          <w:rStyle w:val="thesisChar"/>
          <w:rFonts w:ascii="Times New Roman" w:hAnsi="Times New Roman" w:cs="Times New Roman"/>
          <w:sz w:val="20"/>
          <w:szCs w:val="20"/>
        </w:rPr>
      </w:pPr>
    </w:p>
    <w:p w14:paraId="6DE1EAF3" w14:textId="77777777" w:rsidR="003A16BE" w:rsidRDefault="003A16BE">
      <w:pPr>
        <w:snapToGrid w:val="0"/>
        <w:spacing w:after="0" w:line="240" w:lineRule="auto"/>
        <w:jc w:val="both"/>
        <w:rPr>
          <w:rFonts w:ascii="Times New Roman" w:hAnsi="Times New Roman" w:cs="Times New Roman"/>
          <w:b/>
          <w:bCs/>
          <w:sz w:val="20"/>
          <w:szCs w:val="20"/>
        </w:rPr>
        <w:sectPr w:rsidR="003A16BE">
          <w:type w:val="continuous"/>
          <w:pgSz w:w="12240" w:h="15839"/>
          <w:pgMar w:top="720" w:right="1152" w:bottom="720" w:left="1440" w:header="720" w:footer="720" w:gutter="0"/>
          <w:cols w:num="2" w:space="720"/>
          <w:docGrid w:linePitch="360"/>
        </w:sectPr>
      </w:pPr>
      <w:bookmarkStart w:id="2" w:name="_Hlk23490955"/>
    </w:p>
    <w:p w14:paraId="0EFF6930" w14:textId="77777777" w:rsidR="003A16BE" w:rsidRDefault="003A16BE">
      <w:pPr>
        <w:snapToGrid w:val="0"/>
        <w:spacing w:after="0" w:line="240" w:lineRule="auto"/>
        <w:jc w:val="both"/>
        <w:rPr>
          <w:rFonts w:ascii="Times New Roman" w:hAnsi="Times New Roman" w:cs="Times New Roman"/>
          <w:b/>
          <w:bCs/>
          <w:sz w:val="20"/>
          <w:szCs w:val="20"/>
        </w:rPr>
      </w:pPr>
    </w:p>
    <w:p w14:paraId="7773021E" w14:textId="77777777" w:rsidR="003A16BE" w:rsidRDefault="003A16BE">
      <w:pPr>
        <w:snapToGrid w:val="0"/>
        <w:spacing w:after="0" w:line="240" w:lineRule="auto"/>
        <w:jc w:val="both"/>
        <w:rPr>
          <w:rFonts w:ascii="Times New Roman" w:hAnsi="Times New Roman" w:cs="Times New Roman"/>
          <w:b/>
          <w:bCs/>
          <w:sz w:val="20"/>
          <w:szCs w:val="20"/>
        </w:rPr>
      </w:pPr>
    </w:p>
    <w:p w14:paraId="12253522" w14:textId="77777777" w:rsidR="003A16BE" w:rsidRDefault="003A16BE">
      <w:pPr>
        <w:snapToGrid w:val="0"/>
        <w:spacing w:after="0" w:line="240" w:lineRule="auto"/>
        <w:jc w:val="both"/>
        <w:rPr>
          <w:rFonts w:ascii="Times New Roman" w:hAnsi="Times New Roman" w:cs="Times New Roman"/>
          <w:b/>
          <w:bCs/>
          <w:sz w:val="20"/>
          <w:szCs w:val="20"/>
        </w:rPr>
      </w:pPr>
    </w:p>
    <w:p w14:paraId="3874131F" w14:textId="77777777" w:rsidR="003A16BE" w:rsidRDefault="003A16BE">
      <w:pPr>
        <w:snapToGrid w:val="0"/>
        <w:spacing w:after="0" w:line="240" w:lineRule="auto"/>
        <w:jc w:val="both"/>
        <w:rPr>
          <w:rFonts w:ascii="Times New Roman" w:hAnsi="Times New Roman" w:cs="Times New Roman"/>
          <w:b/>
          <w:bCs/>
          <w:sz w:val="20"/>
          <w:szCs w:val="20"/>
        </w:rPr>
      </w:pPr>
    </w:p>
    <w:p w14:paraId="580E67D3" w14:textId="77777777" w:rsidR="003A16BE" w:rsidRDefault="0017494B">
      <w:pPr>
        <w:snapToGrid w:val="0"/>
        <w:spacing w:after="0" w:line="240" w:lineRule="auto"/>
        <w:jc w:val="both"/>
        <w:rPr>
          <w:rFonts w:ascii="Times New Roman" w:hAnsi="Times New Roman" w:cs="Times New Roman"/>
          <w:b/>
          <w:sz w:val="20"/>
          <w:szCs w:val="20"/>
        </w:rPr>
      </w:pPr>
      <w:r>
        <w:rPr>
          <w:rFonts w:ascii="Times New Roman" w:hAnsi="Times New Roman" w:cs="Times New Roman"/>
          <w:b/>
          <w:bCs/>
          <w:sz w:val="20"/>
          <w:szCs w:val="20"/>
        </w:rPr>
        <w:lastRenderedPageBreak/>
        <w:t>Ta</w:t>
      </w:r>
      <w:r>
        <w:rPr>
          <w:rFonts w:ascii="Times New Roman" w:hAnsi="Times New Roman" w:cs="Times New Roman"/>
          <w:b/>
          <w:bCs/>
          <w:sz w:val="20"/>
          <w:szCs w:val="20"/>
        </w:rPr>
        <w:t>ble 1: The Prevalence of HCMV IgM antibodies concerning the socio-demographic characteristics of the pregnant women</w:t>
      </w:r>
    </w:p>
    <w:tbl>
      <w:tblPr>
        <w:tblStyle w:val="LightShading1"/>
        <w:tblW w:w="9818" w:type="dxa"/>
        <w:tblLook w:val="04A0" w:firstRow="1" w:lastRow="0" w:firstColumn="1" w:lastColumn="0" w:noHBand="0" w:noVBand="1"/>
      </w:tblPr>
      <w:tblGrid>
        <w:gridCol w:w="3419"/>
        <w:gridCol w:w="2352"/>
        <w:gridCol w:w="1911"/>
        <w:gridCol w:w="2136"/>
      </w:tblGrid>
      <w:tr w:rsidR="003A16BE" w14:paraId="76879612" w14:textId="77777777" w:rsidTr="003A16BE">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3BB1E225"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Socio-Demographic Characteristics</w:t>
            </w:r>
          </w:p>
        </w:tc>
        <w:tc>
          <w:tcPr>
            <w:tcW w:w="2352" w:type="dxa"/>
            <w:noWrap/>
            <w:vAlign w:val="center"/>
          </w:tcPr>
          <w:p w14:paraId="323D6CC6" w14:textId="77777777" w:rsidR="003A16BE" w:rsidRDefault="0017494B">
            <w:pPr>
              <w:snapToGri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Groups</w:t>
            </w:r>
          </w:p>
        </w:tc>
        <w:tc>
          <w:tcPr>
            <w:tcW w:w="1911" w:type="dxa"/>
            <w:noWrap/>
            <w:vAlign w:val="center"/>
          </w:tcPr>
          <w:p w14:paraId="7982BEC5" w14:textId="77777777" w:rsidR="003A16BE" w:rsidRDefault="0017494B">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No. Tested (%)</w:t>
            </w:r>
          </w:p>
        </w:tc>
        <w:tc>
          <w:tcPr>
            <w:tcW w:w="2136" w:type="dxa"/>
            <w:noWrap/>
            <w:vAlign w:val="center"/>
          </w:tcPr>
          <w:p w14:paraId="27DD796A" w14:textId="77777777" w:rsidR="003A16BE" w:rsidRDefault="0017494B">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No. Positive for CMV IgM</w:t>
            </w:r>
          </w:p>
        </w:tc>
      </w:tr>
      <w:tr w:rsidR="003A16BE" w14:paraId="77E7FEDB" w14:textId="77777777" w:rsidTr="003A16BE">
        <w:trPr>
          <w:trHeight w:val="6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4A952414"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Age groups</w:t>
            </w:r>
          </w:p>
        </w:tc>
        <w:tc>
          <w:tcPr>
            <w:tcW w:w="2352" w:type="dxa"/>
            <w:tcBorders>
              <w:right w:val="nil"/>
            </w:tcBorders>
            <w:shd w:val="clear" w:color="auto" w:fill="C0C0C0" w:themeFill="text1" w:themeFillTint="3F"/>
            <w:noWrap/>
            <w:vAlign w:val="center"/>
          </w:tcPr>
          <w:p w14:paraId="5695F0B3" w14:textId="77777777" w:rsidR="003A16BE" w:rsidRDefault="0017494B">
            <w:pPr>
              <w:pStyle w:val="thesis"/>
              <w:snapToGrid w:val="0"/>
              <w:spacing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en-GB"/>
              </w:rPr>
            </w:pPr>
            <w:r>
              <w:rPr>
                <w:rFonts w:ascii="Times New Roman" w:eastAsia="Times New Roman" w:hAnsi="Times New Roman" w:cs="Times New Roman"/>
                <w:color w:val="auto"/>
                <w:sz w:val="20"/>
                <w:szCs w:val="20"/>
                <w:lang w:val="en-GB"/>
              </w:rPr>
              <w:t>20-29</w:t>
            </w:r>
          </w:p>
        </w:tc>
        <w:tc>
          <w:tcPr>
            <w:tcW w:w="1911" w:type="dxa"/>
            <w:tcBorders>
              <w:right w:val="nil"/>
            </w:tcBorders>
            <w:shd w:val="clear" w:color="auto" w:fill="C0C0C0" w:themeFill="text1" w:themeFillTint="3F"/>
            <w:noWrap/>
            <w:vAlign w:val="center"/>
          </w:tcPr>
          <w:p w14:paraId="513FF046"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24(26.7)</w:t>
            </w:r>
          </w:p>
        </w:tc>
        <w:tc>
          <w:tcPr>
            <w:tcW w:w="2136" w:type="dxa"/>
            <w:tcBorders>
              <w:right w:val="nil"/>
            </w:tcBorders>
            <w:shd w:val="clear" w:color="auto" w:fill="C0C0C0" w:themeFill="text1" w:themeFillTint="3F"/>
            <w:noWrap/>
            <w:vAlign w:val="center"/>
          </w:tcPr>
          <w:p w14:paraId="1CF180D4"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8(33.3)</w:t>
            </w:r>
          </w:p>
        </w:tc>
      </w:tr>
      <w:tr w:rsidR="003A16BE" w14:paraId="2A7E10E8"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1A292075"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noWrap/>
            <w:vAlign w:val="center"/>
          </w:tcPr>
          <w:p w14:paraId="36CED696"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30-39</w:t>
            </w:r>
          </w:p>
        </w:tc>
        <w:tc>
          <w:tcPr>
            <w:tcW w:w="1911" w:type="dxa"/>
            <w:noWrap/>
            <w:vAlign w:val="center"/>
          </w:tcPr>
          <w:p w14:paraId="380B072B"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60(66.7)</w:t>
            </w:r>
          </w:p>
        </w:tc>
        <w:tc>
          <w:tcPr>
            <w:tcW w:w="2136" w:type="dxa"/>
            <w:noWrap/>
            <w:vAlign w:val="center"/>
          </w:tcPr>
          <w:p w14:paraId="1A1ECBD3"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13(21.7)</w:t>
            </w:r>
          </w:p>
        </w:tc>
      </w:tr>
      <w:tr w:rsidR="003A16BE" w14:paraId="74E143D5"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415B510C"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right w:val="nil"/>
            </w:tcBorders>
            <w:shd w:val="clear" w:color="auto" w:fill="C0C0C0" w:themeFill="text1" w:themeFillTint="3F"/>
            <w:noWrap/>
            <w:vAlign w:val="center"/>
          </w:tcPr>
          <w:p w14:paraId="67411F1C"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40-49</w:t>
            </w:r>
          </w:p>
        </w:tc>
        <w:tc>
          <w:tcPr>
            <w:tcW w:w="1911" w:type="dxa"/>
            <w:tcBorders>
              <w:right w:val="nil"/>
            </w:tcBorders>
            <w:shd w:val="clear" w:color="auto" w:fill="C0C0C0" w:themeFill="text1" w:themeFillTint="3F"/>
            <w:noWrap/>
            <w:vAlign w:val="center"/>
          </w:tcPr>
          <w:p w14:paraId="485368A3"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6(6.7)</w:t>
            </w:r>
          </w:p>
        </w:tc>
        <w:tc>
          <w:tcPr>
            <w:tcW w:w="2136" w:type="dxa"/>
            <w:tcBorders>
              <w:right w:val="nil"/>
            </w:tcBorders>
            <w:shd w:val="clear" w:color="auto" w:fill="C0C0C0" w:themeFill="text1" w:themeFillTint="3F"/>
            <w:noWrap/>
            <w:vAlign w:val="center"/>
          </w:tcPr>
          <w:p w14:paraId="42E20B88"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2(33.3)</w:t>
            </w:r>
          </w:p>
        </w:tc>
      </w:tr>
      <w:tr w:rsidR="003A16BE" w14:paraId="49E905F9"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00F44402"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Marital Status</w:t>
            </w:r>
          </w:p>
        </w:tc>
        <w:tc>
          <w:tcPr>
            <w:tcW w:w="2352" w:type="dxa"/>
            <w:noWrap/>
            <w:vAlign w:val="center"/>
          </w:tcPr>
          <w:p w14:paraId="35E1BD7F"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Married</w:t>
            </w:r>
          </w:p>
        </w:tc>
        <w:tc>
          <w:tcPr>
            <w:tcW w:w="1911" w:type="dxa"/>
            <w:noWrap/>
            <w:vAlign w:val="center"/>
          </w:tcPr>
          <w:p w14:paraId="302F7087"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89(98.9)</w:t>
            </w:r>
          </w:p>
        </w:tc>
        <w:tc>
          <w:tcPr>
            <w:tcW w:w="2136" w:type="dxa"/>
            <w:noWrap/>
            <w:vAlign w:val="center"/>
          </w:tcPr>
          <w:p w14:paraId="26FCC39C"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23(25.8)</w:t>
            </w:r>
          </w:p>
        </w:tc>
      </w:tr>
      <w:tr w:rsidR="003A16BE" w14:paraId="0F831FC5"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0B96F42E"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right w:val="nil"/>
            </w:tcBorders>
            <w:shd w:val="clear" w:color="auto" w:fill="C0C0C0" w:themeFill="text1" w:themeFillTint="3F"/>
            <w:noWrap/>
            <w:vAlign w:val="center"/>
          </w:tcPr>
          <w:p w14:paraId="39225091"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Single</w:t>
            </w:r>
          </w:p>
        </w:tc>
        <w:tc>
          <w:tcPr>
            <w:tcW w:w="1911" w:type="dxa"/>
            <w:tcBorders>
              <w:right w:val="nil"/>
            </w:tcBorders>
            <w:shd w:val="clear" w:color="auto" w:fill="C0C0C0" w:themeFill="text1" w:themeFillTint="3F"/>
            <w:noWrap/>
            <w:vAlign w:val="center"/>
          </w:tcPr>
          <w:p w14:paraId="7479ABEE"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1(1.1)</w:t>
            </w:r>
          </w:p>
        </w:tc>
        <w:tc>
          <w:tcPr>
            <w:tcW w:w="2136" w:type="dxa"/>
            <w:tcBorders>
              <w:right w:val="nil"/>
            </w:tcBorders>
            <w:shd w:val="clear" w:color="auto" w:fill="C0C0C0" w:themeFill="text1" w:themeFillTint="3F"/>
            <w:noWrap/>
            <w:vAlign w:val="center"/>
          </w:tcPr>
          <w:p w14:paraId="7AC5C0D2"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0(0.0)</w:t>
            </w:r>
          </w:p>
        </w:tc>
      </w:tr>
      <w:tr w:rsidR="003A16BE" w14:paraId="2DC661E6"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34667633"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Educational Status</w:t>
            </w:r>
          </w:p>
        </w:tc>
        <w:tc>
          <w:tcPr>
            <w:tcW w:w="2352" w:type="dxa"/>
            <w:noWrap/>
            <w:vAlign w:val="center"/>
          </w:tcPr>
          <w:p w14:paraId="59D14DC1"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None </w:t>
            </w:r>
          </w:p>
        </w:tc>
        <w:tc>
          <w:tcPr>
            <w:tcW w:w="1911" w:type="dxa"/>
            <w:noWrap/>
            <w:vAlign w:val="center"/>
          </w:tcPr>
          <w:p w14:paraId="4DA0CD0A"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1(1.1)</w:t>
            </w:r>
          </w:p>
        </w:tc>
        <w:tc>
          <w:tcPr>
            <w:tcW w:w="2136" w:type="dxa"/>
            <w:noWrap/>
            <w:vAlign w:val="center"/>
          </w:tcPr>
          <w:p w14:paraId="2CE6D000"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0(0.0)</w:t>
            </w:r>
          </w:p>
        </w:tc>
      </w:tr>
      <w:tr w:rsidR="003A16BE" w14:paraId="009020F8"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2EA67C7D"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right w:val="nil"/>
            </w:tcBorders>
            <w:shd w:val="clear" w:color="auto" w:fill="C0C0C0" w:themeFill="text1" w:themeFillTint="3F"/>
            <w:noWrap/>
            <w:vAlign w:val="center"/>
          </w:tcPr>
          <w:p w14:paraId="44028946"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Secondary</w:t>
            </w:r>
          </w:p>
        </w:tc>
        <w:tc>
          <w:tcPr>
            <w:tcW w:w="1911" w:type="dxa"/>
            <w:tcBorders>
              <w:right w:val="nil"/>
            </w:tcBorders>
            <w:shd w:val="clear" w:color="auto" w:fill="C0C0C0" w:themeFill="text1" w:themeFillTint="3F"/>
            <w:noWrap/>
            <w:vAlign w:val="center"/>
          </w:tcPr>
          <w:p w14:paraId="30590F4F"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12(13.3)</w:t>
            </w:r>
          </w:p>
        </w:tc>
        <w:tc>
          <w:tcPr>
            <w:tcW w:w="2136" w:type="dxa"/>
            <w:tcBorders>
              <w:right w:val="nil"/>
            </w:tcBorders>
            <w:shd w:val="clear" w:color="auto" w:fill="C0C0C0" w:themeFill="text1" w:themeFillTint="3F"/>
            <w:noWrap/>
            <w:vAlign w:val="center"/>
          </w:tcPr>
          <w:p w14:paraId="63AD0B1C"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3(25.0)</w:t>
            </w:r>
          </w:p>
        </w:tc>
      </w:tr>
      <w:tr w:rsidR="003A16BE" w14:paraId="66196C8C"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344D7DDF"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 </w:t>
            </w:r>
          </w:p>
        </w:tc>
        <w:tc>
          <w:tcPr>
            <w:tcW w:w="2352" w:type="dxa"/>
            <w:noWrap/>
            <w:vAlign w:val="center"/>
          </w:tcPr>
          <w:p w14:paraId="1BE29B33"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Tertiary</w:t>
            </w:r>
          </w:p>
        </w:tc>
        <w:tc>
          <w:tcPr>
            <w:tcW w:w="1911" w:type="dxa"/>
            <w:noWrap/>
            <w:vAlign w:val="center"/>
          </w:tcPr>
          <w:p w14:paraId="5F68A192"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77(85.6)</w:t>
            </w:r>
          </w:p>
        </w:tc>
        <w:tc>
          <w:tcPr>
            <w:tcW w:w="2136" w:type="dxa"/>
            <w:noWrap/>
            <w:vAlign w:val="center"/>
          </w:tcPr>
          <w:p w14:paraId="4C0B3C69"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20(26.0)</w:t>
            </w:r>
          </w:p>
        </w:tc>
      </w:tr>
      <w:tr w:rsidR="003A16BE" w14:paraId="58F87464"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78661FFB"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Occupational Status</w:t>
            </w:r>
          </w:p>
        </w:tc>
        <w:tc>
          <w:tcPr>
            <w:tcW w:w="2352" w:type="dxa"/>
            <w:tcBorders>
              <w:right w:val="nil"/>
            </w:tcBorders>
            <w:shd w:val="clear" w:color="auto" w:fill="C0C0C0" w:themeFill="text1" w:themeFillTint="3F"/>
            <w:noWrap/>
            <w:vAlign w:val="center"/>
          </w:tcPr>
          <w:p w14:paraId="00E5DA52"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Student</w:t>
            </w:r>
          </w:p>
        </w:tc>
        <w:tc>
          <w:tcPr>
            <w:tcW w:w="1911" w:type="dxa"/>
            <w:tcBorders>
              <w:right w:val="nil"/>
            </w:tcBorders>
            <w:shd w:val="clear" w:color="auto" w:fill="C0C0C0" w:themeFill="text1" w:themeFillTint="3F"/>
            <w:noWrap/>
            <w:vAlign w:val="center"/>
          </w:tcPr>
          <w:p w14:paraId="0CF53244"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9(10.0)</w:t>
            </w:r>
          </w:p>
        </w:tc>
        <w:tc>
          <w:tcPr>
            <w:tcW w:w="2136" w:type="dxa"/>
            <w:tcBorders>
              <w:right w:val="nil"/>
            </w:tcBorders>
            <w:shd w:val="clear" w:color="auto" w:fill="C0C0C0" w:themeFill="text1" w:themeFillTint="3F"/>
            <w:noWrap/>
            <w:vAlign w:val="center"/>
          </w:tcPr>
          <w:p w14:paraId="35961034"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3(33.3)</w:t>
            </w:r>
          </w:p>
        </w:tc>
      </w:tr>
      <w:tr w:rsidR="003A16BE" w14:paraId="40BD5879"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4E960C39"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noWrap/>
            <w:vAlign w:val="center"/>
          </w:tcPr>
          <w:p w14:paraId="6D5FD61F"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Unemployed</w:t>
            </w:r>
          </w:p>
        </w:tc>
        <w:tc>
          <w:tcPr>
            <w:tcW w:w="1911" w:type="dxa"/>
            <w:noWrap/>
            <w:vAlign w:val="center"/>
          </w:tcPr>
          <w:p w14:paraId="10A6674A"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12(13.3)</w:t>
            </w:r>
          </w:p>
        </w:tc>
        <w:tc>
          <w:tcPr>
            <w:tcW w:w="2136" w:type="dxa"/>
            <w:noWrap/>
            <w:vAlign w:val="center"/>
          </w:tcPr>
          <w:p w14:paraId="5AD53775"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4(33.3)</w:t>
            </w:r>
          </w:p>
        </w:tc>
      </w:tr>
      <w:tr w:rsidR="003A16BE" w14:paraId="4511028E"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3AF7F30C"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right w:val="nil"/>
            </w:tcBorders>
            <w:shd w:val="clear" w:color="auto" w:fill="C0C0C0" w:themeFill="text1" w:themeFillTint="3F"/>
            <w:noWrap/>
            <w:vAlign w:val="center"/>
          </w:tcPr>
          <w:p w14:paraId="5533EC13"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Civil servants</w:t>
            </w:r>
          </w:p>
        </w:tc>
        <w:tc>
          <w:tcPr>
            <w:tcW w:w="1911" w:type="dxa"/>
            <w:tcBorders>
              <w:right w:val="nil"/>
            </w:tcBorders>
            <w:shd w:val="clear" w:color="auto" w:fill="C0C0C0" w:themeFill="text1" w:themeFillTint="3F"/>
            <w:noWrap/>
            <w:vAlign w:val="center"/>
          </w:tcPr>
          <w:p w14:paraId="43F47124"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29(32.2)</w:t>
            </w:r>
          </w:p>
        </w:tc>
        <w:tc>
          <w:tcPr>
            <w:tcW w:w="2136" w:type="dxa"/>
            <w:tcBorders>
              <w:right w:val="nil"/>
            </w:tcBorders>
            <w:shd w:val="clear" w:color="auto" w:fill="C0C0C0" w:themeFill="text1" w:themeFillTint="3F"/>
            <w:noWrap/>
            <w:vAlign w:val="center"/>
          </w:tcPr>
          <w:p w14:paraId="13A53C8F"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5(17.2)</w:t>
            </w:r>
          </w:p>
        </w:tc>
      </w:tr>
      <w:tr w:rsidR="003A16BE" w14:paraId="0A1F8289"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389BDBCD"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noWrap/>
            <w:vAlign w:val="center"/>
          </w:tcPr>
          <w:p w14:paraId="4E4C159F"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Trading </w:t>
            </w:r>
          </w:p>
        </w:tc>
        <w:tc>
          <w:tcPr>
            <w:tcW w:w="1911" w:type="dxa"/>
            <w:noWrap/>
            <w:vAlign w:val="center"/>
          </w:tcPr>
          <w:p w14:paraId="57E65FE8"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31(34.4)</w:t>
            </w:r>
          </w:p>
        </w:tc>
        <w:tc>
          <w:tcPr>
            <w:tcW w:w="2136" w:type="dxa"/>
            <w:noWrap/>
            <w:vAlign w:val="center"/>
          </w:tcPr>
          <w:p w14:paraId="3BFA3DBE"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8(25.0)</w:t>
            </w:r>
          </w:p>
        </w:tc>
      </w:tr>
      <w:tr w:rsidR="003A16BE" w14:paraId="30C8030F"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75DF7372"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right w:val="nil"/>
            </w:tcBorders>
            <w:shd w:val="clear" w:color="auto" w:fill="C0C0C0" w:themeFill="text1" w:themeFillTint="3F"/>
            <w:noWrap/>
            <w:vAlign w:val="center"/>
          </w:tcPr>
          <w:p w14:paraId="185CC6AA"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Artisans </w:t>
            </w:r>
          </w:p>
        </w:tc>
        <w:tc>
          <w:tcPr>
            <w:tcW w:w="1911" w:type="dxa"/>
            <w:tcBorders>
              <w:right w:val="nil"/>
            </w:tcBorders>
            <w:shd w:val="clear" w:color="auto" w:fill="C0C0C0" w:themeFill="text1" w:themeFillTint="3F"/>
            <w:noWrap/>
            <w:vAlign w:val="center"/>
          </w:tcPr>
          <w:p w14:paraId="3A3E311D"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4(4.4)</w:t>
            </w:r>
          </w:p>
        </w:tc>
        <w:tc>
          <w:tcPr>
            <w:tcW w:w="2136" w:type="dxa"/>
            <w:tcBorders>
              <w:right w:val="nil"/>
            </w:tcBorders>
            <w:shd w:val="clear" w:color="auto" w:fill="C0C0C0" w:themeFill="text1" w:themeFillTint="3F"/>
            <w:noWrap/>
            <w:vAlign w:val="center"/>
          </w:tcPr>
          <w:p w14:paraId="7EEEF8B4"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0(0.0)</w:t>
            </w:r>
          </w:p>
        </w:tc>
      </w:tr>
      <w:tr w:rsidR="003A16BE" w14:paraId="29F2023F"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042A1F0F"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noWrap/>
            <w:vAlign w:val="center"/>
          </w:tcPr>
          <w:p w14:paraId="5EF6364C"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Business Executive</w:t>
            </w:r>
          </w:p>
        </w:tc>
        <w:tc>
          <w:tcPr>
            <w:tcW w:w="1911" w:type="dxa"/>
            <w:noWrap/>
            <w:vAlign w:val="center"/>
          </w:tcPr>
          <w:p w14:paraId="268DF620"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5(5.6)</w:t>
            </w:r>
          </w:p>
        </w:tc>
        <w:tc>
          <w:tcPr>
            <w:tcW w:w="2136" w:type="dxa"/>
            <w:noWrap/>
            <w:vAlign w:val="center"/>
          </w:tcPr>
          <w:p w14:paraId="2F27EE69"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3(60.0)</w:t>
            </w:r>
          </w:p>
        </w:tc>
      </w:tr>
      <w:tr w:rsidR="003A16BE" w14:paraId="50982377"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444CE508"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Religion</w:t>
            </w:r>
          </w:p>
        </w:tc>
        <w:tc>
          <w:tcPr>
            <w:tcW w:w="2352" w:type="dxa"/>
            <w:tcBorders>
              <w:right w:val="nil"/>
            </w:tcBorders>
            <w:shd w:val="clear" w:color="auto" w:fill="C0C0C0" w:themeFill="text1" w:themeFillTint="3F"/>
            <w:noWrap/>
            <w:vAlign w:val="center"/>
          </w:tcPr>
          <w:p w14:paraId="54FB3BF2"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Christianity </w:t>
            </w:r>
          </w:p>
        </w:tc>
        <w:tc>
          <w:tcPr>
            <w:tcW w:w="1911" w:type="dxa"/>
            <w:tcBorders>
              <w:right w:val="nil"/>
            </w:tcBorders>
            <w:shd w:val="clear" w:color="auto" w:fill="C0C0C0" w:themeFill="text1" w:themeFillTint="3F"/>
            <w:noWrap/>
            <w:vAlign w:val="center"/>
          </w:tcPr>
          <w:p w14:paraId="45379D2A"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81(90.0)</w:t>
            </w:r>
          </w:p>
        </w:tc>
        <w:tc>
          <w:tcPr>
            <w:tcW w:w="2136" w:type="dxa"/>
            <w:tcBorders>
              <w:right w:val="nil"/>
            </w:tcBorders>
            <w:shd w:val="clear" w:color="auto" w:fill="C0C0C0" w:themeFill="text1" w:themeFillTint="3F"/>
            <w:noWrap/>
            <w:vAlign w:val="center"/>
          </w:tcPr>
          <w:p w14:paraId="01951D78"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21(25.9)</w:t>
            </w:r>
          </w:p>
        </w:tc>
      </w:tr>
      <w:tr w:rsidR="003A16BE" w14:paraId="12B98F51"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77955FC6"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lang w:val="en-GB"/>
              </w:rPr>
            </w:pPr>
          </w:p>
        </w:tc>
        <w:tc>
          <w:tcPr>
            <w:tcW w:w="2352" w:type="dxa"/>
            <w:noWrap/>
            <w:vAlign w:val="center"/>
          </w:tcPr>
          <w:p w14:paraId="3888288A"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en-GB"/>
              </w:rPr>
            </w:pPr>
            <w:r>
              <w:rPr>
                <w:rFonts w:ascii="Times New Roman" w:eastAsia="Times New Roman" w:hAnsi="Times New Roman" w:cs="Times New Roman"/>
                <w:color w:val="auto"/>
                <w:sz w:val="20"/>
                <w:szCs w:val="20"/>
                <w:lang w:val="en-GB"/>
              </w:rPr>
              <w:t xml:space="preserve">Islam </w:t>
            </w:r>
          </w:p>
        </w:tc>
        <w:tc>
          <w:tcPr>
            <w:tcW w:w="1911" w:type="dxa"/>
            <w:noWrap/>
            <w:vAlign w:val="center"/>
          </w:tcPr>
          <w:p w14:paraId="5A88087A"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en-GB"/>
              </w:rPr>
            </w:pPr>
            <w:r>
              <w:rPr>
                <w:rFonts w:ascii="Times New Roman" w:eastAsia="Times New Roman" w:hAnsi="Times New Roman" w:cs="Times New Roman"/>
                <w:color w:val="auto"/>
                <w:sz w:val="20"/>
                <w:szCs w:val="20"/>
                <w:lang w:val="en-GB"/>
              </w:rPr>
              <w:t>0(0.0)</w:t>
            </w:r>
          </w:p>
        </w:tc>
        <w:tc>
          <w:tcPr>
            <w:tcW w:w="2136" w:type="dxa"/>
            <w:noWrap/>
            <w:vAlign w:val="center"/>
          </w:tcPr>
          <w:p w14:paraId="2FBA2210"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en-GB"/>
              </w:rPr>
            </w:pPr>
            <w:r>
              <w:rPr>
                <w:rFonts w:ascii="Times New Roman" w:eastAsia="Times New Roman" w:hAnsi="Times New Roman" w:cs="Times New Roman"/>
                <w:color w:val="auto"/>
                <w:sz w:val="20"/>
                <w:szCs w:val="20"/>
                <w:lang w:val="en-GB"/>
              </w:rPr>
              <w:t>0(0.0)</w:t>
            </w:r>
          </w:p>
        </w:tc>
      </w:tr>
      <w:tr w:rsidR="003A16BE" w14:paraId="3DAE316A"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73BBBF2F"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right w:val="nil"/>
            </w:tcBorders>
            <w:shd w:val="clear" w:color="auto" w:fill="C0C0C0" w:themeFill="text1" w:themeFillTint="3F"/>
            <w:noWrap/>
            <w:vAlign w:val="center"/>
          </w:tcPr>
          <w:p w14:paraId="04A26716"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None </w:t>
            </w:r>
          </w:p>
        </w:tc>
        <w:tc>
          <w:tcPr>
            <w:tcW w:w="1911" w:type="dxa"/>
            <w:tcBorders>
              <w:right w:val="nil"/>
            </w:tcBorders>
            <w:shd w:val="clear" w:color="auto" w:fill="C0C0C0" w:themeFill="text1" w:themeFillTint="3F"/>
            <w:noWrap/>
            <w:vAlign w:val="center"/>
          </w:tcPr>
          <w:p w14:paraId="655977F4"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9(10.0)</w:t>
            </w:r>
          </w:p>
        </w:tc>
        <w:tc>
          <w:tcPr>
            <w:tcW w:w="2136" w:type="dxa"/>
            <w:tcBorders>
              <w:right w:val="nil"/>
            </w:tcBorders>
            <w:shd w:val="clear" w:color="auto" w:fill="C0C0C0" w:themeFill="text1" w:themeFillTint="3F"/>
            <w:noWrap/>
            <w:vAlign w:val="center"/>
          </w:tcPr>
          <w:p w14:paraId="345BB7FD"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2(22.2)</w:t>
            </w:r>
          </w:p>
        </w:tc>
      </w:tr>
      <w:tr w:rsidR="003A16BE" w14:paraId="7D268768"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5EAA7471"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 xml:space="preserve">Family </w:t>
            </w:r>
            <w:r>
              <w:rPr>
                <w:rFonts w:ascii="Times New Roman" w:eastAsia="Times New Roman" w:hAnsi="Times New Roman" w:cs="Times New Roman"/>
                <w:b w:val="0"/>
                <w:bCs w:val="0"/>
                <w:color w:val="auto"/>
                <w:sz w:val="20"/>
                <w:szCs w:val="20"/>
              </w:rPr>
              <w:t>Type</w:t>
            </w:r>
          </w:p>
        </w:tc>
        <w:tc>
          <w:tcPr>
            <w:tcW w:w="2352" w:type="dxa"/>
            <w:noWrap/>
            <w:vAlign w:val="center"/>
          </w:tcPr>
          <w:p w14:paraId="4C41F116"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Monogamous </w:t>
            </w:r>
          </w:p>
        </w:tc>
        <w:tc>
          <w:tcPr>
            <w:tcW w:w="1911" w:type="dxa"/>
            <w:noWrap/>
            <w:vAlign w:val="center"/>
          </w:tcPr>
          <w:p w14:paraId="18CAB143"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75(83.3)</w:t>
            </w:r>
          </w:p>
        </w:tc>
        <w:tc>
          <w:tcPr>
            <w:tcW w:w="2136" w:type="dxa"/>
            <w:noWrap/>
            <w:vAlign w:val="center"/>
          </w:tcPr>
          <w:p w14:paraId="32FF09C5"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17(22.7)</w:t>
            </w:r>
          </w:p>
        </w:tc>
      </w:tr>
      <w:tr w:rsidR="003A16BE" w14:paraId="5243B4B2"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4A258D80"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right w:val="nil"/>
            </w:tcBorders>
            <w:shd w:val="clear" w:color="auto" w:fill="C0C0C0" w:themeFill="text1" w:themeFillTint="3F"/>
            <w:noWrap/>
            <w:vAlign w:val="center"/>
          </w:tcPr>
          <w:p w14:paraId="1DB256EC"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Polygamous</w:t>
            </w:r>
          </w:p>
        </w:tc>
        <w:tc>
          <w:tcPr>
            <w:tcW w:w="1911" w:type="dxa"/>
            <w:tcBorders>
              <w:right w:val="nil"/>
            </w:tcBorders>
            <w:shd w:val="clear" w:color="auto" w:fill="C0C0C0" w:themeFill="text1" w:themeFillTint="3F"/>
            <w:noWrap/>
            <w:vAlign w:val="center"/>
          </w:tcPr>
          <w:p w14:paraId="5DBD5308"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15(16.7)</w:t>
            </w:r>
          </w:p>
        </w:tc>
        <w:tc>
          <w:tcPr>
            <w:tcW w:w="2136" w:type="dxa"/>
            <w:tcBorders>
              <w:right w:val="nil"/>
            </w:tcBorders>
            <w:shd w:val="clear" w:color="auto" w:fill="C0C0C0" w:themeFill="text1" w:themeFillTint="3F"/>
            <w:noWrap/>
            <w:vAlign w:val="center"/>
          </w:tcPr>
          <w:p w14:paraId="432735B2"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6(40.0)</w:t>
            </w:r>
          </w:p>
        </w:tc>
      </w:tr>
      <w:tr w:rsidR="003A16BE" w14:paraId="2B08C9EA"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0A77F200"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Gestation Period</w:t>
            </w:r>
          </w:p>
        </w:tc>
        <w:tc>
          <w:tcPr>
            <w:tcW w:w="2352" w:type="dxa"/>
            <w:noWrap/>
            <w:vAlign w:val="center"/>
          </w:tcPr>
          <w:p w14:paraId="368B9B9A"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Times New Roman" w:hAnsi="Times New Roman" w:cs="Times New Roman"/>
                <w:color w:val="auto"/>
                <w:sz w:val="20"/>
                <w:szCs w:val="20"/>
                <w:vertAlign w:val="superscript"/>
              </w:rPr>
              <w:t>st</w:t>
            </w:r>
            <w:r>
              <w:rPr>
                <w:rFonts w:ascii="Times New Roman" w:eastAsia="Times New Roman" w:hAnsi="Times New Roman" w:cs="Times New Roman"/>
                <w:color w:val="auto"/>
                <w:sz w:val="20"/>
                <w:szCs w:val="20"/>
              </w:rPr>
              <w:t xml:space="preserve"> Trimester</w:t>
            </w:r>
          </w:p>
        </w:tc>
        <w:tc>
          <w:tcPr>
            <w:tcW w:w="1911" w:type="dxa"/>
            <w:noWrap/>
            <w:vAlign w:val="center"/>
          </w:tcPr>
          <w:p w14:paraId="24DD463A"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8(8.9)</w:t>
            </w:r>
          </w:p>
        </w:tc>
        <w:tc>
          <w:tcPr>
            <w:tcW w:w="2136" w:type="dxa"/>
            <w:noWrap/>
            <w:vAlign w:val="center"/>
          </w:tcPr>
          <w:p w14:paraId="57DBEC65"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3(37.5)</w:t>
            </w:r>
          </w:p>
        </w:tc>
      </w:tr>
      <w:tr w:rsidR="003A16BE" w14:paraId="2D0F4D48"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0B36ED14"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right w:val="nil"/>
            </w:tcBorders>
            <w:shd w:val="clear" w:color="auto" w:fill="C0C0C0" w:themeFill="text1" w:themeFillTint="3F"/>
            <w:noWrap/>
            <w:vAlign w:val="center"/>
          </w:tcPr>
          <w:p w14:paraId="5531CE4A"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r>
              <w:rPr>
                <w:rFonts w:ascii="Times New Roman" w:eastAsia="Times New Roman" w:hAnsi="Times New Roman" w:cs="Times New Roman"/>
                <w:color w:val="auto"/>
                <w:sz w:val="20"/>
                <w:szCs w:val="20"/>
                <w:vertAlign w:val="superscript"/>
              </w:rPr>
              <w:t>nd</w:t>
            </w:r>
            <w:r>
              <w:rPr>
                <w:rFonts w:ascii="Times New Roman" w:eastAsia="Times New Roman" w:hAnsi="Times New Roman" w:cs="Times New Roman"/>
                <w:color w:val="auto"/>
                <w:sz w:val="20"/>
                <w:szCs w:val="20"/>
              </w:rPr>
              <w:t xml:space="preserve"> Trimester</w:t>
            </w:r>
          </w:p>
        </w:tc>
        <w:tc>
          <w:tcPr>
            <w:tcW w:w="1911" w:type="dxa"/>
            <w:tcBorders>
              <w:right w:val="nil"/>
            </w:tcBorders>
            <w:shd w:val="clear" w:color="auto" w:fill="C0C0C0" w:themeFill="text1" w:themeFillTint="3F"/>
            <w:noWrap/>
            <w:vAlign w:val="center"/>
          </w:tcPr>
          <w:p w14:paraId="72C3C54C"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44(48.9)</w:t>
            </w:r>
          </w:p>
        </w:tc>
        <w:tc>
          <w:tcPr>
            <w:tcW w:w="2136" w:type="dxa"/>
            <w:tcBorders>
              <w:right w:val="nil"/>
            </w:tcBorders>
            <w:shd w:val="clear" w:color="auto" w:fill="C0C0C0" w:themeFill="text1" w:themeFillTint="3F"/>
            <w:noWrap/>
            <w:vAlign w:val="center"/>
          </w:tcPr>
          <w:p w14:paraId="5B74DB56"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10(22.7)</w:t>
            </w:r>
          </w:p>
        </w:tc>
      </w:tr>
      <w:tr w:rsidR="003A16BE" w14:paraId="620EFEF3"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3F14913B"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noWrap/>
            <w:vAlign w:val="center"/>
          </w:tcPr>
          <w:p w14:paraId="1314689E"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r>
              <w:rPr>
                <w:rFonts w:ascii="Times New Roman" w:eastAsia="Times New Roman" w:hAnsi="Times New Roman" w:cs="Times New Roman"/>
                <w:color w:val="auto"/>
                <w:sz w:val="20"/>
                <w:szCs w:val="20"/>
                <w:vertAlign w:val="superscript"/>
              </w:rPr>
              <w:t>rd</w:t>
            </w:r>
            <w:r>
              <w:rPr>
                <w:rFonts w:ascii="Times New Roman" w:eastAsia="Times New Roman" w:hAnsi="Times New Roman" w:cs="Times New Roman"/>
                <w:color w:val="auto"/>
                <w:sz w:val="20"/>
                <w:szCs w:val="20"/>
              </w:rPr>
              <w:t xml:space="preserve"> Trimester</w:t>
            </w:r>
          </w:p>
        </w:tc>
        <w:tc>
          <w:tcPr>
            <w:tcW w:w="1911" w:type="dxa"/>
            <w:noWrap/>
            <w:vAlign w:val="center"/>
          </w:tcPr>
          <w:p w14:paraId="10FE2342"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38(42.2)</w:t>
            </w:r>
          </w:p>
        </w:tc>
        <w:tc>
          <w:tcPr>
            <w:tcW w:w="2136" w:type="dxa"/>
            <w:noWrap/>
            <w:vAlign w:val="center"/>
          </w:tcPr>
          <w:p w14:paraId="009B54C0"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10(26.3)</w:t>
            </w:r>
          </w:p>
        </w:tc>
      </w:tr>
      <w:tr w:rsidR="003A16BE" w14:paraId="66B15776" w14:textId="77777777" w:rsidTr="003A16BE">
        <w:trPr>
          <w:trHeight w:val="153"/>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745788C4"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 xml:space="preserve">Parity </w:t>
            </w:r>
          </w:p>
        </w:tc>
        <w:tc>
          <w:tcPr>
            <w:tcW w:w="2352" w:type="dxa"/>
            <w:tcBorders>
              <w:right w:val="nil"/>
            </w:tcBorders>
            <w:shd w:val="clear" w:color="auto" w:fill="C0C0C0" w:themeFill="text1" w:themeFillTint="3F"/>
            <w:noWrap/>
            <w:vAlign w:val="center"/>
          </w:tcPr>
          <w:p w14:paraId="5D26C05C"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w:t>
            </w:r>
          </w:p>
        </w:tc>
        <w:tc>
          <w:tcPr>
            <w:tcW w:w="1911" w:type="dxa"/>
            <w:tcBorders>
              <w:right w:val="nil"/>
            </w:tcBorders>
            <w:shd w:val="clear" w:color="auto" w:fill="C0C0C0" w:themeFill="text1" w:themeFillTint="3F"/>
            <w:noWrap/>
            <w:vAlign w:val="center"/>
          </w:tcPr>
          <w:p w14:paraId="32AE7EB0"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34(37.8)</w:t>
            </w:r>
          </w:p>
        </w:tc>
        <w:tc>
          <w:tcPr>
            <w:tcW w:w="2136" w:type="dxa"/>
            <w:tcBorders>
              <w:right w:val="nil"/>
            </w:tcBorders>
            <w:shd w:val="clear" w:color="auto" w:fill="C0C0C0" w:themeFill="text1" w:themeFillTint="3F"/>
            <w:noWrap/>
            <w:vAlign w:val="center"/>
          </w:tcPr>
          <w:p w14:paraId="6B3EE3AD"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11(32.4)</w:t>
            </w:r>
          </w:p>
        </w:tc>
      </w:tr>
      <w:tr w:rsidR="003A16BE" w14:paraId="066CF000"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3C752E32"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noWrap/>
            <w:vAlign w:val="center"/>
          </w:tcPr>
          <w:p w14:paraId="767A1651"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w:t>
            </w:r>
          </w:p>
        </w:tc>
        <w:tc>
          <w:tcPr>
            <w:tcW w:w="1911" w:type="dxa"/>
            <w:noWrap/>
            <w:vAlign w:val="center"/>
          </w:tcPr>
          <w:p w14:paraId="44B71FAE"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38(42.2)</w:t>
            </w:r>
          </w:p>
        </w:tc>
        <w:tc>
          <w:tcPr>
            <w:tcW w:w="2136" w:type="dxa"/>
            <w:noWrap/>
            <w:vAlign w:val="center"/>
          </w:tcPr>
          <w:p w14:paraId="40473299"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10(26.3)</w:t>
            </w:r>
          </w:p>
        </w:tc>
      </w:tr>
      <w:tr w:rsidR="003A16BE" w14:paraId="7553CEC4"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1C3FF05E"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right w:val="nil"/>
            </w:tcBorders>
            <w:shd w:val="clear" w:color="auto" w:fill="C0C0C0" w:themeFill="text1" w:themeFillTint="3F"/>
            <w:noWrap/>
            <w:vAlign w:val="center"/>
          </w:tcPr>
          <w:p w14:paraId="5BF4FABF"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3-4</w:t>
            </w:r>
          </w:p>
        </w:tc>
        <w:tc>
          <w:tcPr>
            <w:tcW w:w="1911" w:type="dxa"/>
            <w:tcBorders>
              <w:right w:val="nil"/>
            </w:tcBorders>
            <w:shd w:val="clear" w:color="auto" w:fill="C0C0C0" w:themeFill="text1" w:themeFillTint="3F"/>
            <w:noWrap/>
            <w:vAlign w:val="center"/>
          </w:tcPr>
          <w:p w14:paraId="60445EDB"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18(20.0)</w:t>
            </w:r>
          </w:p>
        </w:tc>
        <w:tc>
          <w:tcPr>
            <w:tcW w:w="2136" w:type="dxa"/>
            <w:tcBorders>
              <w:right w:val="nil"/>
            </w:tcBorders>
            <w:shd w:val="clear" w:color="auto" w:fill="C0C0C0" w:themeFill="text1" w:themeFillTint="3F"/>
            <w:noWrap/>
            <w:vAlign w:val="center"/>
          </w:tcPr>
          <w:p w14:paraId="39F7DFDC"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2(11.1)</w:t>
            </w:r>
          </w:p>
        </w:tc>
      </w:tr>
      <w:tr w:rsidR="003A16BE" w14:paraId="126A992B"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2B3018DC"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History of Abortion</w:t>
            </w:r>
          </w:p>
        </w:tc>
        <w:tc>
          <w:tcPr>
            <w:tcW w:w="2352" w:type="dxa"/>
            <w:noWrap/>
            <w:vAlign w:val="center"/>
          </w:tcPr>
          <w:p w14:paraId="6F3679E0"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Yes</w:t>
            </w:r>
          </w:p>
        </w:tc>
        <w:tc>
          <w:tcPr>
            <w:tcW w:w="1911" w:type="dxa"/>
            <w:noWrap/>
            <w:vAlign w:val="center"/>
          </w:tcPr>
          <w:p w14:paraId="17EE6AEE"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30(33.3)</w:t>
            </w:r>
          </w:p>
        </w:tc>
        <w:tc>
          <w:tcPr>
            <w:tcW w:w="2136" w:type="dxa"/>
            <w:noWrap/>
            <w:vAlign w:val="center"/>
          </w:tcPr>
          <w:p w14:paraId="3088FD4F"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7(23.3)</w:t>
            </w:r>
          </w:p>
        </w:tc>
      </w:tr>
      <w:tr w:rsidR="003A16BE" w14:paraId="2E9A2362"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1E82B574"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right w:val="nil"/>
            </w:tcBorders>
            <w:shd w:val="clear" w:color="auto" w:fill="C0C0C0" w:themeFill="text1" w:themeFillTint="3F"/>
            <w:noWrap/>
            <w:vAlign w:val="center"/>
          </w:tcPr>
          <w:p w14:paraId="1777EAC6"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 </w:t>
            </w:r>
          </w:p>
        </w:tc>
        <w:tc>
          <w:tcPr>
            <w:tcW w:w="1911" w:type="dxa"/>
            <w:tcBorders>
              <w:right w:val="nil"/>
            </w:tcBorders>
            <w:shd w:val="clear" w:color="auto" w:fill="C0C0C0" w:themeFill="text1" w:themeFillTint="3F"/>
            <w:noWrap/>
            <w:vAlign w:val="center"/>
          </w:tcPr>
          <w:p w14:paraId="6E767A47"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60(66.7)</w:t>
            </w:r>
          </w:p>
        </w:tc>
        <w:tc>
          <w:tcPr>
            <w:tcW w:w="2136" w:type="dxa"/>
            <w:tcBorders>
              <w:right w:val="nil"/>
            </w:tcBorders>
            <w:shd w:val="clear" w:color="auto" w:fill="C0C0C0" w:themeFill="text1" w:themeFillTint="3F"/>
            <w:noWrap/>
            <w:vAlign w:val="center"/>
          </w:tcPr>
          <w:p w14:paraId="523DF984"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16(26.6)</w:t>
            </w:r>
          </w:p>
        </w:tc>
      </w:tr>
      <w:tr w:rsidR="003A16BE" w14:paraId="36D60B39"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noWrap/>
            <w:vAlign w:val="center"/>
          </w:tcPr>
          <w:p w14:paraId="6A4C25B0"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History of STDs</w:t>
            </w:r>
          </w:p>
        </w:tc>
        <w:tc>
          <w:tcPr>
            <w:tcW w:w="2352" w:type="dxa"/>
            <w:noWrap/>
            <w:vAlign w:val="center"/>
          </w:tcPr>
          <w:p w14:paraId="064ECEE5"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Yes</w:t>
            </w:r>
          </w:p>
        </w:tc>
        <w:tc>
          <w:tcPr>
            <w:tcW w:w="1911" w:type="dxa"/>
            <w:noWrap/>
            <w:vAlign w:val="center"/>
          </w:tcPr>
          <w:p w14:paraId="1863E7A2"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6(6.7)</w:t>
            </w:r>
          </w:p>
        </w:tc>
        <w:tc>
          <w:tcPr>
            <w:tcW w:w="2136" w:type="dxa"/>
            <w:noWrap/>
            <w:vAlign w:val="center"/>
          </w:tcPr>
          <w:p w14:paraId="4BB9ED6B"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2(33.3)</w:t>
            </w:r>
          </w:p>
        </w:tc>
      </w:tr>
      <w:tr w:rsidR="003A16BE" w14:paraId="1CB3BE22"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left w:val="nil"/>
              <w:right w:val="nil"/>
            </w:tcBorders>
            <w:shd w:val="clear" w:color="auto" w:fill="C0C0C0" w:themeFill="text1" w:themeFillTint="3F"/>
            <w:noWrap/>
            <w:vAlign w:val="center"/>
          </w:tcPr>
          <w:p w14:paraId="4C794C05"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right w:val="nil"/>
            </w:tcBorders>
            <w:shd w:val="clear" w:color="auto" w:fill="C0C0C0" w:themeFill="text1" w:themeFillTint="3F"/>
            <w:noWrap/>
            <w:vAlign w:val="center"/>
          </w:tcPr>
          <w:p w14:paraId="64662C23"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No</w:t>
            </w:r>
          </w:p>
        </w:tc>
        <w:tc>
          <w:tcPr>
            <w:tcW w:w="1911" w:type="dxa"/>
            <w:tcBorders>
              <w:right w:val="nil"/>
            </w:tcBorders>
            <w:shd w:val="clear" w:color="auto" w:fill="C0C0C0" w:themeFill="text1" w:themeFillTint="3F"/>
            <w:noWrap/>
            <w:vAlign w:val="center"/>
          </w:tcPr>
          <w:p w14:paraId="3EB83021"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84(93.3)</w:t>
            </w:r>
          </w:p>
        </w:tc>
        <w:tc>
          <w:tcPr>
            <w:tcW w:w="2136" w:type="dxa"/>
            <w:tcBorders>
              <w:right w:val="nil"/>
            </w:tcBorders>
            <w:shd w:val="clear" w:color="auto" w:fill="C0C0C0" w:themeFill="text1" w:themeFillTint="3F"/>
            <w:noWrap/>
            <w:vAlign w:val="center"/>
          </w:tcPr>
          <w:p w14:paraId="3B1B2DAB"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21(25.0)</w:t>
            </w:r>
          </w:p>
        </w:tc>
      </w:tr>
      <w:tr w:rsidR="003A16BE" w14:paraId="38EA42C2"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bottom w:val="nil"/>
            </w:tcBorders>
            <w:noWrap/>
            <w:vAlign w:val="center"/>
          </w:tcPr>
          <w:p w14:paraId="3691DCFE"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HIV Status</w:t>
            </w:r>
          </w:p>
        </w:tc>
        <w:tc>
          <w:tcPr>
            <w:tcW w:w="2352" w:type="dxa"/>
            <w:tcBorders>
              <w:bottom w:val="nil"/>
            </w:tcBorders>
            <w:noWrap/>
            <w:vAlign w:val="center"/>
          </w:tcPr>
          <w:p w14:paraId="14D7D06C"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Seropositive</w:t>
            </w:r>
          </w:p>
        </w:tc>
        <w:tc>
          <w:tcPr>
            <w:tcW w:w="1911" w:type="dxa"/>
            <w:tcBorders>
              <w:bottom w:val="nil"/>
            </w:tcBorders>
            <w:noWrap/>
            <w:vAlign w:val="center"/>
          </w:tcPr>
          <w:p w14:paraId="36637209"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3(3.3)</w:t>
            </w:r>
          </w:p>
        </w:tc>
        <w:tc>
          <w:tcPr>
            <w:tcW w:w="2136" w:type="dxa"/>
            <w:tcBorders>
              <w:bottom w:val="nil"/>
            </w:tcBorders>
            <w:noWrap/>
            <w:vAlign w:val="center"/>
          </w:tcPr>
          <w:p w14:paraId="201AA2F5"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0(0.0)</w:t>
            </w:r>
          </w:p>
        </w:tc>
      </w:tr>
      <w:tr w:rsidR="003A16BE" w14:paraId="5DF1AC07"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top w:val="nil"/>
              <w:left w:val="nil"/>
              <w:bottom w:val="single" w:sz="4" w:space="0" w:color="auto"/>
              <w:right w:val="nil"/>
            </w:tcBorders>
            <w:shd w:val="clear" w:color="auto" w:fill="C0C0C0" w:themeFill="text1" w:themeFillTint="3F"/>
            <w:noWrap/>
            <w:vAlign w:val="center"/>
          </w:tcPr>
          <w:p w14:paraId="0E0FD755" w14:textId="77777777" w:rsidR="003A16BE" w:rsidRDefault="003A16BE">
            <w:pPr>
              <w:snapToGrid w:val="0"/>
              <w:spacing w:after="0" w:line="240" w:lineRule="auto"/>
              <w:rPr>
                <w:rFonts w:ascii="Times New Roman" w:eastAsia="Times New Roman" w:hAnsi="Times New Roman" w:cs="Times New Roman"/>
                <w:b w:val="0"/>
                <w:bCs w:val="0"/>
                <w:color w:val="auto"/>
                <w:sz w:val="20"/>
                <w:szCs w:val="20"/>
              </w:rPr>
            </w:pPr>
          </w:p>
        </w:tc>
        <w:tc>
          <w:tcPr>
            <w:tcW w:w="2352" w:type="dxa"/>
            <w:tcBorders>
              <w:top w:val="nil"/>
              <w:bottom w:val="single" w:sz="4" w:space="0" w:color="auto"/>
              <w:right w:val="nil"/>
            </w:tcBorders>
            <w:shd w:val="clear" w:color="auto" w:fill="C0C0C0" w:themeFill="text1" w:themeFillTint="3F"/>
            <w:noWrap/>
            <w:vAlign w:val="center"/>
          </w:tcPr>
          <w:p w14:paraId="10C49CF7" w14:textId="77777777" w:rsidR="003A16BE" w:rsidRDefault="0017494B">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Seronegative</w:t>
            </w:r>
          </w:p>
        </w:tc>
        <w:tc>
          <w:tcPr>
            <w:tcW w:w="1911" w:type="dxa"/>
            <w:tcBorders>
              <w:top w:val="nil"/>
              <w:bottom w:val="single" w:sz="4" w:space="0" w:color="auto"/>
              <w:right w:val="nil"/>
            </w:tcBorders>
            <w:shd w:val="clear" w:color="auto" w:fill="C0C0C0" w:themeFill="text1" w:themeFillTint="3F"/>
            <w:noWrap/>
            <w:vAlign w:val="center"/>
          </w:tcPr>
          <w:p w14:paraId="61C67556"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87(96.7)</w:t>
            </w:r>
          </w:p>
        </w:tc>
        <w:tc>
          <w:tcPr>
            <w:tcW w:w="2136" w:type="dxa"/>
            <w:tcBorders>
              <w:top w:val="nil"/>
              <w:bottom w:val="single" w:sz="4" w:space="0" w:color="auto"/>
              <w:right w:val="nil"/>
            </w:tcBorders>
            <w:shd w:val="clear" w:color="auto" w:fill="C0C0C0" w:themeFill="text1" w:themeFillTint="3F"/>
            <w:noWrap/>
            <w:vAlign w:val="center"/>
          </w:tcPr>
          <w:p w14:paraId="15905AA2"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23(26.4)</w:t>
            </w:r>
          </w:p>
        </w:tc>
      </w:tr>
      <w:tr w:rsidR="003A16BE" w14:paraId="24253A26" w14:textId="77777777" w:rsidTr="003A16BE">
        <w:trPr>
          <w:trHeight w:val="80"/>
        </w:trPr>
        <w:tc>
          <w:tcPr>
            <w:cnfStyle w:val="001000000000" w:firstRow="0" w:lastRow="0" w:firstColumn="1" w:lastColumn="0" w:oddVBand="0" w:evenVBand="0" w:oddHBand="0" w:evenHBand="0" w:firstRowFirstColumn="0" w:firstRowLastColumn="0" w:lastRowFirstColumn="0" w:lastRowLastColumn="0"/>
            <w:tcW w:w="3419" w:type="dxa"/>
            <w:tcBorders>
              <w:top w:val="single" w:sz="4" w:space="0" w:color="auto"/>
            </w:tcBorders>
            <w:noWrap/>
            <w:vAlign w:val="center"/>
          </w:tcPr>
          <w:p w14:paraId="1B6164B5" w14:textId="77777777" w:rsidR="003A16BE" w:rsidRDefault="0017494B">
            <w:pPr>
              <w:snapToGrid w:val="0"/>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 xml:space="preserve">Total </w:t>
            </w:r>
          </w:p>
        </w:tc>
        <w:tc>
          <w:tcPr>
            <w:tcW w:w="2352" w:type="dxa"/>
            <w:tcBorders>
              <w:top w:val="single" w:sz="4" w:space="0" w:color="auto"/>
            </w:tcBorders>
            <w:noWrap/>
            <w:vAlign w:val="center"/>
          </w:tcPr>
          <w:p w14:paraId="02613745" w14:textId="77777777" w:rsidR="003A16BE" w:rsidRDefault="003A16BE">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1911" w:type="dxa"/>
            <w:tcBorders>
              <w:top w:val="single" w:sz="4" w:space="0" w:color="auto"/>
            </w:tcBorders>
            <w:noWrap/>
            <w:vAlign w:val="center"/>
          </w:tcPr>
          <w:p w14:paraId="6691F86D"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90(100.0)</w:t>
            </w:r>
          </w:p>
        </w:tc>
        <w:tc>
          <w:tcPr>
            <w:tcW w:w="2136" w:type="dxa"/>
            <w:tcBorders>
              <w:top w:val="single" w:sz="4" w:space="0" w:color="auto"/>
            </w:tcBorders>
            <w:noWrap/>
            <w:vAlign w:val="center"/>
          </w:tcPr>
          <w:p w14:paraId="08F46DCE" w14:textId="77777777" w:rsidR="003A16BE" w:rsidRDefault="0017494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23(25.6)</w:t>
            </w:r>
          </w:p>
        </w:tc>
      </w:tr>
      <w:bookmarkEnd w:id="2"/>
    </w:tbl>
    <w:p w14:paraId="43349421" w14:textId="77777777" w:rsidR="003A16BE" w:rsidRDefault="003A16BE">
      <w:pPr>
        <w:pStyle w:val="thesis"/>
        <w:snapToGrid w:val="0"/>
        <w:spacing w:after="0" w:afterAutospacing="0" w:line="240" w:lineRule="auto"/>
        <w:rPr>
          <w:rFonts w:ascii="Times New Roman" w:hAnsi="Times New Roman" w:cs="Times New Roman"/>
          <w:b/>
          <w:sz w:val="20"/>
          <w:szCs w:val="20"/>
        </w:rPr>
        <w:sectPr w:rsidR="003A16BE">
          <w:type w:val="continuous"/>
          <w:pgSz w:w="12240" w:h="15839"/>
          <w:pgMar w:top="720" w:right="1152" w:bottom="720" w:left="1440" w:header="720" w:footer="720" w:gutter="0"/>
          <w:cols w:space="720"/>
          <w:docGrid w:linePitch="360"/>
        </w:sectPr>
      </w:pPr>
    </w:p>
    <w:p w14:paraId="53238509" w14:textId="77777777" w:rsidR="003A16BE" w:rsidRDefault="003A16BE">
      <w:pPr>
        <w:pStyle w:val="thesis"/>
        <w:snapToGrid w:val="0"/>
        <w:spacing w:after="0" w:afterAutospacing="0" w:line="240" w:lineRule="auto"/>
        <w:rPr>
          <w:rFonts w:ascii="Times New Roman" w:hAnsi="Times New Roman" w:cs="Times New Roman"/>
          <w:b/>
          <w:sz w:val="20"/>
          <w:szCs w:val="20"/>
        </w:rPr>
      </w:pPr>
    </w:p>
    <w:p w14:paraId="14B39C50" w14:textId="77777777" w:rsidR="003A16BE" w:rsidRDefault="0017494B">
      <w:pPr>
        <w:pStyle w:val="thesis"/>
        <w:snapToGrid w:val="0"/>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3.5</w:t>
      </w:r>
      <w:r>
        <w:rPr>
          <w:rFonts w:ascii="Times New Roman" w:hAnsi="Times New Roman" w:cs="Times New Roman"/>
          <w:b/>
          <w:sz w:val="20"/>
          <w:szCs w:val="20"/>
        </w:rPr>
        <w:tab/>
        <w:t>Prevalence of HCMV IgM antibodies concerning educational background</w:t>
      </w:r>
    </w:p>
    <w:p w14:paraId="49806E12" w14:textId="77777777" w:rsidR="003A16BE" w:rsidRDefault="0017494B">
      <w:pPr>
        <w:pStyle w:val="thesis"/>
        <w:snapToGrid w:val="0"/>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The educational background had no significant relationship with HCMV IgM (χ</w:t>
      </w:r>
      <w:r>
        <w:rPr>
          <w:rFonts w:ascii="Times New Roman" w:hAnsi="Times New Roman" w:cs="Times New Roman"/>
          <w:sz w:val="20"/>
          <w:szCs w:val="20"/>
          <w:vertAlign w:val="superscript"/>
        </w:rPr>
        <w:t>2</w:t>
      </w:r>
      <w:r>
        <w:rPr>
          <w:rFonts w:ascii="Times New Roman" w:hAnsi="Times New Roman" w:cs="Times New Roman"/>
          <w:sz w:val="20"/>
          <w:szCs w:val="20"/>
        </w:rPr>
        <w:t>= 0.787, df = 2, p&gt;0.05</w:t>
      </w:r>
      <w:r>
        <w:rPr>
          <w:rStyle w:val="thesisChar"/>
          <w:rFonts w:ascii="Times New Roman" w:hAnsi="Times New Roman" w:cs="Times New Roman"/>
          <w:sz w:val="20"/>
          <w:szCs w:val="20"/>
        </w:rPr>
        <w:t>). Zero prevalence occurred with no formal education (0.0%). Tertiary and secondary e</w:t>
      </w:r>
      <w:r>
        <w:rPr>
          <w:rStyle w:val="thesisChar"/>
          <w:rFonts w:ascii="Times New Roman" w:hAnsi="Times New Roman" w:cs="Times New Roman"/>
          <w:sz w:val="20"/>
          <w:szCs w:val="20"/>
        </w:rPr>
        <w:t>ducation had 26.0% and 25.0% seroprevalence for CMV IgM, respectively (Table 1).</w:t>
      </w:r>
    </w:p>
    <w:p w14:paraId="5F0B8D8A" w14:textId="77777777" w:rsidR="003A16BE" w:rsidRDefault="0017494B">
      <w:pPr>
        <w:pStyle w:val="thesis"/>
        <w:snapToGrid w:val="0"/>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3.6 Prevalence of HCMV IgM antibodies concerning the occupational status</w:t>
      </w:r>
    </w:p>
    <w:p w14:paraId="5941E1A4" w14:textId="77777777" w:rsidR="003A16BE" w:rsidRDefault="0017494B">
      <w:pPr>
        <w:pStyle w:val="thesis"/>
        <w:snapToGrid w:val="0"/>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 xml:space="preserve">Table 1 shows the </w:t>
      </w:r>
      <w:r>
        <w:rPr>
          <w:rStyle w:val="thesisChar"/>
          <w:rFonts w:ascii="Times New Roman" w:hAnsi="Times New Roman" w:cs="Times New Roman"/>
          <w:sz w:val="20"/>
          <w:szCs w:val="20"/>
        </w:rPr>
        <w:t>serop</w:t>
      </w:r>
      <w:r>
        <w:rPr>
          <w:rFonts w:ascii="Times New Roman" w:hAnsi="Times New Roman" w:cs="Times New Roman"/>
          <w:sz w:val="20"/>
          <w:szCs w:val="20"/>
        </w:rPr>
        <w:t>ositivity rate of H</w:t>
      </w:r>
      <w:r>
        <w:rPr>
          <w:rStyle w:val="thesisChar"/>
          <w:rFonts w:ascii="Times New Roman" w:hAnsi="Times New Roman" w:cs="Times New Roman"/>
          <w:sz w:val="20"/>
          <w:szCs w:val="20"/>
        </w:rPr>
        <w:t xml:space="preserve">CMV IgM antibodies according to occupation. </w:t>
      </w:r>
      <w:r>
        <w:rPr>
          <w:rFonts w:ascii="Times New Roman" w:hAnsi="Times New Roman" w:cs="Times New Roman"/>
          <w:sz w:val="20"/>
          <w:szCs w:val="20"/>
        </w:rPr>
        <w:t>The pregnant wom</w:t>
      </w:r>
      <w:r>
        <w:rPr>
          <w:rFonts w:ascii="Times New Roman" w:hAnsi="Times New Roman" w:cs="Times New Roman"/>
          <w:sz w:val="20"/>
          <w:szCs w:val="20"/>
        </w:rPr>
        <w:t xml:space="preserve">en that were unemployed and students (33.3%), artisans (0.0%), business executive (60.0%), civil servants (17.2%) and traders (25.0%) were all seropositive for hCMV IgM antibodies. </w:t>
      </w:r>
      <w:r>
        <w:rPr>
          <w:rStyle w:val="thesisChar"/>
          <w:rFonts w:ascii="Times New Roman" w:hAnsi="Times New Roman" w:cs="Times New Roman"/>
          <w:sz w:val="20"/>
          <w:szCs w:val="20"/>
        </w:rPr>
        <w:t xml:space="preserve">Statistically, </w:t>
      </w:r>
      <w:r>
        <w:rPr>
          <w:rFonts w:ascii="Times New Roman" w:hAnsi="Times New Roman" w:cs="Times New Roman"/>
          <w:sz w:val="20"/>
          <w:szCs w:val="20"/>
        </w:rPr>
        <w:t xml:space="preserve">no significant relationship between occupation and </w:t>
      </w:r>
      <w:r>
        <w:rPr>
          <w:rFonts w:ascii="Times New Roman" w:hAnsi="Times New Roman" w:cs="Times New Roman"/>
          <w:sz w:val="20"/>
          <w:szCs w:val="20"/>
        </w:rPr>
        <w:t>prevalenc</w:t>
      </w:r>
      <w:r>
        <w:rPr>
          <w:rFonts w:ascii="Times New Roman" w:hAnsi="Times New Roman" w:cs="Times New Roman"/>
          <w:sz w:val="20"/>
          <w:szCs w:val="20"/>
        </w:rPr>
        <w:t>e of HCMV IgM antibodies (χ</w:t>
      </w:r>
      <w:r>
        <w:rPr>
          <w:rFonts w:ascii="Times New Roman" w:hAnsi="Times New Roman" w:cs="Times New Roman"/>
          <w:sz w:val="20"/>
          <w:szCs w:val="20"/>
          <w:vertAlign w:val="superscript"/>
        </w:rPr>
        <w:t>2</w:t>
      </w:r>
      <w:r>
        <w:rPr>
          <w:rFonts w:ascii="Times New Roman" w:hAnsi="Times New Roman" w:cs="Times New Roman"/>
          <w:sz w:val="20"/>
          <w:szCs w:val="20"/>
        </w:rPr>
        <w:t>= 2.846, df = 5, p&gt;0.05</w:t>
      </w:r>
      <w:r>
        <w:rPr>
          <w:rStyle w:val="thesisChar"/>
          <w:rFonts w:ascii="Times New Roman" w:hAnsi="Times New Roman" w:cs="Times New Roman"/>
          <w:sz w:val="20"/>
          <w:szCs w:val="20"/>
        </w:rPr>
        <w:t>).</w:t>
      </w:r>
    </w:p>
    <w:p w14:paraId="4F7A29BE" w14:textId="77777777" w:rsidR="003A16BE" w:rsidRDefault="003A16BE">
      <w:pPr>
        <w:pStyle w:val="thesis"/>
        <w:snapToGrid w:val="0"/>
        <w:spacing w:after="0" w:afterAutospacing="0" w:line="240" w:lineRule="auto"/>
        <w:ind w:left="450" w:hanging="450"/>
        <w:rPr>
          <w:rFonts w:ascii="Times New Roman" w:hAnsi="Times New Roman" w:cs="Times New Roman"/>
          <w:b/>
          <w:sz w:val="20"/>
          <w:szCs w:val="20"/>
        </w:rPr>
      </w:pPr>
    </w:p>
    <w:p w14:paraId="1CA03DB6" w14:textId="77777777" w:rsidR="003A16BE" w:rsidRDefault="0017494B">
      <w:pPr>
        <w:pStyle w:val="thesis"/>
        <w:snapToGrid w:val="0"/>
        <w:spacing w:after="0" w:afterAutospacing="0" w:line="240" w:lineRule="auto"/>
        <w:ind w:left="450" w:hanging="450"/>
        <w:rPr>
          <w:rFonts w:ascii="Times New Roman" w:hAnsi="Times New Roman" w:cs="Times New Roman"/>
          <w:b/>
          <w:sz w:val="20"/>
          <w:szCs w:val="20"/>
        </w:rPr>
      </w:pPr>
      <w:r>
        <w:rPr>
          <w:rFonts w:ascii="Times New Roman" w:hAnsi="Times New Roman" w:cs="Times New Roman"/>
          <w:b/>
          <w:sz w:val="20"/>
          <w:szCs w:val="20"/>
        </w:rPr>
        <w:t xml:space="preserve">3.7 Prevalence of HCMV IgM antibodies concerning religion </w:t>
      </w:r>
    </w:p>
    <w:p w14:paraId="4A6C20DF" w14:textId="77777777" w:rsidR="003A16BE" w:rsidRDefault="0017494B">
      <w:pPr>
        <w:pStyle w:val="thesis"/>
        <w:snapToGrid w:val="0"/>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A higher prevalence of HCMV IgM antibodies occurred among Christians (26.0%) than no religion (22.2%), while zero prevalence (0.0%) was record</w:t>
      </w:r>
      <w:r>
        <w:rPr>
          <w:rFonts w:ascii="Times New Roman" w:hAnsi="Times New Roman" w:cs="Times New Roman"/>
          <w:sz w:val="20"/>
          <w:szCs w:val="20"/>
        </w:rPr>
        <w:t>ed for Islam, as highlighted in Table 1. However, no significant association was found between religion and the prevalence of HCMV IgM (χ</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Pr>
          <w:rFonts w:ascii="Times New Roman" w:hAnsi="Times New Roman" w:cs="Times New Roman"/>
          <w:sz w:val="20"/>
          <w:szCs w:val="20"/>
          <w:lang w:val="en-GB"/>
        </w:rPr>
        <w:t>5.297</w:t>
      </w:r>
      <w:r>
        <w:rPr>
          <w:rFonts w:ascii="Times New Roman" w:hAnsi="Times New Roman" w:cs="Times New Roman"/>
          <w:sz w:val="20"/>
          <w:szCs w:val="20"/>
        </w:rPr>
        <w:t>, df = 1, p&gt;0.05</w:t>
      </w:r>
      <w:r>
        <w:rPr>
          <w:rStyle w:val="thesisChar"/>
          <w:rFonts w:ascii="Times New Roman" w:hAnsi="Times New Roman" w:cs="Times New Roman"/>
          <w:sz w:val="20"/>
          <w:szCs w:val="20"/>
        </w:rPr>
        <w:t>).</w:t>
      </w:r>
    </w:p>
    <w:p w14:paraId="3135D5DE" w14:textId="77777777" w:rsidR="003A16BE" w:rsidRDefault="0017494B">
      <w:pPr>
        <w:pStyle w:val="thesis"/>
        <w:snapToGrid w:val="0"/>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3.8</w:t>
      </w:r>
      <w:r>
        <w:rPr>
          <w:rFonts w:ascii="Times New Roman" w:hAnsi="Times New Roman" w:cs="Times New Roman"/>
          <w:b/>
          <w:sz w:val="20"/>
          <w:szCs w:val="20"/>
        </w:rPr>
        <w:tab/>
        <w:t>Prevalence of HCMV IgM antibodies concerning the family type</w:t>
      </w:r>
    </w:p>
    <w:p w14:paraId="795A6ABB" w14:textId="77777777" w:rsidR="003A16BE" w:rsidRDefault="0017494B">
      <w:pPr>
        <w:pStyle w:val="thesis"/>
        <w:tabs>
          <w:tab w:val="left" w:pos="8010"/>
        </w:tabs>
        <w:snapToGrid w:val="0"/>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Polygamous family type (40.</w:t>
      </w:r>
      <w:r>
        <w:rPr>
          <w:rFonts w:ascii="Times New Roman" w:hAnsi="Times New Roman" w:cs="Times New Roman"/>
          <w:sz w:val="20"/>
          <w:szCs w:val="20"/>
        </w:rPr>
        <w:t>0%) had a higher prevalence of HCMV IgM antibodies than the monogamous family type (22.7%), as shown in Table 1. However, no significant association was found between the family type and HCMV IgM antibodies (χ</w:t>
      </w:r>
      <w:r>
        <w:rPr>
          <w:rFonts w:ascii="Times New Roman" w:hAnsi="Times New Roman" w:cs="Times New Roman"/>
          <w:sz w:val="20"/>
          <w:szCs w:val="20"/>
          <w:vertAlign w:val="superscript"/>
        </w:rPr>
        <w:t>2</w:t>
      </w:r>
      <w:r>
        <w:rPr>
          <w:rFonts w:ascii="Times New Roman" w:hAnsi="Times New Roman" w:cs="Times New Roman"/>
          <w:sz w:val="20"/>
          <w:szCs w:val="20"/>
        </w:rPr>
        <w:t>= 0.941, df = 1, p&gt;0.05</w:t>
      </w:r>
      <w:r>
        <w:rPr>
          <w:rStyle w:val="thesisChar"/>
          <w:rFonts w:ascii="Times New Roman" w:hAnsi="Times New Roman" w:cs="Times New Roman"/>
          <w:sz w:val="20"/>
          <w:szCs w:val="20"/>
        </w:rPr>
        <w:t>).</w:t>
      </w:r>
    </w:p>
    <w:p w14:paraId="1CBD73E8" w14:textId="77777777" w:rsidR="003A16BE" w:rsidRDefault="0017494B">
      <w:pPr>
        <w:pStyle w:val="thesis"/>
        <w:snapToGrid w:val="0"/>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lastRenderedPageBreak/>
        <w:t>3.9</w:t>
      </w:r>
      <w:r>
        <w:rPr>
          <w:rFonts w:ascii="Times New Roman" w:hAnsi="Times New Roman" w:cs="Times New Roman"/>
          <w:b/>
          <w:sz w:val="20"/>
          <w:szCs w:val="20"/>
        </w:rPr>
        <w:tab/>
        <w:t>Prevalence of HC</w:t>
      </w:r>
      <w:r>
        <w:rPr>
          <w:rFonts w:ascii="Times New Roman" w:hAnsi="Times New Roman" w:cs="Times New Roman"/>
          <w:b/>
          <w:sz w:val="20"/>
          <w:szCs w:val="20"/>
        </w:rPr>
        <w:t>MV IgM antibodies concerning gestation period</w:t>
      </w:r>
    </w:p>
    <w:p w14:paraId="2B145B62" w14:textId="77777777" w:rsidR="003A16BE" w:rsidRDefault="0017494B">
      <w:pPr>
        <w:pStyle w:val="thesis"/>
        <w:tabs>
          <w:tab w:val="left" w:pos="8010"/>
        </w:tabs>
        <w:snapToGrid w:val="0"/>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A higher prevalence (37.5%) occurred in first trimester than the second (22.7%) and third trimester (26.3%), as shown in Table 1. However, no significant association was found between the gestation period and t</w:t>
      </w:r>
      <w:r>
        <w:rPr>
          <w:rFonts w:ascii="Times New Roman" w:hAnsi="Times New Roman" w:cs="Times New Roman"/>
          <w:sz w:val="20"/>
          <w:szCs w:val="20"/>
        </w:rPr>
        <w:t>he HCMV IgM antibodies (χ</w:t>
      </w:r>
      <w:r>
        <w:rPr>
          <w:rFonts w:ascii="Times New Roman" w:hAnsi="Times New Roman" w:cs="Times New Roman"/>
          <w:sz w:val="20"/>
          <w:szCs w:val="20"/>
          <w:vertAlign w:val="superscript"/>
        </w:rPr>
        <w:t>2</w:t>
      </w:r>
      <w:r>
        <w:rPr>
          <w:rFonts w:ascii="Times New Roman" w:hAnsi="Times New Roman" w:cs="Times New Roman"/>
          <w:sz w:val="20"/>
          <w:szCs w:val="20"/>
        </w:rPr>
        <w:t>= 0.941, df = 2, p&gt;0.05</w:t>
      </w:r>
      <w:r>
        <w:rPr>
          <w:rStyle w:val="thesisChar"/>
          <w:rFonts w:ascii="Times New Roman" w:hAnsi="Times New Roman" w:cs="Times New Roman"/>
          <w:sz w:val="20"/>
          <w:szCs w:val="20"/>
        </w:rPr>
        <w:t>).</w:t>
      </w:r>
    </w:p>
    <w:p w14:paraId="470278BF" w14:textId="77777777" w:rsidR="003A16BE" w:rsidRDefault="0017494B">
      <w:pPr>
        <w:pStyle w:val="thesis"/>
        <w:snapToGrid w:val="0"/>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3.10</w:t>
      </w:r>
      <w:r>
        <w:rPr>
          <w:rFonts w:ascii="Times New Roman" w:hAnsi="Times New Roman" w:cs="Times New Roman"/>
          <w:b/>
          <w:sz w:val="20"/>
          <w:szCs w:val="20"/>
        </w:rPr>
        <w:tab/>
        <w:t>Prevalence of HCMV IgM antibodies concerning parity</w:t>
      </w:r>
    </w:p>
    <w:p w14:paraId="44DF0F6D" w14:textId="77777777" w:rsidR="003A16BE" w:rsidRDefault="0017494B">
      <w:pPr>
        <w:pStyle w:val="thesis"/>
        <w:tabs>
          <w:tab w:val="left" w:pos="8010"/>
        </w:tabs>
        <w:snapToGrid w:val="0"/>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Nulliparous pregnant women had the highest prevalence (32.4%). Those with 1-2 and 3-4 parity had a prevalence rate of 26.3% and 11.1%, respectively</w:t>
      </w:r>
      <w:r>
        <w:rPr>
          <w:rFonts w:ascii="Times New Roman" w:hAnsi="Times New Roman" w:cs="Times New Roman"/>
          <w:sz w:val="20"/>
          <w:szCs w:val="20"/>
        </w:rPr>
        <w:t>, as shown in Table 1. However, no significant association was found between the parity and HCMV IgM antibodies (χ</w:t>
      </w:r>
      <w:r>
        <w:rPr>
          <w:rFonts w:ascii="Times New Roman" w:hAnsi="Times New Roman" w:cs="Times New Roman"/>
          <w:sz w:val="20"/>
          <w:szCs w:val="20"/>
          <w:vertAlign w:val="superscript"/>
        </w:rPr>
        <w:t>2</w:t>
      </w:r>
      <w:r>
        <w:rPr>
          <w:rFonts w:ascii="Times New Roman" w:hAnsi="Times New Roman" w:cs="Times New Roman"/>
          <w:sz w:val="20"/>
          <w:szCs w:val="20"/>
        </w:rPr>
        <w:t>= 0.941, df = 2, p&gt;0.05</w:t>
      </w:r>
      <w:r>
        <w:rPr>
          <w:rStyle w:val="thesisChar"/>
          <w:rFonts w:ascii="Times New Roman" w:hAnsi="Times New Roman" w:cs="Times New Roman"/>
          <w:sz w:val="20"/>
          <w:szCs w:val="20"/>
        </w:rPr>
        <w:t>).</w:t>
      </w:r>
    </w:p>
    <w:p w14:paraId="3C5FB2D9" w14:textId="77777777" w:rsidR="003A16BE" w:rsidRDefault="0017494B">
      <w:pPr>
        <w:pStyle w:val="thesis"/>
        <w:snapToGrid w:val="0"/>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3.11</w:t>
      </w:r>
      <w:r>
        <w:rPr>
          <w:rFonts w:ascii="Times New Roman" w:hAnsi="Times New Roman" w:cs="Times New Roman"/>
          <w:b/>
          <w:sz w:val="20"/>
          <w:szCs w:val="20"/>
        </w:rPr>
        <w:tab/>
      </w:r>
      <w:r>
        <w:rPr>
          <w:rFonts w:ascii="Times New Roman" w:hAnsi="Times New Roman" w:cs="Times New Roman"/>
          <w:b/>
          <w:sz w:val="20"/>
          <w:szCs w:val="20"/>
        </w:rPr>
        <w:t xml:space="preserve">Prevalence of HCMV IgM antibodies concerning the history of abortion </w:t>
      </w:r>
    </w:p>
    <w:p w14:paraId="3E5CF80A" w14:textId="77777777" w:rsidR="003A16BE" w:rsidRDefault="0017494B">
      <w:pPr>
        <w:pStyle w:val="thesis"/>
        <w:tabs>
          <w:tab w:val="left" w:pos="8010"/>
        </w:tabs>
        <w:snapToGrid w:val="0"/>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Higher prevalence of HCMV occurred with no history of abortion (26.6%) compared to those with such a history (23.3%) (Table 1). However, no significant association was found between havi</w:t>
      </w:r>
      <w:r>
        <w:rPr>
          <w:rFonts w:ascii="Times New Roman" w:hAnsi="Times New Roman" w:cs="Times New Roman"/>
          <w:sz w:val="20"/>
          <w:szCs w:val="20"/>
        </w:rPr>
        <w:t>ng abortion history and HCMV IgM (χ</w:t>
      </w:r>
      <w:r>
        <w:rPr>
          <w:rFonts w:ascii="Times New Roman" w:hAnsi="Times New Roman" w:cs="Times New Roman"/>
          <w:sz w:val="20"/>
          <w:szCs w:val="20"/>
          <w:vertAlign w:val="superscript"/>
        </w:rPr>
        <w:t>2</w:t>
      </w:r>
      <w:r>
        <w:rPr>
          <w:rFonts w:ascii="Times New Roman" w:hAnsi="Times New Roman" w:cs="Times New Roman"/>
          <w:sz w:val="20"/>
          <w:szCs w:val="20"/>
        </w:rPr>
        <w:t>= 0.941, df = 1, p&gt;0.05</w:t>
      </w:r>
      <w:r>
        <w:rPr>
          <w:rStyle w:val="thesisChar"/>
          <w:rFonts w:ascii="Times New Roman" w:hAnsi="Times New Roman" w:cs="Times New Roman"/>
          <w:sz w:val="20"/>
          <w:szCs w:val="20"/>
        </w:rPr>
        <w:t>).</w:t>
      </w:r>
    </w:p>
    <w:p w14:paraId="0FA45CDF" w14:textId="77777777" w:rsidR="003A16BE" w:rsidRDefault="0017494B">
      <w:pPr>
        <w:pStyle w:val="thesis"/>
        <w:snapToGrid w:val="0"/>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3.12</w:t>
      </w:r>
      <w:r>
        <w:rPr>
          <w:rFonts w:ascii="Times New Roman" w:hAnsi="Times New Roman" w:cs="Times New Roman"/>
          <w:b/>
          <w:sz w:val="20"/>
          <w:szCs w:val="20"/>
        </w:rPr>
        <w:tab/>
        <w:t xml:space="preserve">Prevalence of HCMV IgM antibodies concerning the history of STDs </w:t>
      </w:r>
    </w:p>
    <w:p w14:paraId="2F8B8432" w14:textId="77777777" w:rsidR="003A16BE" w:rsidRDefault="0017494B">
      <w:pPr>
        <w:pStyle w:val="thesis"/>
        <w:tabs>
          <w:tab w:val="left" w:pos="8010"/>
        </w:tabs>
        <w:snapToGrid w:val="0"/>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Higher prevalence of HCMV occurred with history of STDs (33.3%) compared to no history (25.0%), as shown in Table 1. Howeve</w:t>
      </w:r>
      <w:r>
        <w:rPr>
          <w:rFonts w:ascii="Times New Roman" w:hAnsi="Times New Roman" w:cs="Times New Roman"/>
          <w:sz w:val="20"/>
          <w:szCs w:val="20"/>
        </w:rPr>
        <w:t>r, no significant association was found between the history of STDs and HCMV IgM prevalence (χ</w:t>
      </w:r>
      <w:r>
        <w:rPr>
          <w:rFonts w:ascii="Times New Roman" w:hAnsi="Times New Roman" w:cs="Times New Roman"/>
          <w:sz w:val="20"/>
          <w:szCs w:val="20"/>
          <w:vertAlign w:val="superscript"/>
        </w:rPr>
        <w:t>2</w:t>
      </w:r>
      <w:r>
        <w:rPr>
          <w:rFonts w:ascii="Times New Roman" w:hAnsi="Times New Roman" w:cs="Times New Roman"/>
          <w:sz w:val="20"/>
          <w:szCs w:val="20"/>
        </w:rPr>
        <w:t>= 0.941, df = 1, p&gt;0.05</w:t>
      </w:r>
      <w:r>
        <w:rPr>
          <w:rStyle w:val="thesisChar"/>
          <w:rFonts w:ascii="Times New Roman" w:hAnsi="Times New Roman" w:cs="Times New Roman"/>
          <w:sz w:val="20"/>
          <w:szCs w:val="20"/>
        </w:rPr>
        <w:t>).</w:t>
      </w:r>
    </w:p>
    <w:p w14:paraId="165B39F3" w14:textId="77777777" w:rsidR="003A16BE" w:rsidRDefault="0017494B">
      <w:pPr>
        <w:pStyle w:val="thesis"/>
        <w:snapToGrid w:val="0"/>
        <w:spacing w:after="0" w:afterAutospacing="0" w:line="240" w:lineRule="auto"/>
        <w:rPr>
          <w:rFonts w:ascii="Times New Roman" w:hAnsi="Times New Roman" w:cs="Times New Roman"/>
          <w:b/>
          <w:sz w:val="20"/>
          <w:szCs w:val="20"/>
        </w:rPr>
      </w:pPr>
      <w:bookmarkStart w:id="3" w:name="_Hlk23562882"/>
      <w:r>
        <w:rPr>
          <w:rFonts w:ascii="Times New Roman" w:hAnsi="Times New Roman" w:cs="Times New Roman"/>
          <w:b/>
          <w:sz w:val="20"/>
          <w:szCs w:val="20"/>
        </w:rPr>
        <w:t>3.13</w:t>
      </w:r>
      <w:r>
        <w:rPr>
          <w:rFonts w:ascii="Times New Roman" w:hAnsi="Times New Roman" w:cs="Times New Roman"/>
          <w:b/>
          <w:sz w:val="20"/>
          <w:szCs w:val="20"/>
        </w:rPr>
        <w:tab/>
        <w:t xml:space="preserve">Prevalence of HCMV IgM antibodies concerning HIV Status </w:t>
      </w:r>
    </w:p>
    <w:bookmarkEnd w:id="3"/>
    <w:p w14:paraId="44CAD334" w14:textId="77777777" w:rsidR="003A16BE" w:rsidRDefault="0017494B">
      <w:pPr>
        <w:pStyle w:val="thesis"/>
        <w:tabs>
          <w:tab w:val="left" w:pos="8010"/>
        </w:tabs>
        <w:snapToGrid w:val="0"/>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 xml:space="preserve">Women with HIV seronegative status had the highest prevalence (26.4%) compared to those with HIV seropositive status (0.0%), as shown in Table 1. </w:t>
      </w:r>
    </w:p>
    <w:p w14:paraId="34154703" w14:textId="77777777" w:rsidR="003A16BE" w:rsidRDefault="0017494B">
      <w:pPr>
        <w:tabs>
          <w:tab w:val="left" w:pos="2863"/>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 DISCUSSION</w:t>
      </w:r>
    </w:p>
    <w:p w14:paraId="2F51FEC1" w14:textId="77777777" w:rsidR="003A16BE" w:rsidRDefault="0017494B">
      <w:pPr>
        <w:tabs>
          <w:tab w:val="left" w:pos="2863"/>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Human cytomegalovirus (HCMV) remains the leading cause of congenital viral infection. Very litt</w:t>
      </w:r>
      <w:r>
        <w:rPr>
          <w:rFonts w:ascii="Times New Roman" w:hAnsi="Times New Roman" w:cs="Times New Roman"/>
          <w:sz w:val="20"/>
          <w:szCs w:val="20"/>
        </w:rPr>
        <w:t xml:space="preserve">le is known about the seroepidemiology of HCMV infection in pregnant women in Rivers State, Nigeria. </w:t>
      </w:r>
    </w:p>
    <w:p w14:paraId="77A70295" w14:textId="77777777" w:rsidR="003A16BE" w:rsidRDefault="0017494B">
      <w:pPr>
        <w:tabs>
          <w:tab w:val="left" w:pos="2863"/>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 this study among pregnant women, relationship between age, marital status, occupation, educational status, family type, religion, gestation, parity, hi</w:t>
      </w:r>
      <w:r>
        <w:rPr>
          <w:rFonts w:ascii="Times New Roman" w:hAnsi="Times New Roman" w:cs="Times New Roman"/>
          <w:sz w:val="20"/>
          <w:szCs w:val="20"/>
        </w:rPr>
        <w:t>story of abortions, STDs and HIV status, in HCMV prevalence were evaluated.</w:t>
      </w:r>
    </w:p>
    <w:p w14:paraId="5D1B117A" w14:textId="77777777" w:rsidR="003A16BE" w:rsidRDefault="0017494B">
      <w:pPr>
        <w:tabs>
          <w:tab w:val="left" w:pos="2863"/>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study found a 25.6% seroprevalence of HCMV IgM antibodies in pregnant women. </w:t>
      </w:r>
      <w:bookmarkStart w:id="4" w:name="_Hlk23703254"/>
      <w:r>
        <w:rPr>
          <w:rFonts w:ascii="Times New Roman" w:hAnsi="Times New Roman" w:cs="Times New Roman"/>
          <w:sz w:val="20"/>
          <w:szCs w:val="20"/>
        </w:rPr>
        <w:t xml:space="preserve">This 25.6% is higher than the 0.4% reported by </w:t>
      </w:r>
      <w:hyperlink r:id="rId16" w:anchor="auth-1" w:history="1">
        <w:r>
          <w:rPr>
            <w:rFonts w:ascii="Times New Roman" w:eastAsia="Times New Roman" w:hAnsi="Times New Roman" w:cs="Times New Roman"/>
            <w:sz w:val="20"/>
            <w:szCs w:val="20"/>
            <w:lang w:eastAsia="en-GB"/>
          </w:rPr>
          <w:t>Chibwe</w:t>
        </w:r>
      </w:hyperlink>
      <w:r>
        <w:rPr>
          <w:rFonts w:ascii="Times New Roman" w:eastAsia="Times New Roman" w:hAnsi="Times New Roman" w:cs="Times New Roman"/>
          <w:sz w:val="20"/>
          <w:szCs w:val="20"/>
          <w:lang w:eastAsia="en-GB"/>
        </w:rPr>
        <w:t xml:space="preserve"> et al. (2017) in Tanzania; the 8.1% reported in Kenya (</w:t>
      </w:r>
      <w:r>
        <w:rPr>
          <w:rStyle w:val="element-citation"/>
          <w:rFonts w:ascii="Times New Roman" w:hAnsi="Times New Roman" w:cs="Times New Roman"/>
          <w:sz w:val="20"/>
          <w:szCs w:val="20"/>
        </w:rPr>
        <w:t>Maingi &amp; Nyamache, 2014</w:t>
      </w:r>
      <w:r>
        <w:rPr>
          <w:rFonts w:ascii="Times New Roman" w:eastAsia="Times New Roman" w:hAnsi="Times New Roman" w:cs="Times New Roman"/>
          <w:sz w:val="20"/>
          <w:szCs w:val="20"/>
          <w:lang w:eastAsia="en-GB"/>
        </w:rPr>
        <w:t>); the 3.5% reported in Makurdi, Benue State, Nigeria (</w:t>
      </w:r>
      <w:r>
        <w:rPr>
          <w:rFonts w:ascii="Times New Roman" w:hAnsi="Times New Roman" w:cs="Times New Roman"/>
          <w:sz w:val="20"/>
          <w:szCs w:val="20"/>
          <w:shd w:val="clear" w:color="auto" w:fill="FFFFFF"/>
        </w:rPr>
        <w:t>Umeh et al., 2015</w:t>
      </w:r>
      <w:r>
        <w:rPr>
          <w:rFonts w:ascii="Times New Roman" w:eastAsia="Times New Roman" w:hAnsi="Times New Roman" w:cs="Times New Roman"/>
          <w:sz w:val="20"/>
          <w:szCs w:val="20"/>
          <w:lang w:eastAsia="en-GB"/>
        </w:rPr>
        <w:t xml:space="preserve">). It is also higher than the </w:t>
      </w:r>
      <w:r>
        <w:rPr>
          <w:rFonts w:ascii="Times New Roman" w:hAnsi="Times New Roman" w:cs="Times New Roman"/>
          <w:sz w:val="20"/>
          <w:szCs w:val="20"/>
        </w:rPr>
        <w:t>3.0% reported for HC</w:t>
      </w:r>
      <w:r>
        <w:rPr>
          <w:rFonts w:ascii="Times New Roman" w:hAnsi="Times New Roman" w:cs="Times New Roman"/>
          <w:sz w:val="20"/>
          <w:szCs w:val="20"/>
        </w:rPr>
        <w:t>MV IgM recurrent infection and 2.0% reported for primary HCMV IgM infection in Benin, Nigeria (</w:t>
      </w:r>
      <w:r>
        <w:rPr>
          <w:rStyle w:val="Emphasis"/>
          <w:rFonts w:ascii="Times New Roman" w:hAnsi="Times New Roman" w:cs="Times New Roman"/>
          <w:i w:val="0"/>
          <w:iCs w:val="0"/>
          <w:sz w:val="20"/>
          <w:szCs w:val="20"/>
        </w:rPr>
        <w:t>Ogbaini-Emovon et al., 2015</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en-GB"/>
        </w:rPr>
        <w:t xml:space="preserve">It is higher than the prevalence rate of 1–4% reported in Iran before 2007 (Ziapour et al., 2016); the 10.5% among women in Mashad </w:t>
      </w:r>
      <w:r>
        <w:rPr>
          <w:rFonts w:ascii="Times New Roman" w:eastAsia="Times New Roman" w:hAnsi="Times New Roman" w:cs="Times New Roman"/>
          <w:sz w:val="20"/>
          <w:szCs w:val="20"/>
          <w:lang w:eastAsia="en-GB"/>
        </w:rPr>
        <w:t xml:space="preserve">(Iran). All these studies had values far lower than the 25.6% reported here. In Ghana, none </w:t>
      </w:r>
      <w:r>
        <w:rPr>
          <w:rFonts w:ascii="Times New Roman" w:eastAsia="Times New Roman" w:hAnsi="Times New Roman" w:cs="Times New Roman"/>
          <w:sz w:val="20"/>
          <w:szCs w:val="20"/>
          <w:lang w:eastAsia="en-GB"/>
        </w:rPr>
        <w:t>had HCMV IgM, similar to India. There are different reports from developed countries. For example, in Canada, the rate was 0.9% (Ziapour et al., 2016). </w:t>
      </w:r>
    </w:p>
    <w:p w14:paraId="727A5F31" w14:textId="77777777" w:rsidR="003A16BE" w:rsidRDefault="003A16BE">
      <w:pPr>
        <w:pStyle w:val="thesis"/>
        <w:snapToGrid w:val="0"/>
        <w:spacing w:after="0" w:afterAutospacing="0" w:line="240" w:lineRule="auto"/>
        <w:rPr>
          <w:rFonts w:ascii="Times New Roman" w:hAnsi="Times New Roman" w:cs="Times New Roman"/>
          <w:sz w:val="20"/>
          <w:szCs w:val="20"/>
        </w:rPr>
      </w:pPr>
    </w:p>
    <w:p w14:paraId="5BA2CDE4" w14:textId="77777777" w:rsidR="003A16BE" w:rsidRDefault="0017494B">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The 25.6% </w:t>
      </w:r>
      <w:r>
        <w:rPr>
          <w:rFonts w:ascii="Times New Roman" w:hAnsi="Times New Roman" w:cs="Times New Roman"/>
          <w:sz w:val="20"/>
          <w:szCs w:val="20"/>
        </w:rPr>
        <w:t>reported here is inconsistent with reports from other regions of the world, including Nigeria (Akinbami et al., 2011; Umeh et al., 2015). A low anti-HCMV IgM antibody (indicating recent HCMV infection) in pregnant women was reported, and low anti-CMV antib</w:t>
      </w:r>
      <w:r>
        <w:rPr>
          <w:rFonts w:ascii="Times New Roman" w:hAnsi="Times New Roman" w:cs="Times New Roman"/>
          <w:sz w:val="20"/>
          <w:szCs w:val="20"/>
        </w:rPr>
        <w:t xml:space="preserve">odies deviated from this study. Primary CMV infection is critical because primary HCMV infection is a significant risk factor for vertical transmission of HCMV infection to newborn babies with its entire associated clinical conditions (Leila et al., 2012; </w:t>
      </w:r>
      <w:r>
        <w:rPr>
          <w:rFonts w:ascii="Times New Roman" w:hAnsi="Times New Roman" w:cs="Times New Roman"/>
          <w:sz w:val="20"/>
          <w:szCs w:val="20"/>
        </w:rPr>
        <w:t xml:space="preserve">Umeh et al., 2015). </w:t>
      </w:r>
    </w:p>
    <w:p w14:paraId="0FC17DAC" w14:textId="77777777" w:rsidR="003A16BE" w:rsidRDefault="003A16BE">
      <w:pPr>
        <w:pStyle w:val="NoSpacing"/>
        <w:snapToGrid w:val="0"/>
        <w:jc w:val="both"/>
        <w:rPr>
          <w:rFonts w:ascii="Times New Roman" w:hAnsi="Times New Roman" w:cs="Times New Roman"/>
          <w:sz w:val="20"/>
          <w:szCs w:val="20"/>
        </w:rPr>
      </w:pPr>
    </w:p>
    <w:p w14:paraId="0CFEDACC" w14:textId="77777777" w:rsidR="003A16BE" w:rsidRDefault="0017494B">
      <w:pPr>
        <w:pStyle w:val="thesis"/>
        <w:snapToGrid w:val="0"/>
        <w:spacing w:after="0" w:afterAutospacing="0" w:line="240" w:lineRule="auto"/>
        <w:rPr>
          <w:rFonts w:ascii="Times New Roman" w:eastAsia="Times New Roman" w:hAnsi="Times New Roman" w:cs="Times New Roman"/>
          <w:sz w:val="20"/>
          <w:szCs w:val="20"/>
          <w:lang w:eastAsia="en-GB"/>
        </w:rPr>
      </w:pPr>
      <w:r>
        <w:rPr>
          <w:rFonts w:ascii="Times New Roman" w:hAnsi="Times New Roman" w:cs="Times New Roman"/>
          <w:sz w:val="20"/>
          <w:szCs w:val="20"/>
        </w:rPr>
        <w:t xml:space="preserve">The 25.6% reported here is lower than </w:t>
      </w:r>
      <w:r>
        <w:rPr>
          <w:rFonts w:ascii="Times New Roman" w:hAnsi="Times New Roman" w:cs="Times New Roman"/>
          <w:sz w:val="20"/>
          <w:szCs w:val="20"/>
          <w:shd w:val="clear" w:color="auto" w:fill="FFFFFF"/>
        </w:rPr>
        <w:t xml:space="preserve">the </w:t>
      </w:r>
      <w:r>
        <w:rPr>
          <w:rFonts w:ascii="Times New Roman" w:eastAsia="Times New Roman" w:hAnsi="Times New Roman" w:cs="Times New Roman"/>
          <w:sz w:val="20"/>
          <w:szCs w:val="20"/>
          <w:lang w:eastAsia="en-GB"/>
        </w:rPr>
        <w:t>31.67% reported by Zalei et al. (2017) in Iran, the 33.8% in Kerman study in Iran reported by Zalei et al. (2017); and the 60.0% reported in Bangladesh (Jahan et al., 2017). The rate of HCMV IgM is also higher in other evolving countries, dissimilar to the</w:t>
      </w:r>
      <w:r>
        <w:rPr>
          <w:rFonts w:ascii="Times New Roman" w:eastAsia="Times New Roman" w:hAnsi="Times New Roman" w:cs="Times New Roman"/>
          <w:sz w:val="20"/>
          <w:szCs w:val="20"/>
          <w:lang w:eastAsia="en-GB"/>
        </w:rPr>
        <w:t xml:space="preserve"> present study. There are different reports from developed countries. In Spain, the rate was 58.4% in men and 66.7% in women aged 2–60 years (Zalei et al., 2017). </w:t>
      </w:r>
    </w:p>
    <w:p w14:paraId="281C7723" w14:textId="77777777" w:rsidR="003A16BE" w:rsidRDefault="003A16BE">
      <w:pPr>
        <w:pStyle w:val="thesis"/>
        <w:snapToGrid w:val="0"/>
        <w:spacing w:after="0" w:afterAutospacing="0" w:line="240" w:lineRule="auto"/>
        <w:rPr>
          <w:rFonts w:ascii="Times New Roman" w:hAnsi="Times New Roman" w:cs="Times New Roman"/>
          <w:sz w:val="20"/>
          <w:szCs w:val="20"/>
        </w:rPr>
      </w:pPr>
    </w:p>
    <w:p w14:paraId="671347F0" w14:textId="77777777" w:rsidR="003A16BE" w:rsidRDefault="0017494B">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Based on our results of HCMV IgM antibodies, all seropositive women had latent infections. </w:t>
      </w:r>
      <w:r>
        <w:rPr>
          <w:rFonts w:ascii="Times New Roman" w:hAnsi="Times New Roman" w:cs="Times New Roman"/>
          <w:sz w:val="20"/>
          <w:szCs w:val="20"/>
        </w:rPr>
        <w:t>As portrayed in this study, age was not significantly associated with HCMV infection. However, the increase in seroprevalence with age could be credited to the weakening of the immune system as age increases, as suggested by Redwan et al. (2001). This stud</w:t>
      </w:r>
      <w:r>
        <w:rPr>
          <w:rFonts w:ascii="Times New Roman" w:hAnsi="Times New Roman" w:cs="Times New Roman"/>
          <w:sz w:val="20"/>
          <w:szCs w:val="20"/>
        </w:rPr>
        <w:t xml:space="preserve">y showed that all three age groups were reactive. However, a higher prevalence of HCMV IgM occurred in the 20-29 years and 40-49 years (33.3%) than in the age group 30-39 years (21.7%). </w:t>
      </w:r>
      <w:bookmarkStart w:id="5" w:name="_Hlk23754048"/>
      <w:r>
        <w:rPr>
          <w:rFonts w:ascii="Times New Roman" w:hAnsi="Times New Roman" w:cs="Times New Roman"/>
          <w:sz w:val="20"/>
          <w:szCs w:val="20"/>
        </w:rPr>
        <w:t xml:space="preserve">This observation is dissimilar to previous findings. </w:t>
      </w:r>
      <w:r>
        <w:rPr>
          <w:rFonts w:ascii="Times New Roman" w:eastAsia="Times New Roman" w:hAnsi="Times New Roman" w:cs="Times New Roman"/>
          <w:sz w:val="20"/>
          <w:szCs w:val="20"/>
          <w:lang w:eastAsia="en-GB"/>
        </w:rPr>
        <w:t>Safabakhsh et al.</w:t>
      </w:r>
      <w:r>
        <w:rPr>
          <w:rFonts w:ascii="Times New Roman" w:eastAsia="Times New Roman" w:hAnsi="Times New Roman" w:cs="Times New Roman"/>
          <w:sz w:val="20"/>
          <w:szCs w:val="20"/>
          <w:lang w:eastAsia="en-GB"/>
        </w:rPr>
        <w:t xml:space="preserve"> (2013) reported highest rate in age range 30–39, and the lowest rate was seen in those younger than 20 years. The infection rate did not follow any particular pattern with age, which was not detected in several other studies. Other studies reported that r</w:t>
      </w:r>
      <w:r>
        <w:rPr>
          <w:rFonts w:ascii="Times New Roman" w:eastAsia="Times New Roman" w:hAnsi="Times New Roman" w:cs="Times New Roman"/>
          <w:sz w:val="20"/>
          <w:szCs w:val="20"/>
          <w:lang w:eastAsia="en-GB"/>
        </w:rPr>
        <w:t xml:space="preserve">ates of CMV IgM increase with age, and the lowest rate is seen in those younger than 20 years. </w:t>
      </w:r>
    </w:p>
    <w:p w14:paraId="69BBB44D" w14:textId="77777777" w:rsidR="003A16BE" w:rsidRDefault="003A16BE">
      <w:pPr>
        <w:pStyle w:val="NoSpacing"/>
        <w:snapToGrid w:val="0"/>
        <w:jc w:val="both"/>
        <w:rPr>
          <w:rFonts w:ascii="Times New Roman" w:eastAsia="Times New Roman" w:hAnsi="Times New Roman" w:cs="Times New Roman"/>
          <w:sz w:val="20"/>
          <w:szCs w:val="20"/>
          <w:lang w:eastAsia="en-GB"/>
        </w:rPr>
      </w:pPr>
    </w:p>
    <w:p w14:paraId="6100E050" w14:textId="77777777" w:rsidR="003A16BE" w:rsidRDefault="0017494B">
      <w:pPr>
        <w:pStyle w:val="thesis"/>
        <w:snapToGrid w:val="0"/>
        <w:spacing w:after="0" w:afterAutospacing="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In the current study, highest rate of infection was seen in the age range of 20-29 and 40-49 years, which is slightly similar to Zalei et al. (2017), who repor</w:t>
      </w:r>
      <w:r>
        <w:rPr>
          <w:rFonts w:ascii="Times New Roman" w:eastAsia="Times New Roman" w:hAnsi="Times New Roman" w:cs="Times New Roman"/>
          <w:sz w:val="20"/>
          <w:szCs w:val="20"/>
          <w:lang w:eastAsia="en-GB"/>
        </w:rPr>
        <w:t>ted highest HCMV rate in age range 26–31 years in Iran and Jahan et al. (2017) in the age range 21–30 years in Bangladesh. The current study contrasts with the Mashhad study by Safabakhsh et al. (2013). In previous studies, no significant associations were</w:t>
      </w:r>
      <w:r>
        <w:rPr>
          <w:rFonts w:ascii="Times New Roman" w:eastAsia="Times New Roman" w:hAnsi="Times New Roman" w:cs="Times New Roman"/>
          <w:sz w:val="20"/>
          <w:szCs w:val="20"/>
          <w:lang w:eastAsia="en-GB"/>
        </w:rPr>
        <w:t xml:space="preserve"> seen between age, the number of children, gender, educational level and CMV infection (Motamedi et al., 2009). In Spain, the rate was 66.7% in women aged 2–60 years (Zalei et al., 2017).</w:t>
      </w:r>
    </w:p>
    <w:p w14:paraId="79AA3DF1" w14:textId="77777777" w:rsidR="003A16BE" w:rsidRDefault="003A16BE">
      <w:pPr>
        <w:pStyle w:val="thesis"/>
        <w:snapToGrid w:val="0"/>
        <w:spacing w:after="0" w:afterAutospacing="0" w:line="240" w:lineRule="auto"/>
        <w:rPr>
          <w:rFonts w:ascii="Times New Roman" w:hAnsi="Times New Roman" w:cs="Times New Roman"/>
          <w:sz w:val="20"/>
          <w:szCs w:val="20"/>
        </w:rPr>
      </w:pPr>
    </w:p>
    <w:p w14:paraId="13174170" w14:textId="77777777" w:rsidR="003A16BE" w:rsidRDefault="0017494B">
      <w:pPr>
        <w:pStyle w:val="thesis"/>
        <w:snapToGrid w:val="0"/>
        <w:spacing w:after="0" w:afterAutospacing="0" w:line="240" w:lineRule="auto"/>
        <w:rPr>
          <w:rFonts w:ascii="Times New Roman" w:hAnsi="Times New Roman" w:cs="Times New Roman"/>
          <w:sz w:val="20"/>
          <w:szCs w:val="20"/>
        </w:rPr>
      </w:pPr>
      <w:r>
        <w:rPr>
          <w:rFonts w:ascii="Times New Roman" w:hAnsi="Times New Roman" w:cs="Times New Roman"/>
          <w:sz w:val="20"/>
          <w:szCs w:val="20"/>
        </w:rPr>
        <w:t>Known factors for HCMV infection, counting age, socio-economic stat</w:t>
      </w:r>
      <w:r>
        <w:rPr>
          <w:rFonts w:ascii="Times New Roman" w:hAnsi="Times New Roman" w:cs="Times New Roman"/>
          <w:sz w:val="20"/>
          <w:szCs w:val="20"/>
        </w:rPr>
        <w:t>us, sexual promiscuity, education, and blood transfusion (</w:t>
      </w:r>
      <w:r>
        <w:rPr>
          <w:rStyle w:val="element-citation"/>
          <w:rFonts w:ascii="Times New Roman" w:hAnsi="Times New Roman" w:cs="Times New Roman"/>
          <w:sz w:val="20"/>
          <w:szCs w:val="20"/>
        </w:rPr>
        <w:t>Maingi &amp; Nyamache, 2014; Shigemi et al., 2015</w:t>
      </w:r>
      <w:r>
        <w:rPr>
          <w:rFonts w:ascii="Times New Roman" w:hAnsi="Times New Roman" w:cs="Times New Roman"/>
          <w:sz w:val="20"/>
          <w:szCs w:val="20"/>
        </w:rPr>
        <w:t>), were not found associated with HCMV infection in our study. None of the single pregnant women was seropositive (0.0%) for CMV IgM, while 23 (25.8%) ma</w:t>
      </w:r>
      <w:r>
        <w:rPr>
          <w:rFonts w:ascii="Times New Roman" w:hAnsi="Times New Roman" w:cs="Times New Roman"/>
          <w:sz w:val="20"/>
          <w:szCs w:val="20"/>
        </w:rPr>
        <w:t xml:space="preserve">rried women tested seropositive. </w:t>
      </w:r>
      <w:r>
        <w:rPr>
          <w:rStyle w:val="thesisChar"/>
          <w:rFonts w:ascii="Times New Roman" w:hAnsi="Times New Roman" w:cs="Times New Roman"/>
          <w:sz w:val="20"/>
          <w:szCs w:val="20"/>
        </w:rPr>
        <w:t xml:space="preserve">Statistically, marital status was not significantly associated with HCMV IgM </w:t>
      </w:r>
      <w:r>
        <w:rPr>
          <w:rFonts w:ascii="Times New Roman" w:hAnsi="Times New Roman" w:cs="Times New Roman"/>
          <w:sz w:val="20"/>
          <w:szCs w:val="20"/>
        </w:rPr>
        <w:t>prevalence. On the contrary, Umeh et al. (2015) reported that anti-HCMV IgM prevalence was significantly linked to marital status.</w:t>
      </w:r>
    </w:p>
    <w:p w14:paraId="7E3614F7" w14:textId="77777777" w:rsidR="003A16BE" w:rsidRDefault="003A16BE">
      <w:pPr>
        <w:pStyle w:val="thesis"/>
        <w:snapToGrid w:val="0"/>
        <w:spacing w:after="0" w:afterAutospacing="0" w:line="240" w:lineRule="auto"/>
        <w:rPr>
          <w:rFonts w:ascii="Times New Roman" w:hAnsi="Times New Roman" w:cs="Times New Roman"/>
          <w:sz w:val="20"/>
          <w:szCs w:val="20"/>
        </w:rPr>
      </w:pPr>
    </w:p>
    <w:p w14:paraId="7BCF392B" w14:textId="77777777" w:rsidR="003A16BE" w:rsidRDefault="0017494B">
      <w:pPr>
        <w:pStyle w:val="thesis"/>
        <w:snapToGrid w:val="0"/>
        <w:spacing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lang w:eastAsia="en-GB"/>
        </w:rPr>
        <w:t>Educational ba</w:t>
      </w:r>
      <w:r>
        <w:rPr>
          <w:rFonts w:ascii="Times New Roman" w:eastAsia="Times New Roman" w:hAnsi="Times New Roman" w:cs="Times New Roman"/>
          <w:sz w:val="20"/>
          <w:szCs w:val="20"/>
          <w:lang w:eastAsia="en-GB"/>
        </w:rPr>
        <w:t>ckground might be accountable for the high prevalence of CMV (Jahan et al., 2017)</w:t>
      </w:r>
      <w:r>
        <w:rPr>
          <w:rStyle w:val="thesisChar"/>
          <w:rFonts w:ascii="Times New Roman" w:hAnsi="Times New Roman" w:cs="Times New Roman"/>
          <w:sz w:val="20"/>
          <w:szCs w:val="20"/>
        </w:rPr>
        <w:t xml:space="preserve">, as all the pregnant women with no formal education had zero seroprevalence (0.0%). Tertiary and secondary education had 26.0% and 25.0%, respectively for HCMV IgM. </w:t>
      </w:r>
      <w:r>
        <w:rPr>
          <w:rFonts w:ascii="Times New Roman" w:eastAsia="Times New Roman" w:hAnsi="Times New Roman" w:cs="Times New Roman"/>
          <w:sz w:val="20"/>
          <w:szCs w:val="20"/>
          <w:lang w:eastAsia="en-GB"/>
        </w:rPr>
        <w:t xml:space="preserve">Jahan et </w:t>
      </w:r>
      <w:r>
        <w:rPr>
          <w:rFonts w:ascii="Times New Roman" w:eastAsia="Times New Roman" w:hAnsi="Times New Roman" w:cs="Times New Roman"/>
          <w:sz w:val="20"/>
          <w:szCs w:val="20"/>
          <w:lang w:eastAsia="en-GB"/>
        </w:rPr>
        <w:t>al. (2017) in Bangladesh reported a higher prevalence in</w:t>
      </w:r>
      <w:r>
        <w:rPr>
          <w:rFonts w:ascii="Times New Roman" w:hAnsi="Times New Roman" w:cs="Times New Roman"/>
          <w:sz w:val="20"/>
          <w:szCs w:val="20"/>
        </w:rPr>
        <w:t xml:space="preserve"> residents of urban areas (81.0%), and 68.0% of them had more than five years of schooling.</w:t>
      </w:r>
    </w:p>
    <w:p w14:paraId="57D1271F" w14:textId="77777777" w:rsidR="003A16BE" w:rsidRDefault="003A16BE">
      <w:pPr>
        <w:pStyle w:val="thesis"/>
        <w:snapToGrid w:val="0"/>
        <w:spacing w:after="0" w:afterAutospacing="0" w:line="240" w:lineRule="auto"/>
        <w:rPr>
          <w:rFonts w:ascii="Times New Roman" w:hAnsi="Times New Roman" w:cs="Times New Roman"/>
          <w:sz w:val="20"/>
          <w:szCs w:val="20"/>
        </w:rPr>
      </w:pPr>
    </w:p>
    <w:p w14:paraId="0DD6BDE3" w14:textId="77777777" w:rsidR="003A16BE" w:rsidRDefault="0017494B">
      <w:pPr>
        <w:pStyle w:val="thesis"/>
        <w:snapToGrid w:val="0"/>
        <w:spacing w:after="0" w:afterAutospacing="0" w:line="240" w:lineRule="auto"/>
        <w:rPr>
          <w:rFonts w:ascii="Times New Roman" w:eastAsia="Times New Roman" w:hAnsi="Times New Roman" w:cs="Times New Roman"/>
          <w:sz w:val="20"/>
          <w:szCs w:val="20"/>
          <w:lang w:eastAsia="en-GB"/>
        </w:rPr>
      </w:pPr>
      <w:r>
        <w:rPr>
          <w:rFonts w:ascii="Times New Roman" w:hAnsi="Times New Roman" w:cs="Times New Roman"/>
          <w:sz w:val="20"/>
          <w:szCs w:val="20"/>
        </w:rPr>
        <w:t>Unemployed and students (33.3%), artisans (0.0%), business executive (60.0%), civil servants (17.2%) and tr</w:t>
      </w:r>
      <w:r>
        <w:rPr>
          <w:rFonts w:ascii="Times New Roman" w:hAnsi="Times New Roman" w:cs="Times New Roman"/>
          <w:sz w:val="20"/>
          <w:szCs w:val="20"/>
        </w:rPr>
        <w:t xml:space="preserve">aders (25.0%) were all seropositive for HCMV IgM antibodies. </w:t>
      </w:r>
      <w:r>
        <w:rPr>
          <w:rFonts w:ascii="Times New Roman" w:eastAsia="Times New Roman" w:hAnsi="Times New Roman" w:cs="Times New Roman"/>
          <w:sz w:val="20"/>
          <w:szCs w:val="20"/>
          <w:lang w:eastAsia="en-GB"/>
        </w:rPr>
        <w:t xml:space="preserve">Jahan et al. (2017) in Bangladesh reported a higher prevalence </w:t>
      </w:r>
      <w:r>
        <w:rPr>
          <w:rFonts w:ascii="Times New Roman" w:hAnsi="Times New Roman" w:cs="Times New Roman"/>
          <w:sz w:val="20"/>
          <w:szCs w:val="20"/>
        </w:rPr>
        <w:t>of homemakers (88.3%) over other occupations. A higher prevalence of HCMV IgM antibodies occurred among Christians (26.0%) than no r</w:t>
      </w:r>
      <w:r>
        <w:rPr>
          <w:rFonts w:ascii="Times New Roman" w:hAnsi="Times New Roman" w:cs="Times New Roman"/>
          <w:sz w:val="20"/>
          <w:szCs w:val="20"/>
        </w:rPr>
        <w:t>eligion (22.2%), while zero prevalence (0.0%) was recorded for Islam</w:t>
      </w:r>
      <w:r>
        <w:rPr>
          <w:rStyle w:val="thesisChar"/>
          <w:rFonts w:ascii="Times New Roman" w:hAnsi="Times New Roman" w:cs="Times New Roman"/>
          <w:sz w:val="20"/>
          <w:szCs w:val="20"/>
        </w:rPr>
        <w:t xml:space="preserve">. This observation is </w:t>
      </w:r>
      <w:r>
        <w:rPr>
          <w:rFonts w:ascii="Times New Roman" w:eastAsia="Times New Roman" w:hAnsi="Times New Roman" w:cs="Times New Roman"/>
          <w:sz w:val="20"/>
          <w:szCs w:val="20"/>
          <w:lang w:eastAsia="en-GB"/>
        </w:rPr>
        <w:t>dissimilar to Jahan et al. (2017), who reported the highest rate in Islam (94.3%) over other religions in Bangladesh.</w:t>
      </w:r>
    </w:p>
    <w:p w14:paraId="023F56FB" w14:textId="77777777" w:rsidR="003A16BE" w:rsidRDefault="003A16BE">
      <w:pPr>
        <w:pStyle w:val="thesis"/>
        <w:snapToGrid w:val="0"/>
        <w:spacing w:after="0" w:afterAutospacing="0" w:line="240" w:lineRule="auto"/>
        <w:rPr>
          <w:rStyle w:val="thesisChar"/>
          <w:rFonts w:ascii="Times New Roman" w:hAnsi="Times New Roman" w:cs="Times New Roman"/>
          <w:sz w:val="20"/>
          <w:szCs w:val="20"/>
        </w:rPr>
      </w:pPr>
    </w:p>
    <w:p w14:paraId="52F8806C" w14:textId="77777777" w:rsidR="003A16BE" w:rsidRDefault="0017494B">
      <w:pPr>
        <w:pStyle w:val="thesis"/>
        <w:snapToGrid w:val="0"/>
        <w:spacing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lang w:eastAsia="en-GB"/>
        </w:rPr>
        <w:t xml:space="preserve">Pregnant women who were </w:t>
      </w:r>
      <w:r>
        <w:rPr>
          <w:rFonts w:ascii="Times New Roman" w:eastAsia="Times New Roman" w:hAnsi="Times New Roman" w:cs="Times New Roman"/>
          <w:sz w:val="20"/>
          <w:szCs w:val="20"/>
          <w:lang w:eastAsia="en-GB"/>
        </w:rPr>
        <w:t>seronegative for HCMV in the first trimester had an approximately 14% chance of acquiring the virus during their pregnancy (Mussi-Pinhata et al., 2018; Plotkin, 2018). In this study, p</w:t>
      </w:r>
      <w:r>
        <w:rPr>
          <w:rFonts w:ascii="Times New Roman" w:hAnsi="Times New Roman" w:cs="Times New Roman"/>
          <w:sz w:val="20"/>
          <w:szCs w:val="20"/>
        </w:rPr>
        <w:t>regnant women in their first trimester had the highest HCMV prevalence (</w:t>
      </w:r>
      <w:r>
        <w:rPr>
          <w:rFonts w:ascii="Times New Roman" w:hAnsi="Times New Roman" w:cs="Times New Roman"/>
          <w:sz w:val="20"/>
          <w:szCs w:val="20"/>
        </w:rPr>
        <w:t xml:space="preserve">37.5%). This aligned with </w:t>
      </w:r>
      <w:r>
        <w:rPr>
          <w:rFonts w:ascii="Times New Roman" w:eastAsia="Times New Roman" w:hAnsi="Times New Roman" w:cs="Times New Roman"/>
          <w:sz w:val="20"/>
          <w:szCs w:val="20"/>
          <w:lang w:eastAsia="en-GB"/>
        </w:rPr>
        <w:t>Jahan et al. (2017) in Bangladesh. It also a</w:t>
      </w:r>
      <w:r>
        <w:rPr>
          <w:rFonts w:ascii="Times New Roman" w:hAnsi="Times New Roman" w:cs="Times New Roman"/>
          <w:sz w:val="20"/>
          <w:szCs w:val="20"/>
        </w:rPr>
        <w:t xml:space="preserve">grees </w:t>
      </w:r>
      <w:r>
        <w:rPr>
          <w:rStyle w:val="thesisChar"/>
          <w:rFonts w:ascii="Times New Roman" w:hAnsi="Times New Roman" w:cs="Times New Roman"/>
          <w:sz w:val="20"/>
          <w:szCs w:val="20"/>
        </w:rPr>
        <w:t xml:space="preserve">with Umeh et al. (2015), who reported that </w:t>
      </w:r>
      <w:r>
        <w:rPr>
          <w:rFonts w:ascii="Times New Roman" w:hAnsi="Times New Roman" w:cs="Times New Roman"/>
          <w:sz w:val="20"/>
          <w:szCs w:val="20"/>
        </w:rPr>
        <w:t>gestational age was not significantly linked with HCMV seroprevalence, even though prevalence was least in those who were in the first tr</w:t>
      </w:r>
      <w:r>
        <w:rPr>
          <w:rFonts w:ascii="Times New Roman" w:hAnsi="Times New Roman" w:cs="Times New Roman"/>
          <w:sz w:val="20"/>
          <w:szCs w:val="20"/>
        </w:rPr>
        <w:t>imester of pregnancy.</w:t>
      </w:r>
    </w:p>
    <w:p w14:paraId="226393A5" w14:textId="77777777" w:rsidR="003A16BE" w:rsidRDefault="003A16BE">
      <w:pPr>
        <w:pStyle w:val="thesis"/>
        <w:snapToGrid w:val="0"/>
        <w:spacing w:after="0" w:afterAutospacing="0" w:line="240" w:lineRule="auto"/>
        <w:rPr>
          <w:rStyle w:val="thesisChar"/>
          <w:rFonts w:ascii="Times New Roman" w:hAnsi="Times New Roman" w:cs="Times New Roman"/>
          <w:sz w:val="20"/>
          <w:szCs w:val="20"/>
        </w:rPr>
      </w:pPr>
    </w:p>
    <w:p w14:paraId="6123D457" w14:textId="77777777" w:rsidR="003A16BE" w:rsidRDefault="0017494B">
      <w:pPr>
        <w:pStyle w:val="thesis"/>
        <w:tabs>
          <w:tab w:val="left" w:pos="8010"/>
        </w:tabs>
        <w:snapToGrid w:val="0"/>
        <w:spacing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lang w:eastAsia="en-GB"/>
        </w:rPr>
        <w:t>The primary infection by HCMV occurs in 15–20% of pregnancies and transmits to the fetus in up to 40% of cases (Yinon et al., 2010; Zalei et al., 2017). Having children might also affect HCMV prevalence in pregnant women (Wujcicka et</w:t>
      </w:r>
      <w:r>
        <w:rPr>
          <w:rFonts w:ascii="Times New Roman" w:eastAsia="Times New Roman" w:hAnsi="Times New Roman" w:cs="Times New Roman"/>
          <w:sz w:val="20"/>
          <w:szCs w:val="20"/>
          <w:lang w:eastAsia="en-GB"/>
        </w:rPr>
        <w:t xml:space="preserve"> al., 2014; Jahan et al., 2017). However, n</w:t>
      </w:r>
      <w:r>
        <w:rPr>
          <w:rFonts w:ascii="Times New Roman" w:hAnsi="Times New Roman" w:cs="Times New Roman"/>
          <w:sz w:val="20"/>
          <w:szCs w:val="20"/>
        </w:rPr>
        <w:t>ulliparous had the highest prevalence (32.4%). Those with 1-2 and 3-4 parity had a prevalence rate of 26.3% and 11.1%, respectively</w:t>
      </w:r>
      <w:r>
        <w:rPr>
          <w:rStyle w:val="thesisChar"/>
          <w:rFonts w:ascii="Times New Roman" w:hAnsi="Times New Roman" w:cs="Times New Roman"/>
          <w:sz w:val="20"/>
          <w:szCs w:val="20"/>
        </w:rPr>
        <w:t xml:space="preserve">. This result disagrees with the study by Umeh et al. (2015), who </w:t>
      </w:r>
      <w:r>
        <w:rPr>
          <w:rStyle w:val="thesisChar"/>
          <w:rFonts w:ascii="Times New Roman" w:hAnsi="Times New Roman" w:cs="Times New Roman"/>
          <w:sz w:val="20"/>
          <w:szCs w:val="20"/>
        </w:rPr>
        <w:t xml:space="preserve">reported higher </w:t>
      </w:r>
      <w:r>
        <w:rPr>
          <w:rStyle w:val="thesisChar"/>
          <w:rFonts w:ascii="Times New Roman" w:hAnsi="Times New Roman" w:cs="Times New Roman"/>
          <w:sz w:val="20"/>
          <w:szCs w:val="20"/>
        </w:rPr>
        <w:t>H</w:t>
      </w:r>
      <w:r>
        <w:rPr>
          <w:rFonts w:ascii="Times New Roman" w:hAnsi="Times New Roman" w:cs="Times New Roman"/>
          <w:sz w:val="20"/>
          <w:szCs w:val="20"/>
        </w:rPr>
        <w:t xml:space="preserve">CMV seroprevalence in multiparous pregnant women. </w:t>
      </w:r>
      <w:r>
        <w:rPr>
          <w:rFonts w:ascii="Times New Roman" w:eastAsia="Times New Roman" w:hAnsi="Times New Roman" w:cs="Times New Roman"/>
          <w:sz w:val="20"/>
          <w:szCs w:val="20"/>
          <w:lang w:eastAsia="en-GB"/>
        </w:rPr>
        <w:t>Jahan et al. (2017) in Bangladesh reported</w:t>
      </w:r>
      <w:r>
        <w:rPr>
          <w:rFonts w:ascii="Times New Roman" w:hAnsi="Times New Roman" w:cs="Times New Roman"/>
          <w:sz w:val="20"/>
          <w:szCs w:val="20"/>
        </w:rPr>
        <w:t xml:space="preserve"> no association between parity/gravida and birth prevalence of CMV (p=0.95). Amongst the pregnant women in their study, 15.67% were of parity ≥ 3, 60.66% of parity</w:t>
      </w:r>
      <w:r>
        <w:rPr>
          <w:rFonts w:ascii="Times New Roman" w:hAnsi="Times New Roman" w:cs="Times New Roman"/>
          <w:sz w:val="20"/>
          <w:szCs w:val="20"/>
        </w:rPr>
        <w:t xml:space="preserve"> 1-2 and 23.67% were primigravidae (Jahan et al., 2017). </w:t>
      </w:r>
    </w:p>
    <w:p w14:paraId="3695FEAC" w14:textId="77777777" w:rsidR="003A16BE" w:rsidRDefault="003A16BE">
      <w:pPr>
        <w:pStyle w:val="thesis"/>
        <w:tabs>
          <w:tab w:val="left" w:pos="8010"/>
        </w:tabs>
        <w:snapToGrid w:val="0"/>
        <w:spacing w:after="0" w:afterAutospacing="0" w:line="240" w:lineRule="auto"/>
        <w:rPr>
          <w:rStyle w:val="thesisChar"/>
          <w:rFonts w:ascii="Times New Roman" w:hAnsi="Times New Roman" w:cs="Times New Roman"/>
          <w:sz w:val="20"/>
          <w:szCs w:val="20"/>
        </w:rPr>
      </w:pPr>
    </w:p>
    <w:p w14:paraId="3357E9FF" w14:textId="77777777" w:rsidR="003A16BE" w:rsidRDefault="0017494B">
      <w:pPr>
        <w:pStyle w:val="thesis"/>
        <w:snapToGrid w:val="0"/>
        <w:spacing w:after="0" w:afterAutospacing="0" w:line="240" w:lineRule="auto"/>
        <w:rPr>
          <w:rFonts w:ascii="Times New Roman" w:hAnsi="Times New Roman" w:cs="Times New Roman"/>
          <w:sz w:val="20"/>
          <w:szCs w:val="20"/>
        </w:rPr>
      </w:pPr>
      <w:r>
        <w:rPr>
          <w:rFonts w:ascii="Times New Roman" w:hAnsi="Times New Roman" w:cs="Times New Roman"/>
          <w:sz w:val="20"/>
          <w:szCs w:val="20"/>
        </w:rPr>
        <w:t>A higher HCMV prevalence occurred in no history of abortion (26.6%) compared to those with a history (23.3%), nonetheless, this difference was insignificant</w:t>
      </w:r>
      <w:r>
        <w:rPr>
          <w:rStyle w:val="thesisChar"/>
          <w:rFonts w:ascii="Times New Roman" w:hAnsi="Times New Roman" w:cs="Times New Roman"/>
          <w:sz w:val="20"/>
          <w:szCs w:val="20"/>
        </w:rPr>
        <w:t xml:space="preserve">. </w:t>
      </w:r>
      <w:bookmarkStart w:id="6" w:name="_Hlk23800095"/>
      <w:r>
        <w:rPr>
          <w:rStyle w:val="thesisChar"/>
          <w:rFonts w:ascii="Times New Roman" w:hAnsi="Times New Roman" w:cs="Times New Roman"/>
          <w:sz w:val="20"/>
          <w:szCs w:val="20"/>
        </w:rPr>
        <w:t>This result agrees perfectly with the f</w:t>
      </w:r>
      <w:r>
        <w:rPr>
          <w:rStyle w:val="thesisChar"/>
          <w:rFonts w:ascii="Times New Roman" w:hAnsi="Times New Roman" w:cs="Times New Roman"/>
          <w:sz w:val="20"/>
          <w:szCs w:val="20"/>
        </w:rPr>
        <w:t>inding of a previous study in Benue State, Nigeria, which reported that n</w:t>
      </w:r>
      <w:r>
        <w:rPr>
          <w:rFonts w:ascii="Times New Roman" w:hAnsi="Times New Roman" w:cs="Times New Roman"/>
          <w:sz w:val="20"/>
          <w:szCs w:val="20"/>
        </w:rPr>
        <w:t>either history of </w:t>
      </w:r>
      <w:hyperlink r:id="rId17" w:history="1">
        <w:r>
          <w:rPr>
            <w:rStyle w:val="Hyperlink"/>
            <w:rFonts w:ascii="Times New Roman" w:hAnsi="Times New Roman" w:cs="Times New Roman"/>
            <w:color w:val="auto"/>
            <w:sz w:val="20"/>
            <w:szCs w:val="20"/>
            <w:u w:val="none"/>
          </w:rPr>
          <w:t>miscarriage </w:t>
        </w:r>
      </w:hyperlink>
      <w:r>
        <w:rPr>
          <w:rFonts w:ascii="Times New Roman" w:hAnsi="Times New Roman" w:cs="Times New Roman"/>
          <w:sz w:val="20"/>
          <w:szCs w:val="20"/>
        </w:rPr>
        <w:t>nor the number of times miscarriage occurred showed any relationship with seroprevalence of anti-HCMV IgM antibodies (Umeh et al., 2015).</w:t>
      </w:r>
    </w:p>
    <w:p w14:paraId="4EB8A97D" w14:textId="77777777" w:rsidR="003A16BE" w:rsidRDefault="003A16BE">
      <w:pPr>
        <w:pStyle w:val="thesis"/>
        <w:snapToGrid w:val="0"/>
        <w:spacing w:after="0" w:afterAutospacing="0" w:line="240" w:lineRule="auto"/>
        <w:rPr>
          <w:rStyle w:val="thesisChar"/>
          <w:rFonts w:ascii="Times New Roman" w:hAnsi="Times New Roman" w:cs="Times New Roman"/>
          <w:sz w:val="20"/>
          <w:szCs w:val="20"/>
        </w:rPr>
      </w:pPr>
    </w:p>
    <w:bookmarkEnd w:id="5"/>
    <w:bookmarkEnd w:id="6"/>
    <w:p w14:paraId="1D4AEFB0" w14:textId="77777777" w:rsidR="003A16BE" w:rsidRDefault="0017494B">
      <w:pPr>
        <w:pStyle w:val="NoSpacing"/>
        <w:snapToGrid w:val="0"/>
        <w:jc w:val="both"/>
        <w:rPr>
          <w:rFonts w:ascii="Times New Roman" w:hAnsi="Times New Roman" w:cs="Times New Roman"/>
          <w:sz w:val="20"/>
          <w:szCs w:val="20"/>
        </w:rPr>
      </w:pPr>
      <w:r>
        <w:rPr>
          <w:rFonts w:ascii="Times New Roman" w:eastAsia="Times New Roman" w:hAnsi="Times New Roman" w:cs="Times New Roman"/>
          <w:sz w:val="20"/>
          <w:szCs w:val="20"/>
          <w:lang w:eastAsia="en-GB"/>
        </w:rPr>
        <w:t xml:space="preserve">In this study, the rate of primary </w:t>
      </w:r>
      <w:r>
        <w:rPr>
          <w:rFonts w:ascii="Times New Roman" w:eastAsia="Times New Roman" w:hAnsi="Times New Roman" w:cs="Times New Roman"/>
          <w:sz w:val="20"/>
          <w:szCs w:val="20"/>
          <w:lang w:eastAsia="en-GB"/>
        </w:rPr>
        <w:t>infection detected using CMV IgM was higher (25.6%) than in other studies. This figure was 8.2% lower than the study of Arabzadeh et al. in Kerman, which reported a prevalence rate of 33.8%. This difference can be ascribed to factors such as the study popu</w:t>
      </w:r>
      <w:r>
        <w:rPr>
          <w:rFonts w:ascii="Times New Roman" w:eastAsia="Times New Roman" w:hAnsi="Times New Roman" w:cs="Times New Roman"/>
          <w:sz w:val="20"/>
          <w:szCs w:val="20"/>
          <w:lang w:eastAsia="en-GB"/>
        </w:rPr>
        <w:t>lation and better laboratory techniques in detecting CMV infection in recent years. In addition, factors such as age, gender, residential place, health condition, and socio-economic conditions may be contributing factors. This study found a significant rel</w:t>
      </w:r>
      <w:r>
        <w:rPr>
          <w:rFonts w:ascii="Times New Roman" w:eastAsia="Times New Roman" w:hAnsi="Times New Roman" w:cs="Times New Roman"/>
          <w:sz w:val="20"/>
          <w:szCs w:val="20"/>
          <w:lang w:eastAsia="en-GB"/>
        </w:rPr>
        <w:t>ationship between the prior history of abortion and primary HCMV infection, but other factors were not significantly associated.</w:t>
      </w:r>
    </w:p>
    <w:p w14:paraId="5ED9ED28" w14:textId="77777777" w:rsidR="003A16BE" w:rsidRDefault="003A16BE">
      <w:pPr>
        <w:pStyle w:val="NoSpacing"/>
        <w:snapToGrid w:val="0"/>
        <w:jc w:val="both"/>
        <w:rPr>
          <w:rFonts w:ascii="Times New Roman" w:hAnsi="Times New Roman" w:cs="Times New Roman"/>
          <w:sz w:val="20"/>
          <w:szCs w:val="20"/>
        </w:rPr>
      </w:pPr>
    </w:p>
    <w:bookmarkEnd w:id="4"/>
    <w:p w14:paraId="696BF68A" w14:textId="0ADA9A19" w:rsidR="003A16BE" w:rsidRDefault="0017494B">
      <w:pPr>
        <w:pStyle w:val="NoSpacing"/>
        <w:snapToGrid w:val="0"/>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As per preceding remarks in other studies (Drew et al., 2015; </w:t>
      </w:r>
      <w:bookmarkStart w:id="7" w:name="_Hlk23745498"/>
      <w:r>
        <w:rPr>
          <w:rFonts w:ascii="Times New Roman" w:hAnsi="Times New Roman" w:cs="Times New Roman"/>
          <w:sz w:val="20"/>
          <w:szCs w:val="20"/>
        </w:rPr>
        <w:fldChar w:fldCharType="begin"/>
      </w:r>
      <w:r>
        <w:rPr>
          <w:rFonts w:ascii="Times New Roman" w:hAnsi="Times New Roman" w:cs="Times New Roman"/>
          <w:sz w:val="20"/>
          <w:szCs w:val="20"/>
        </w:rPr>
        <w:instrText>HYPERLINK "https://bmcresnotes.biomedcentral.com/articles/10.118</w:instrText>
      </w:r>
      <w:r>
        <w:rPr>
          <w:rFonts w:ascii="Times New Roman" w:hAnsi="Times New Roman" w:cs="Times New Roman"/>
          <w:sz w:val="20"/>
          <w:szCs w:val="20"/>
        </w:rPr>
        <w:instrText>6/s13104-017-2813-4" \l "auth-1"</w:instrText>
      </w:r>
      <w:r>
        <w:rPr>
          <w:rFonts w:ascii="Times New Roman" w:hAnsi="Times New Roman" w:cs="Times New Roman"/>
          <w:sz w:val="20"/>
          <w:szCs w:val="20"/>
        </w:rPr>
        <w:fldChar w:fldCharType="separate"/>
      </w:r>
      <w:r>
        <w:rPr>
          <w:rFonts w:ascii="Times New Roman" w:eastAsia="Times New Roman" w:hAnsi="Times New Roman" w:cs="Times New Roman"/>
          <w:sz w:val="20"/>
          <w:szCs w:val="20"/>
          <w:lang w:eastAsia="en-GB"/>
        </w:rPr>
        <w:t>Chibwe</w:t>
      </w:r>
      <w:r>
        <w:rPr>
          <w:rFonts w:ascii="Times New Roman" w:hAnsi="Times New Roman" w:cs="Times New Roman"/>
          <w:sz w:val="20"/>
          <w:szCs w:val="20"/>
        </w:rPr>
        <w:fldChar w:fldCharType="end"/>
      </w:r>
      <w:bookmarkEnd w:id="7"/>
      <w:r>
        <w:rPr>
          <w:rFonts w:ascii="Times New Roman" w:eastAsia="Times New Roman" w:hAnsi="Times New Roman" w:cs="Times New Roman"/>
          <w:sz w:val="20"/>
          <w:szCs w:val="20"/>
          <w:lang w:eastAsia="en-GB"/>
        </w:rPr>
        <w:t xml:space="preserve"> et al., 2017), acute HCMV infection, as indicated by HCMV IgM antibodies, was high in the current study. </w:t>
      </w:r>
    </w:p>
    <w:p w14:paraId="7F565C50" w14:textId="77777777" w:rsidR="005F2AA2" w:rsidRDefault="005F2AA2">
      <w:pPr>
        <w:pStyle w:val="NoSpacing"/>
        <w:snapToGrid w:val="0"/>
        <w:jc w:val="both"/>
        <w:rPr>
          <w:rFonts w:ascii="Times New Roman" w:eastAsia="Times New Roman" w:hAnsi="Times New Roman" w:cs="Times New Roman"/>
          <w:sz w:val="20"/>
          <w:szCs w:val="20"/>
          <w:lang w:eastAsia="en-GB"/>
        </w:rPr>
      </w:pPr>
    </w:p>
    <w:p w14:paraId="6DDDF242" w14:textId="77777777" w:rsidR="003A16BE" w:rsidRDefault="0017494B">
      <w:pPr>
        <w:tabs>
          <w:tab w:val="left" w:pos="2863"/>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 CONCLUSION</w:t>
      </w:r>
    </w:p>
    <w:p w14:paraId="76A3BDEB" w14:textId="77777777" w:rsidR="003A16BE" w:rsidRDefault="0017494B">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The study found a high HCMV IgM in pregnant women in Port Harcourt, Nigeria. </w:t>
      </w:r>
      <w:r>
        <w:rPr>
          <w:rFonts w:ascii="Times New Roman" w:hAnsi="Times New Roman" w:cs="Times New Roman"/>
          <w:sz w:val="20"/>
          <w:szCs w:val="20"/>
        </w:rPr>
        <w:t>The high prevalen</w:t>
      </w:r>
      <w:r>
        <w:rPr>
          <w:rFonts w:ascii="Times New Roman" w:hAnsi="Times New Roman" w:cs="Times New Roman"/>
          <w:sz w:val="20"/>
          <w:szCs w:val="20"/>
        </w:rPr>
        <w:t>ce of HCMV amongst pregnant women cannot be over-emphasised. As shown in most of the cited articles, pregnant women are highly susceptible to this infection. Therefore, they are advised to undergo antenatal check-ups since the infection could be asymptomat</w:t>
      </w:r>
      <w:r>
        <w:rPr>
          <w:rFonts w:ascii="Times New Roman" w:hAnsi="Times New Roman" w:cs="Times New Roman"/>
          <w:sz w:val="20"/>
          <w:szCs w:val="20"/>
        </w:rPr>
        <w:t xml:space="preserve">ic. </w:t>
      </w:r>
    </w:p>
    <w:p w14:paraId="02B9C89A" w14:textId="77777777" w:rsidR="003A16BE" w:rsidRDefault="003A16BE">
      <w:pPr>
        <w:pStyle w:val="ListParagraph"/>
        <w:autoSpaceDE w:val="0"/>
        <w:autoSpaceDN w:val="0"/>
        <w:adjustRightInd w:val="0"/>
        <w:snapToGrid w:val="0"/>
        <w:spacing w:after="0" w:line="240" w:lineRule="auto"/>
        <w:ind w:left="0"/>
        <w:rPr>
          <w:rFonts w:ascii="Times New Roman" w:hAnsi="Times New Roman" w:cs="Times New Roman"/>
          <w:b/>
          <w:sz w:val="20"/>
          <w:szCs w:val="20"/>
        </w:rPr>
      </w:pPr>
    </w:p>
    <w:p w14:paraId="2C516289" w14:textId="77777777" w:rsidR="003A16BE" w:rsidRDefault="0017494B">
      <w:pPr>
        <w:pStyle w:val="ListParagraph"/>
        <w:autoSpaceDE w:val="0"/>
        <w:autoSpaceDN w:val="0"/>
        <w:adjustRightInd w:val="0"/>
        <w:snapToGrid w:val="0"/>
        <w:spacing w:after="0" w:line="240" w:lineRule="auto"/>
        <w:ind w:left="0"/>
        <w:rPr>
          <w:rFonts w:ascii="Times New Roman" w:hAnsi="Times New Roman" w:cs="Times New Roman"/>
          <w:sz w:val="20"/>
          <w:szCs w:val="20"/>
        </w:rPr>
      </w:pPr>
      <w:r>
        <w:rPr>
          <w:rFonts w:ascii="Times New Roman" w:hAnsi="Times New Roman" w:cs="Times New Roman"/>
          <w:b/>
          <w:sz w:val="20"/>
          <w:szCs w:val="20"/>
        </w:rPr>
        <w:t>REFERENCES</w:t>
      </w:r>
    </w:p>
    <w:p w14:paraId="493DEA27"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bookmarkStart w:id="8" w:name="_Hlk23746078"/>
      <w:r>
        <w:rPr>
          <w:rFonts w:ascii="Times New Roman" w:eastAsia="Times New Roman" w:hAnsi="Times New Roman" w:cs="Times New Roman"/>
          <w:sz w:val="20"/>
          <w:szCs w:val="20"/>
          <w:lang w:eastAsia="en-GB"/>
        </w:rPr>
        <w:t xml:space="preserve">Abu-Madi </w:t>
      </w:r>
      <w:bookmarkEnd w:id="8"/>
      <w:r>
        <w:rPr>
          <w:rFonts w:ascii="Times New Roman" w:eastAsia="Times New Roman" w:hAnsi="Times New Roman" w:cs="Times New Roman"/>
          <w:sz w:val="20"/>
          <w:szCs w:val="20"/>
          <w:lang w:eastAsia="en-GB"/>
        </w:rPr>
        <w:t>MA, Behnke JM, Dabritz HA. Toxoplasma gondii seropositivity and co-infection with TORCH pathogens in high-risk patients from Qatar. Am J Trop Med Hyg. 2010;82(4):626–33.</w:t>
      </w:r>
    </w:p>
    <w:p w14:paraId="674CB67A" w14:textId="77777777" w:rsidR="003A16BE" w:rsidRDefault="0017494B">
      <w:pPr>
        <w:pStyle w:val="NoSpacing"/>
        <w:numPr>
          <w:ilvl w:val="0"/>
          <w:numId w:val="1"/>
        </w:numPr>
        <w:snapToGrid w:val="0"/>
        <w:ind w:left="363" w:hanging="363"/>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 xml:space="preserve">Akinbami AA, Rabiu KA, Adewunmi AA, Wright KO, </w:t>
      </w:r>
      <w:r>
        <w:rPr>
          <w:rStyle w:val="element-citation"/>
          <w:rFonts w:ascii="Times New Roman" w:hAnsi="Times New Roman" w:cs="Times New Roman"/>
          <w:sz w:val="20"/>
          <w:szCs w:val="20"/>
        </w:rPr>
        <w:t>Dosunmu AO, Adeyemo TA, Adediran A. et al. Seroprevalence of cytomegalovirus antibodies amongst normal pregnant women in Nigeria. </w:t>
      </w:r>
      <w:r>
        <w:rPr>
          <w:rStyle w:val="ref-journal"/>
          <w:rFonts w:ascii="Times New Roman" w:hAnsi="Times New Roman" w:cs="Times New Roman"/>
          <w:sz w:val="20"/>
          <w:szCs w:val="20"/>
        </w:rPr>
        <w:t>Int J Women's Health. </w:t>
      </w:r>
      <w:r>
        <w:rPr>
          <w:rStyle w:val="element-citation"/>
          <w:rFonts w:ascii="Times New Roman" w:hAnsi="Times New Roman" w:cs="Times New Roman"/>
          <w:sz w:val="20"/>
          <w:szCs w:val="20"/>
        </w:rPr>
        <w:t>2011;</w:t>
      </w:r>
      <w:r>
        <w:rPr>
          <w:rStyle w:val="ref-vol"/>
          <w:rFonts w:ascii="Times New Roman" w:hAnsi="Times New Roman" w:cs="Times New Roman"/>
          <w:sz w:val="20"/>
          <w:szCs w:val="20"/>
        </w:rPr>
        <w:t>3</w:t>
      </w:r>
      <w:r>
        <w:rPr>
          <w:rStyle w:val="element-citation"/>
          <w:rFonts w:ascii="Times New Roman" w:hAnsi="Times New Roman" w:cs="Times New Roman"/>
          <w:sz w:val="20"/>
          <w:szCs w:val="20"/>
        </w:rPr>
        <w:t>:423–428</w:t>
      </w:r>
    </w:p>
    <w:p w14:paraId="05015E22" w14:textId="0856942F" w:rsidR="003A16BE" w:rsidRDefault="0017494B">
      <w:pPr>
        <w:pStyle w:val="NoSpacing"/>
        <w:numPr>
          <w:ilvl w:val="0"/>
          <w:numId w:val="1"/>
        </w:numPr>
        <w:snapToGrid w:val="0"/>
        <w:ind w:left="363" w:hanging="363"/>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lastRenderedPageBreak/>
        <w:t>Alvarado-Esquivel C, Hernandez-Tinoco J, Sanchez-Anguiano LF, Ramos-Nevarez A, Cerrillo-S</w:t>
      </w:r>
      <w:r>
        <w:rPr>
          <w:rStyle w:val="element-citation"/>
          <w:rFonts w:ascii="Times New Roman" w:hAnsi="Times New Roman" w:cs="Times New Roman"/>
          <w:sz w:val="20"/>
          <w:szCs w:val="20"/>
        </w:rPr>
        <w:t>oto SM, Estrada-Martinez S, Martinez-Ramirez L. et al. Seroepidemiology of cytomegalovirus infection in pregnant women in Durango City, Mexico. </w:t>
      </w:r>
      <w:r>
        <w:rPr>
          <w:rStyle w:val="ref-journal"/>
          <w:rFonts w:ascii="Times New Roman" w:hAnsi="Times New Roman" w:cs="Times New Roman"/>
          <w:sz w:val="20"/>
          <w:szCs w:val="20"/>
        </w:rPr>
        <w:t>BMC Infect Dis.</w:t>
      </w:r>
      <w:r w:rsidR="005F2AA2">
        <w:rPr>
          <w:rStyle w:val="ref-journal"/>
          <w:rFonts w:ascii="Times New Roman" w:hAnsi="Times New Roman" w:cs="Times New Roman"/>
          <w:sz w:val="20"/>
          <w:szCs w:val="20"/>
        </w:rPr>
        <w:t xml:space="preserve"> </w:t>
      </w:r>
      <w:r>
        <w:rPr>
          <w:rStyle w:val="element-citation"/>
          <w:rFonts w:ascii="Times New Roman" w:hAnsi="Times New Roman" w:cs="Times New Roman"/>
          <w:sz w:val="20"/>
          <w:szCs w:val="20"/>
        </w:rPr>
        <w:t>2014;</w:t>
      </w:r>
      <w:r>
        <w:rPr>
          <w:rStyle w:val="ref-vol"/>
          <w:rFonts w:ascii="Times New Roman" w:hAnsi="Times New Roman" w:cs="Times New Roman"/>
          <w:sz w:val="20"/>
          <w:szCs w:val="20"/>
        </w:rPr>
        <w:t>14</w:t>
      </w:r>
      <w:r>
        <w:rPr>
          <w:rStyle w:val="element-citation"/>
          <w:rFonts w:ascii="Times New Roman" w:hAnsi="Times New Roman" w:cs="Times New Roman"/>
          <w:sz w:val="20"/>
          <w:szCs w:val="20"/>
        </w:rPr>
        <w:t xml:space="preserve">:484. </w:t>
      </w:r>
    </w:p>
    <w:p w14:paraId="208502D7" w14:textId="409565DB" w:rsidR="003A16BE" w:rsidRDefault="0017494B">
      <w:pPr>
        <w:pStyle w:val="NoSpacing"/>
        <w:numPr>
          <w:ilvl w:val="0"/>
          <w:numId w:val="1"/>
        </w:numPr>
        <w:snapToGrid w:val="0"/>
        <w:ind w:left="363" w:hanging="363"/>
        <w:jc w:val="both"/>
        <w:rPr>
          <w:rFonts w:ascii="Times New Roman" w:eastAsia="Times New Roman" w:hAnsi="Times New Roman" w:cs="Times New Roman"/>
          <w:b/>
          <w:bCs/>
          <w:kern w:val="36"/>
          <w:sz w:val="20"/>
          <w:szCs w:val="20"/>
          <w:lang w:eastAsia="en-GB"/>
        </w:rPr>
      </w:pPr>
      <w:hyperlink r:id="rId18" w:anchor="auth-1" w:history="1">
        <w:r>
          <w:rPr>
            <w:rFonts w:ascii="Times New Roman" w:eastAsia="Times New Roman" w:hAnsi="Times New Roman" w:cs="Times New Roman"/>
            <w:sz w:val="20"/>
            <w:szCs w:val="20"/>
            <w:lang w:eastAsia="en-GB"/>
          </w:rPr>
          <w:t>Chibwe</w:t>
        </w:r>
      </w:hyperlink>
      <w:r>
        <w:rPr>
          <w:rFonts w:ascii="Times New Roman" w:eastAsia="Times New Roman" w:hAnsi="Times New Roman" w:cs="Times New Roman"/>
          <w:sz w:val="20"/>
          <w:szCs w:val="20"/>
          <w:lang w:eastAsia="en-GB"/>
        </w:rPr>
        <w:t xml:space="preserve">, E., </w:t>
      </w:r>
      <w:hyperlink r:id="rId19" w:anchor="auth-2" w:history="1">
        <w:r>
          <w:rPr>
            <w:rFonts w:ascii="Times New Roman" w:eastAsia="Times New Roman" w:hAnsi="Times New Roman" w:cs="Times New Roman"/>
            <w:sz w:val="20"/>
            <w:szCs w:val="20"/>
            <w:lang w:eastAsia="en-GB"/>
          </w:rPr>
          <w:t>Mirambo</w:t>
        </w:r>
      </w:hyperlink>
      <w:r>
        <w:rPr>
          <w:rFonts w:ascii="Times New Roman" w:eastAsia="Times New Roman" w:hAnsi="Times New Roman" w:cs="Times New Roman"/>
          <w:sz w:val="20"/>
          <w:szCs w:val="20"/>
          <w:lang w:eastAsia="en-GB"/>
        </w:rPr>
        <w:t xml:space="preserve">, M.M., </w:t>
      </w:r>
      <w:hyperlink r:id="rId20" w:anchor="auth-3" w:history="1">
        <w:r>
          <w:rPr>
            <w:rFonts w:ascii="Times New Roman" w:eastAsia="Times New Roman" w:hAnsi="Times New Roman" w:cs="Times New Roman"/>
            <w:sz w:val="20"/>
            <w:szCs w:val="20"/>
            <w:lang w:eastAsia="en-GB"/>
          </w:rPr>
          <w:t>Kihunrwa</w:t>
        </w:r>
      </w:hyperlink>
      <w:r>
        <w:rPr>
          <w:rFonts w:ascii="Times New Roman" w:eastAsia="Times New Roman" w:hAnsi="Times New Roman" w:cs="Times New Roman"/>
          <w:sz w:val="20"/>
          <w:szCs w:val="20"/>
          <w:lang w:eastAsia="en-GB"/>
        </w:rPr>
        <w:t>, A.</w:t>
      </w:r>
      <w:r w:rsidR="005F2AA2">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 xml:space="preserve">and </w:t>
      </w:r>
      <w:hyperlink r:id="rId21" w:anchor="auth-4" w:history="1">
        <w:r>
          <w:rPr>
            <w:rFonts w:ascii="Times New Roman" w:eastAsia="Times New Roman" w:hAnsi="Times New Roman" w:cs="Times New Roman"/>
            <w:sz w:val="20"/>
            <w:szCs w:val="20"/>
            <w:lang w:eastAsia="en-GB"/>
          </w:rPr>
          <w:t>Mshana</w:t>
        </w:r>
      </w:hyperlink>
      <w:r>
        <w:rPr>
          <w:rFonts w:ascii="Times New Roman" w:eastAsia="Times New Roman" w:hAnsi="Times New Roman" w:cs="Times New Roman"/>
          <w:sz w:val="20"/>
          <w:szCs w:val="20"/>
          <w:lang w:eastAsia="en-GB"/>
        </w:rPr>
        <w:t xml:space="preserve">, S.E. (2017). </w:t>
      </w:r>
      <w:r>
        <w:rPr>
          <w:rFonts w:ascii="Times New Roman" w:eastAsia="Times New Roman" w:hAnsi="Times New Roman" w:cs="Times New Roman"/>
          <w:kern w:val="36"/>
          <w:sz w:val="20"/>
          <w:szCs w:val="20"/>
          <w:lang w:eastAsia="en-GB"/>
        </w:rPr>
        <w:t xml:space="preserve">Magnitude of the Cytomegalovirus infection among pregnant women attending antenatal clinics in the city of Mwanza, Tanzania. </w:t>
      </w:r>
      <w:hyperlink r:id="rId22" w:history="1">
        <w:r>
          <w:rPr>
            <w:rFonts w:ascii="Times New Roman" w:eastAsia="Times New Roman" w:hAnsi="Times New Roman" w:cs="Times New Roman"/>
            <w:sz w:val="20"/>
            <w:szCs w:val="20"/>
            <w:lang w:eastAsia="en-GB"/>
          </w:rPr>
          <w:t>BMC Research Notes</w:t>
        </w:r>
      </w:hyperlink>
      <w:r>
        <w:rPr>
          <w:rFonts w:ascii="Times New Roman" w:eastAsia="Times New Roman" w:hAnsi="Times New Roman" w:cs="Times New Roman"/>
          <w:sz w:val="20"/>
          <w:szCs w:val="20"/>
          <w:lang w:eastAsia="en-GB"/>
        </w:rPr>
        <w:t> volume 10, Article number: 489.</w:t>
      </w:r>
    </w:p>
    <w:p w14:paraId="29CAA655" w14:textId="77777777" w:rsidR="003A16BE" w:rsidRDefault="0017494B">
      <w:pPr>
        <w:pStyle w:val="NoSpacing"/>
        <w:numPr>
          <w:ilvl w:val="0"/>
          <w:numId w:val="1"/>
        </w:numPr>
        <w:snapToGrid w:val="0"/>
        <w:ind w:left="363" w:hanging="363"/>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Davis, N.L,, King, C.C. &amp; Kourtis, A.P. Cytomegalovirus infection in pregnancy. </w:t>
      </w:r>
      <w:r>
        <w:rPr>
          <w:rStyle w:val="ref-journal"/>
          <w:rFonts w:ascii="Times New Roman" w:hAnsi="Times New Roman" w:cs="Times New Roman"/>
          <w:sz w:val="20"/>
          <w:szCs w:val="20"/>
        </w:rPr>
        <w:t>Birth Defects Res. </w:t>
      </w:r>
      <w:r>
        <w:rPr>
          <w:rStyle w:val="element-citation"/>
          <w:rFonts w:ascii="Times New Roman" w:hAnsi="Times New Roman" w:cs="Times New Roman"/>
          <w:sz w:val="20"/>
          <w:szCs w:val="20"/>
        </w:rPr>
        <w:t>2017;</w:t>
      </w:r>
      <w:r>
        <w:rPr>
          <w:rStyle w:val="ref-vol"/>
          <w:rFonts w:ascii="Times New Roman" w:hAnsi="Times New Roman" w:cs="Times New Roman"/>
          <w:sz w:val="20"/>
          <w:szCs w:val="20"/>
        </w:rPr>
        <w:t>109</w:t>
      </w:r>
      <w:r>
        <w:rPr>
          <w:rStyle w:val="element-citation"/>
          <w:rFonts w:ascii="Times New Roman" w:hAnsi="Times New Roman" w:cs="Times New Roman"/>
          <w:sz w:val="20"/>
          <w:szCs w:val="20"/>
        </w:rPr>
        <w:t xml:space="preserve">(5):336–346. </w:t>
      </w:r>
    </w:p>
    <w:p w14:paraId="5E5BD582" w14:textId="3A513CCD" w:rsidR="003A16BE" w:rsidRDefault="0017494B">
      <w:pPr>
        <w:pStyle w:val="NoSpacing"/>
        <w:numPr>
          <w:ilvl w:val="0"/>
          <w:numId w:val="1"/>
        </w:numPr>
        <w:snapToGrid w:val="0"/>
        <w:ind w:left="363" w:hanging="363"/>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 xml:space="preserve">Drebber U, Hardt A, </w:t>
      </w:r>
      <w:r>
        <w:rPr>
          <w:rStyle w:val="element-citation"/>
          <w:rFonts w:ascii="Times New Roman" w:hAnsi="Times New Roman" w:cs="Times New Roman"/>
          <w:sz w:val="20"/>
          <w:szCs w:val="20"/>
        </w:rPr>
        <w:t>Dienes HP, Odenthal M. [Cytomegalovirus. Pathological-anatomical manifestations and detection methods]</w:t>
      </w:r>
      <w:r w:rsidR="005F2AA2">
        <w:rPr>
          <w:rStyle w:val="element-citation"/>
          <w:rFonts w:ascii="Times New Roman" w:hAnsi="Times New Roman" w:cs="Times New Roman"/>
          <w:sz w:val="20"/>
          <w:szCs w:val="20"/>
        </w:rPr>
        <w:t xml:space="preserve"> </w:t>
      </w:r>
      <w:r>
        <w:rPr>
          <w:rStyle w:val="ref-journal"/>
          <w:rFonts w:ascii="Times New Roman" w:hAnsi="Times New Roman" w:cs="Times New Roman"/>
          <w:sz w:val="20"/>
          <w:szCs w:val="20"/>
        </w:rPr>
        <w:t>Pathologe.</w:t>
      </w:r>
      <w:r w:rsidR="005F2AA2">
        <w:rPr>
          <w:rStyle w:val="ref-journal"/>
          <w:rFonts w:ascii="Times New Roman" w:hAnsi="Times New Roman" w:cs="Times New Roman"/>
          <w:sz w:val="20"/>
          <w:szCs w:val="20"/>
        </w:rPr>
        <w:t xml:space="preserve"> </w:t>
      </w:r>
      <w:r>
        <w:rPr>
          <w:rStyle w:val="element-citation"/>
          <w:rFonts w:ascii="Times New Roman" w:hAnsi="Times New Roman" w:cs="Times New Roman"/>
          <w:sz w:val="20"/>
          <w:szCs w:val="20"/>
        </w:rPr>
        <w:t>2011;</w:t>
      </w:r>
      <w:r>
        <w:rPr>
          <w:rStyle w:val="ref-vol"/>
          <w:rFonts w:ascii="Times New Roman" w:hAnsi="Times New Roman" w:cs="Times New Roman"/>
          <w:sz w:val="20"/>
          <w:szCs w:val="20"/>
        </w:rPr>
        <w:t>32</w:t>
      </w:r>
      <w:r>
        <w:rPr>
          <w:rStyle w:val="element-citation"/>
          <w:rFonts w:ascii="Times New Roman" w:hAnsi="Times New Roman" w:cs="Times New Roman"/>
          <w:sz w:val="20"/>
          <w:szCs w:val="20"/>
        </w:rPr>
        <w:t xml:space="preserve">(5):418–427. </w:t>
      </w:r>
    </w:p>
    <w:p w14:paraId="041AB2C6"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bookmarkStart w:id="9" w:name="_Hlk23746632"/>
      <w:r>
        <w:rPr>
          <w:rFonts w:ascii="Times New Roman" w:eastAsia="Times New Roman" w:hAnsi="Times New Roman" w:cs="Times New Roman"/>
          <w:sz w:val="20"/>
          <w:szCs w:val="20"/>
          <w:lang w:eastAsia="en-GB"/>
        </w:rPr>
        <w:t xml:space="preserve">Drew </w:t>
      </w:r>
      <w:bookmarkEnd w:id="9"/>
      <w:r>
        <w:rPr>
          <w:rFonts w:ascii="Times New Roman" w:eastAsia="Times New Roman" w:hAnsi="Times New Roman" w:cs="Times New Roman"/>
          <w:sz w:val="20"/>
          <w:szCs w:val="20"/>
          <w:lang w:eastAsia="en-GB"/>
        </w:rPr>
        <w:t xml:space="preserve">RJ, Stapleton P, Abu H, Healy E, Ferguson W, De Gaston C, O’Gorman J, Eogan M. pregnancy outcomes of mothers </w:t>
      </w:r>
      <w:r>
        <w:rPr>
          <w:rFonts w:ascii="Times New Roman" w:eastAsia="Times New Roman" w:hAnsi="Times New Roman" w:cs="Times New Roman"/>
          <w:sz w:val="20"/>
          <w:szCs w:val="20"/>
          <w:lang w:eastAsia="en-GB"/>
        </w:rPr>
        <w:t>with detectable CMV-specific IgM antibodies: a three-year review in a large Irish tertiary referral maternity hospital. Infect Dis Obstet Gynecol. 2015;2015:5.</w:t>
      </w:r>
    </w:p>
    <w:p w14:paraId="0F49018B"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Jahan, M., Sultana, N., Asma, R., Tabassum, S., Islam, N. (2017). Birth Prevalence of Congenital</w:t>
      </w:r>
      <w:r>
        <w:rPr>
          <w:rFonts w:ascii="Times New Roman" w:eastAsia="Times New Roman" w:hAnsi="Times New Roman" w:cs="Times New Roman"/>
          <w:sz w:val="20"/>
          <w:szCs w:val="20"/>
          <w:lang w:eastAsia="en-GB"/>
        </w:rPr>
        <w:t xml:space="preserve"> Cytomegalovirus (CMV) infection in a cohort of pregnant women in Bangladesh. </w:t>
      </w:r>
      <w:r>
        <w:rPr>
          <w:rFonts w:ascii="Times New Roman" w:hAnsi="Times New Roman" w:cs="Times New Roman"/>
          <w:sz w:val="20"/>
          <w:szCs w:val="20"/>
        </w:rPr>
        <w:t>Bangladesh Med Res Counc Bull 2017; 43:77-81</w:t>
      </w:r>
    </w:p>
    <w:p w14:paraId="7ECCDA07" w14:textId="76C44AB7" w:rsidR="003A16BE" w:rsidRDefault="0017494B">
      <w:pPr>
        <w:pStyle w:val="NoSpacing"/>
        <w:numPr>
          <w:ilvl w:val="0"/>
          <w:numId w:val="1"/>
        </w:numPr>
        <w:snapToGrid w:val="0"/>
        <w:ind w:left="363" w:hanging="363"/>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Johnson J, Anderson B, Pass RF. Prevention of maternal and congenital cytomegalovirus infection.</w:t>
      </w:r>
      <w:r w:rsidR="005F2AA2">
        <w:rPr>
          <w:rStyle w:val="element-citation"/>
          <w:rFonts w:ascii="Times New Roman" w:hAnsi="Times New Roman" w:cs="Times New Roman"/>
          <w:sz w:val="20"/>
          <w:szCs w:val="20"/>
        </w:rPr>
        <w:t xml:space="preserve"> </w:t>
      </w:r>
      <w:r>
        <w:rPr>
          <w:rStyle w:val="ref-journal"/>
          <w:rFonts w:ascii="Times New Roman" w:hAnsi="Times New Roman" w:cs="Times New Roman"/>
          <w:sz w:val="20"/>
          <w:szCs w:val="20"/>
        </w:rPr>
        <w:t>Clin Obstet Gynecol. </w:t>
      </w:r>
      <w:r>
        <w:rPr>
          <w:rStyle w:val="element-citation"/>
          <w:rFonts w:ascii="Times New Roman" w:hAnsi="Times New Roman" w:cs="Times New Roman"/>
          <w:sz w:val="20"/>
          <w:szCs w:val="20"/>
        </w:rPr>
        <w:t>2012;</w:t>
      </w:r>
      <w:r>
        <w:rPr>
          <w:rStyle w:val="ref-vol"/>
          <w:rFonts w:ascii="Times New Roman" w:hAnsi="Times New Roman" w:cs="Times New Roman"/>
          <w:sz w:val="20"/>
          <w:szCs w:val="20"/>
        </w:rPr>
        <w:t>55</w:t>
      </w:r>
      <w:r>
        <w:rPr>
          <w:rStyle w:val="element-citation"/>
          <w:rFonts w:ascii="Times New Roman" w:hAnsi="Times New Roman" w:cs="Times New Roman"/>
          <w:sz w:val="20"/>
          <w:szCs w:val="20"/>
        </w:rPr>
        <w:t>(2):521–</w:t>
      </w:r>
      <w:r>
        <w:rPr>
          <w:rStyle w:val="element-citation"/>
          <w:rFonts w:ascii="Times New Roman" w:hAnsi="Times New Roman" w:cs="Times New Roman"/>
          <w:sz w:val="20"/>
          <w:szCs w:val="20"/>
        </w:rPr>
        <w:t xml:space="preserve">530. </w:t>
      </w:r>
    </w:p>
    <w:p w14:paraId="13D54903" w14:textId="77777777" w:rsidR="003A16BE" w:rsidRDefault="0017494B">
      <w:pPr>
        <w:pStyle w:val="NoSpacing"/>
        <w:numPr>
          <w:ilvl w:val="0"/>
          <w:numId w:val="1"/>
        </w:numPr>
        <w:snapToGrid w:val="0"/>
        <w:ind w:left="363" w:hanging="363"/>
        <w:jc w:val="both"/>
        <w:rPr>
          <w:rFonts w:ascii="Times New Roman" w:hAnsi="Times New Roman" w:cs="Times New Roman"/>
          <w:sz w:val="20"/>
          <w:szCs w:val="20"/>
        </w:rPr>
      </w:pPr>
      <w:r>
        <w:rPr>
          <w:rFonts w:ascii="Times New Roman" w:hAnsi="Times New Roman" w:cs="Times New Roman"/>
          <w:sz w:val="20"/>
          <w:szCs w:val="20"/>
        </w:rPr>
        <w:t>Leila B, Hossein M, Narges S, Mohammad G (2012)</w:t>
      </w:r>
      <w:hyperlink r:id="rId23" w:tgtFrame="_blank" w:tooltip="Click here" w:history="1">
        <w:r>
          <w:rPr>
            <w:rStyle w:val="Hyperlink"/>
            <w:rFonts w:ascii="Times New Roman" w:hAnsi="Times New Roman" w:cs="Times New Roman"/>
            <w:color w:val="auto"/>
            <w:sz w:val="20"/>
            <w:szCs w:val="20"/>
            <w:u w:val="none"/>
          </w:rPr>
          <w:t>. Seroprevalence of cytomegalovirus infection among pregnant women in Eastern Iran. Brazil J Infect Dis. 16: 402–</w:t>
        </w:r>
        <w:r>
          <w:rPr>
            <w:rStyle w:val="Hyperlink"/>
            <w:rFonts w:ascii="Times New Roman" w:hAnsi="Times New Roman" w:cs="Times New Roman"/>
            <w:color w:val="auto"/>
            <w:sz w:val="20"/>
            <w:szCs w:val="20"/>
            <w:u w:val="none"/>
          </w:rPr>
          <w:t>403.</w:t>
        </w:r>
      </w:hyperlink>
    </w:p>
    <w:p w14:paraId="785EC556" w14:textId="77777777" w:rsidR="003A16BE" w:rsidRDefault="0017494B">
      <w:pPr>
        <w:pStyle w:val="NoSpacing"/>
        <w:numPr>
          <w:ilvl w:val="0"/>
          <w:numId w:val="1"/>
        </w:numPr>
        <w:snapToGrid w:val="0"/>
        <w:ind w:left="363" w:hanging="363"/>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Maingi Z, Nyamache AK. Seroprevalence of Cytomegalo Virus (CMV) among pregnant women in Thika, Kenya. </w:t>
      </w:r>
      <w:r>
        <w:rPr>
          <w:rStyle w:val="ref-journal"/>
          <w:rFonts w:ascii="Times New Roman" w:hAnsi="Times New Roman" w:cs="Times New Roman"/>
          <w:sz w:val="20"/>
          <w:szCs w:val="20"/>
        </w:rPr>
        <w:t>BMC Res Notes. </w:t>
      </w:r>
      <w:r>
        <w:rPr>
          <w:rStyle w:val="element-citation"/>
          <w:rFonts w:ascii="Times New Roman" w:hAnsi="Times New Roman" w:cs="Times New Roman"/>
          <w:sz w:val="20"/>
          <w:szCs w:val="20"/>
        </w:rPr>
        <w:t>2014;</w:t>
      </w:r>
      <w:r>
        <w:rPr>
          <w:rStyle w:val="ref-vol"/>
          <w:rFonts w:ascii="Times New Roman" w:hAnsi="Times New Roman" w:cs="Times New Roman"/>
          <w:sz w:val="20"/>
          <w:szCs w:val="20"/>
        </w:rPr>
        <w:t>7</w:t>
      </w:r>
      <w:r>
        <w:rPr>
          <w:rStyle w:val="element-citation"/>
          <w:rFonts w:ascii="Times New Roman" w:hAnsi="Times New Roman" w:cs="Times New Roman"/>
          <w:sz w:val="20"/>
          <w:szCs w:val="20"/>
        </w:rPr>
        <w:t xml:space="preserve">:794. </w:t>
      </w:r>
    </w:p>
    <w:p w14:paraId="66C57EDC"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bookmarkStart w:id="10" w:name="_Hlk23746151"/>
      <w:r>
        <w:rPr>
          <w:rFonts w:ascii="Times New Roman" w:eastAsia="Times New Roman" w:hAnsi="Times New Roman" w:cs="Times New Roman"/>
          <w:sz w:val="20"/>
          <w:szCs w:val="20"/>
          <w:lang w:eastAsia="en-GB"/>
        </w:rPr>
        <w:t xml:space="preserve">Mashuda </w:t>
      </w:r>
      <w:bookmarkEnd w:id="10"/>
      <w:r>
        <w:rPr>
          <w:rFonts w:ascii="Times New Roman" w:eastAsia="Times New Roman" w:hAnsi="Times New Roman" w:cs="Times New Roman"/>
          <w:sz w:val="20"/>
          <w:szCs w:val="20"/>
          <w:lang w:eastAsia="en-GB"/>
        </w:rPr>
        <w:t xml:space="preserve">F, Zuechner A, Challya P, Kenya BR, Manyama M. Pattern and factors associated with congenital anomalies among </w:t>
      </w:r>
      <w:r>
        <w:rPr>
          <w:rFonts w:ascii="Times New Roman" w:eastAsia="Times New Roman" w:hAnsi="Times New Roman" w:cs="Times New Roman"/>
          <w:sz w:val="20"/>
          <w:szCs w:val="20"/>
          <w:lang w:eastAsia="en-GB"/>
        </w:rPr>
        <w:t>young infants admitted at Bugando medical centre, Mwanza, Tanzania. BMC Res Notes. 2014;7(1):195.</w:t>
      </w:r>
    </w:p>
    <w:p w14:paraId="41A09942"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bookmarkStart w:id="11" w:name="_Hlk23745861"/>
      <w:r>
        <w:rPr>
          <w:rFonts w:ascii="Times New Roman" w:eastAsia="Times New Roman" w:hAnsi="Times New Roman" w:cs="Times New Roman"/>
          <w:sz w:val="20"/>
          <w:szCs w:val="20"/>
          <w:lang w:eastAsia="en-GB"/>
        </w:rPr>
        <w:t xml:space="preserve">Mocarski </w:t>
      </w:r>
      <w:bookmarkEnd w:id="11"/>
      <w:r>
        <w:rPr>
          <w:rFonts w:ascii="Times New Roman" w:eastAsia="Times New Roman" w:hAnsi="Times New Roman" w:cs="Times New Roman"/>
          <w:sz w:val="20"/>
          <w:szCs w:val="20"/>
          <w:lang w:eastAsia="en-GB"/>
        </w:rPr>
        <w:t>E, Shenk T, Pass R. Chapter 69: Cytomegaloviruses. In: Knipe DM, Howley PM, editors. Fields Virology. Philadelphia: Lippincott Williams &amp; Wilkins; 20</w:t>
      </w:r>
      <w:r>
        <w:rPr>
          <w:rFonts w:ascii="Times New Roman" w:eastAsia="Times New Roman" w:hAnsi="Times New Roman" w:cs="Times New Roman"/>
          <w:sz w:val="20"/>
          <w:szCs w:val="20"/>
          <w:lang w:eastAsia="en-GB"/>
        </w:rPr>
        <w:t>07.</w:t>
      </w:r>
    </w:p>
    <w:p w14:paraId="492462ED"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Motamedi Far M, Hashemi Zadeh Z, Hadi N, TorabJahromi A, Kasrain L. Prevalence of human CMV infection in blood donors of Fars province. Hormozgan Med J 2009;12:237-42</w:t>
      </w:r>
    </w:p>
    <w:p w14:paraId="13F3F1CC" w14:textId="77777777" w:rsidR="003A16BE" w:rsidRDefault="0017494B">
      <w:pPr>
        <w:pStyle w:val="NoSpacing"/>
        <w:numPr>
          <w:ilvl w:val="0"/>
          <w:numId w:val="1"/>
        </w:numPr>
        <w:snapToGrid w:val="0"/>
        <w:ind w:left="363" w:hanging="363"/>
        <w:jc w:val="both"/>
        <w:rPr>
          <w:rFonts w:ascii="Times New Roman" w:hAnsi="Times New Roman" w:cs="Times New Roman"/>
          <w:b/>
          <w:bCs/>
          <w:sz w:val="20"/>
          <w:szCs w:val="20"/>
        </w:rPr>
      </w:pPr>
      <w:hyperlink r:id="rId24" w:tgtFrame="_blank" w:history="1">
        <w:bookmarkStart w:id="12" w:name="_Hlk23748824"/>
        <w:r>
          <w:rPr>
            <w:rStyle w:val="Hyperlink"/>
            <w:rFonts w:ascii="Times New Roman" w:hAnsi="Times New Roman" w:cs="Times New Roman"/>
            <w:color w:val="auto"/>
            <w:sz w:val="20"/>
            <w:szCs w:val="20"/>
            <w:u w:val="none"/>
          </w:rPr>
          <w:t>Mussi-Pinhata</w:t>
        </w:r>
        <w:bookmarkEnd w:id="12"/>
        <w:r>
          <w:rPr>
            <w:rStyle w:val="Hyperlink"/>
            <w:rFonts w:ascii="Times New Roman" w:hAnsi="Times New Roman" w:cs="Times New Roman"/>
            <w:color w:val="auto"/>
            <w:sz w:val="20"/>
            <w:szCs w:val="20"/>
            <w:u w:val="none"/>
          </w:rPr>
          <w:t xml:space="preserve">, MM, et al. (2018).  </w:t>
        </w:r>
        <w:r>
          <w:rPr>
            <w:rFonts w:ascii="Times New Roman" w:hAnsi="Times New Roman" w:cs="Times New Roman"/>
            <w:sz w:val="20"/>
            <w:szCs w:val="20"/>
          </w:rPr>
          <w:t xml:space="preserve">Seronegative pregnant women at high risk </w:t>
        </w:r>
        <w:r>
          <w:rPr>
            <w:rFonts w:ascii="Times New Roman" w:hAnsi="Times New Roman" w:cs="Times New Roman"/>
            <w:sz w:val="20"/>
            <w:szCs w:val="20"/>
          </w:rPr>
          <w:t xml:space="preserve">for CMV infection. </w:t>
        </w:r>
        <w:r>
          <w:rPr>
            <w:rStyle w:val="Hyperlink"/>
            <w:rFonts w:ascii="Times New Roman" w:hAnsi="Times New Roman" w:cs="Times New Roman"/>
            <w:color w:val="auto"/>
            <w:sz w:val="20"/>
            <w:szCs w:val="20"/>
            <w:u w:val="none"/>
          </w:rPr>
          <w:t>J Infect Dis. 2018;doi:10.1093/infdis/jiy3</w:t>
        </w:r>
        <w:r>
          <w:rPr>
            <w:rStyle w:val="Hyperlink"/>
            <w:rFonts w:ascii="Times New Roman" w:hAnsi="Times New Roman" w:cs="Times New Roman"/>
            <w:color w:val="auto"/>
            <w:sz w:val="20"/>
            <w:szCs w:val="20"/>
            <w:u w:val="none"/>
          </w:rPr>
          <w:t>21.</w:t>
        </w:r>
      </w:hyperlink>
    </w:p>
    <w:p w14:paraId="108FCE78" w14:textId="77777777" w:rsidR="003A16BE" w:rsidRDefault="0017494B">
      <w:pPr>
        <w:pStyle w:val="NoSpacing"/>
        <w:numPr>
          <w:ilvl w:val="0"/>
          <w:numId w:val="1"/>
        </w:numPr>
        <w:snapToGrid w:val="0"/>
        <w:ind w:left="363" w:hanging="363"/>
        <w:jc w:val="both"/>
        <w:rPr>
          <w:rFonts w:ascii="Times New Roman" w:hAnsi="Times New Roman" w:cs="Times New Roman"/>
          <w:b/>
          <w:bCs/>
          <w:sz w:val="20"/>
          <w:szCs w:val="20"/>
        </w:rPr>
      </w:pPr>
      <w:hyperlink r:id="rId25" w:tgtFrame="_blank" w:history="1">
        <w:bookmarkStart w:id="13" w:name="_Hlk23748915"/>
        <w:r>
          <w:rPr>
            <w:rStyle w:val="Hyperlink"/>
            <w:rFonts w:ascii="Times New Roman" w:hAnsi="Times New Roman" w:cs="Times New Roman"/>
            <w:color w:val="auto"/>
            <w:sz w:val="20"/>
            <w:szCs w:val="20"/>
            <w:u w:val="none"/>
          </w:rPr>
          <w:t>Plotkin</w:t>
        </w:r>
        <w:bookmarkEnd w:id="13"/>
        <w:r>
          <w:rPr>
            <w:rStyle w:val="Hyperlink"/>
            <w:rFonts w:ascii="Times New Roman" w:hAnsi="Times New Roman" w:cs="Times New Roman"/>
            <w:color w:val="auto"/>
            <w:sz w:val="20"/>
            <w:szCs w:val="20"/>
            <w:u w:val="none"/>
          </w:rPr>
          <w:t xml:space="preserve"> SA. (2018). </w:t>
        </w:r>
        <w:r>
          <w:rPr>
            <w:rFonts w:ascii="Times New Roman" w:hAnsi="Times New Roman" w:cs="Times New Roman"/>
            <w:sz w:val="20"/>
            <w:szCs w:val="20"/>
          </w:rPr>
          <w:t>Seronegative pregnant women at high risk for CMV infection</w:t>
        </w:r>
        <w:r>
          <w:rPr>
            <w:rFonts w:ascii="Times New Roman" w:hAnsi="Times New Roman" w:cs="Times New Roman"/>
            <w:b/>
            <w:bCs/>
            <w:sz w:val="20"/>
            <w:szCs w:val="20"/>
          </w:rPr>
          <w:t xml:space="preserve">. </w:t>
        </w:r>
        <w:r>
          <w:rPr>
            <w:rStyle w:val="Hyperlink"/>
            <w:rFonts w:ascii="Times New Roman" w:hAnsi="Times New Roman" w:cs="Times New Roman"/>
            <w:color w:val="auto"/>
            <w:sz w:val="20"/>
            <w:szCs w:val="20"/>
            <w:u w:val="none"/>
          </w:rPr>
          <w:t>J Infect Dis. 2018;doi:10.1093/infdis/jiy322.</w:t>
        </w:r>
      </w:hyperlink>
    </w:p>
    <w:bookmarkStart w:id="14" w:name="_Hlk23748307"/>
    <w:p w14:paraId="77F07D46" w14:textId="77777777" w:rsidR="003A16BE" w:rsidRDefault="0017494B">
      <w:pPr>
        <w:pStyle w:val="NoSpacing"/>
        <w:numPr>
          <w:ilvl w:val="0"/>
          <w:numId w:val="1"/>
        </w:numPr>
        <w:snapToGrid w:val="0"/>
        <w:ind w:left="363" w:hanging="363"/>
        <w:jc w:val="both"/>
        <w:rPr>
          <w:rFonts w:ascii="Times New Roman" w:hAnsi="Times New Roman" w:cs="Times New Roman"/>
          <w:spacing w:val="2"/>
          <w:sz w:val="20"/>
          <w:szCs w:val="20"/>
          <w:shd w:val="clear" w:color="auto" w:fill="FCFCFC"/>
        </w:rPr>
      </w:pPr>
      <w:r>
        <w:rPr>
          <w:rFonts w:ascii="Times New Roman" w:hAnsi="Times New Roman" w:cs="Times New Roman"/>
          <w:sz w:val="20"/>
          <w:szCs w:val="20"/>
        </w:rPr>
        <w:fldChar w:fldCharType="begin"/>
      </w:r>
      <w:r>
        <w:rPr>
          <w:rFonts w:ascii="Times New Roman" w:hAnsi="Times New Roman" w:cs="Times New Roman"/>
          <w:sz w:val="20"/>
          <w:szCs w:val="20"/>
        </w:rPr>
        <w:instrText>H</w:instrText>
      </w:r>
      <w:r>
        <w:rPr>
          <w:rFonts w:ascii="Times New Roman" w:hAnsi="Times New Roman" w:cs="Times New Roman"/>
          <w:sz w:val="20"/>
          <w:szCs w:val="20"/>
        </w:rPr>
        <w:instrText>YPERLINK "https://obgyn.onlinelibrary.wiley.com/action/doSearch?ContribAuthorStored=Naing%2C+Zin+W"</w:instrText>
      </w:r>
      <w:r>
        <w:rPr>
          <w:rFonts w:ascii="Times New Roman" w:hAnsi="Times New Roman" w:cs="Times New Roman"/>
          <w:sz w:val="20"/>
          <w:szCs w:val="20"/>
        </w:rPr>
        <w:fldChar w:fldCharType="separate"/>
      </w:r>
      <w:r>
        <w:rPr>
          <w:rStyle w:val="Hyperlink"/>
          <w:rFonts w:ascii="Times New Roman" w:hAnsi="Times New Roman" w:cs="Times New Roman"/>
          <w:color w:val="auto"/>
          <w:sz w:val="20"/>
          <w:szCs w:val="20"/>
          <w:u w:val="none"/>
        </w:rPr>
        <w:t>Naing</w:t>
      </w:r>
      <w:r>
        <w:rPr>
          <w:rFonts w:ascii="Times New Roman" w:hAnsi="Times New Roman" w:cs="Times New Roman"/>
          <w:sz w:val="20"/>
          <w:szCs w:val="20"/>
        </w:rPr>
        <w:fldChar w:fldCharType="end"/>
      </w:r>
      <w:r>
        <w:rPr>
          <w:rFonts w:ascii="Times New Roman" w:hAnsi="Times New Roman" w:cs="Times New Roman"/>
          <w:sz w:val="20"/>
          <w:szCs w:val="20"/>
        </w:rPr>
        <w:t>,</w:t>
      </w:r>
      <w:bookmarkEnd w:id="14"/>
      <w:r>
        <w:rPr>
          <w:rFonts w:ascii="Times New Roman" w:hAnsi="Times New Roman" w:cs="Times New Roman"/>
          <w:sz w:val="20"/>
          <w:szCs w:val="20"/>
        </w:rPr>
        <w:t xml:space="preserve"> Z.W., </w:t>
      </w:r>
      <w:hyperlink r:id="rId26" w:history="1">
        <w:r>
          <w:rPr>
            <w:rStyle w:val="Hyperlink"/>
            <w:rFonts w:ascii="Times New Roman" w:hAnsi="Times New Roman" w:cs="Times New Roman"/>
            <w:color w:val="auto"/>
            <w:sz w:val="20"/>
            <w:szCs w:val="20"/>
            <w:u w:val="none"/>
          </w:rPr>
          <w:t>Scott</w:t>
        </w:r>
      </w:hyperlink>
      <w:r>
        <w:rPr>
          <w:rFonts w:ascii="Times New Roman" w:hAnsi="Times New Roman" w:cs="Times New Roman"/>
          <w:sz w:val="20"/>
          <w:szCs w:val="20"/>
        </w:rPr>
        <w:t xml:space="preserve">, G.M., </w:t>
      </w:r>
      <w:hyperlink r:id="rId27" w:history="1">
        <w:r>
          <w:rPr>
            <w:rStyle w:val="Hyperlink"/>
            <w:rFonts w:ascii="Times New Roman" w:hAnsi="Times New Roman" w:cs="Times New Roman"/>
            <w:color w:val="auto"/>
            <w:sz w:val="20"/>
            <w:szCs w:val="20"/>
            <w:u w:val="none"/>
          </w:rPr>
          <w:t>Shand</w:t>
        </w:r>
      </w:hyperlink>
      <w:r>
        <w:rPr>
          <w:rFonts w:ascii="Times New Roman" w:hAnsi="Times New Roman" w:cs="Times New Roman"/>
          <w:sz w:val="20"/>
          <w:szCs w:val="20"/>
        </w:rPr>
        <w:t xml:space="preserve">, A., </w:t>
      </w:r>
      <w:hyperlink r:id="rId28" w:history="1">
        <w:r>
          <w:rPr>
            <w:rStyle w:val="Hyperlink"/>
            <w:rFonts w:ascii="Times New Roman" w:hAnsi="Times New Roman" w:cs="Times New Roman"/>
            <w:color w:val="auto"/>
            <w:sz w:val="20"/>
            <w:szCs w:val="20"/>
            <w:u w:val="none"/>
          </w:rPr>
          <w:t>Hamilton</w:t>
        </w:r>
      </w:hyperlink>
      <w:r>
        <w:rPr>
          <w:rFonts w:ascii="Times New Roman" w:hAnsi="Times New Roman" w:cs="Times New Roman"/>
          <w:sz w:val="20"/>
          <w:szCs w:val="20"/>
        </w:rPr>
        <w:t xml:space="preserve">, S.T., </w:t>
      </w:r>
      <w:hyperlink r:id="rId29" w:history="1">
        <w:r>
          <w:rPr>
            <w:rStyle w:val="Hyperlink"/>
            <w:rFonts w:ascii="Times New Roman" w:hAnsi="Times New Roman" w:cs="Times New Roman"/>
            <w:color w:val="auto"/>
            <w:sz w:val="20"/>
            <w:szCs w:val="20"/>
            <w:u w:val="none"/>
          </w:rPr>
          <w:t>van Zuylen</w:t>
        </w:r>
      </w:hyperlink>
      <w:r>
        <w:rPr>
          <w:rFonts w:ascii="Times New Roman" w:hAnsi="Times New Roman" w:cs="Times New Roman"/>
          <w:sz w:val="20"/>
          <w:szCs w:val="20"/>
        </w:rPr>
        <w:t xml:space="preserve">, W.J., </w:t>
      </w:r>
      <w:hyperlink r:id="rId30" w:history="1">
        <w:r>
          <w:rPr>
            <w:rStyle w:val="Hyperlink"/>
            <w:rFonts w:ascii="Times New Roman" w:hAnsi="Times New Roman" w:cs="Times New Roman"/>
            <w:color w:val="auto"/>
            <w:sz w:val="20"/>
            <w:szCs w:val="20"/>
            <w:u w:val="none"/>
          </w:rPr>
          <w:t>Basha</w:t>
        </w:r>
      </w:hyperlink>
      <w:r>
        <w:rPr>
          <w:rFonts w:ascii="Times New Roman" w:hAnsi="Times New Roman" w:cs="Times New Roman"/>
          <w:sz w:val="20"/>
          <w:szCs w:val="20"/>
        </w:rPr>
        <w:t xml:space="preserve">, J., </w:t>
      </w:r>
      <w:hyperlink r:id="rId31" w:history="1">
        <w:r>
          <w:rPr>
            <w:rStyle w:val="Hyperlink"/>
            <w:rFonts w:ascii="Times New Roman" w:hAnsi="Times New Roman" w:cs="Times New Roman"/>
            <w:color w:val="auto"/>
            <w:sz w:val="20"/>
            <w:szCs w:val="20"/>
            <w:u w:val="none"/>
          </w:rPr>
          <w:t>Hall</w:t>
        </w:r>
      </w:hyperlink>
      <w:r>
        <w:rPr>
          <w:rFonts w:ascii="Times New Roman" w:hAnsi="Times New Roman" w:cs="Times New Roman"/>
          <w:sz w:val="20"/>
          <w:szCs w:val="20"/>
        </w:rPr>
        <w:t xml:space="preserve">, B., </w:t>
      </w:r>
      <w:hyperlink r:id="rId32" w:history="1">
        <w:r>
          <w:rPr>
            <w:rStyle w:val="Hyperlink"/>
            <w:rFonts w:ascii="Times New Roman" w:hAnsi="Times New Roman" w:cs="Times New Roman"/>
            <w:color w:val="auto"/>
            <w:sz w:val="20"/>
            <w:szCs w:val="20"/>
            <w:u w:val="none"/>
          </w:rPr>
          <w:t>Craig</w:t>
        </w:r>
      </w:hyperlink>
      <w:r>
        <w:rPr>
          <w:rStyle w:val="Hyperlink"/>
          <w:rFonts w:ascii="Times New Roman" w:hAnsi="Times New Roman" w:cs="Times New Roman"/>
          <w:color w:val="auto"/>
          <w:sz w:val="20"/>
          <w:szCs w:val="20"/>
          <w:u w:val="none"/>
        </w:rPr>
        <w:t>, M.E.</w:t>
      </w:r>
      <w:r>
        <w:rPr>
          <w:rFonts w:ascii="Times New Roman" w:hAnsi="Times New Roman" w:cs="Times New Roman"/>
          <w:sz w:val="20"/>
          <w:szCs w:val="20"/>
        </w:rPr>
        <w:t xml:space="preserve"> &amp; </w:t>
      </w:r>
      <w:hyperlink r:id="rId33" w:history="1">
        <w:r>
          <w:rPr>
            <w:rStyle w:val="Hyperlink"/>
            <w:rFonts w:ascii="Times New Roman" w:hAnsi="Times New Roman" w:cs="Times New Roman"/>
            <w:color w:val="auto"/>
            <w:sz w:val="20"/>
            <w:szCs w:val="20"/>
            <w:u w:val="none"/>
          </w:rPr>
          <w:t>Rawlinson</w:t>
        </w:r>
      </w:hyperlink>
      <w:r>
        <w:rPr>
          <w:rStyle w:val="Hyperlink"/>
          <w:rFonts w:ascii="Times New Roman" w:hAnsi="Times New Roman" w:cs="Times New Roman"/>
          <w:color w:val="auto"/>
          <w:sz w:val="20"/>
          <w:szCs w:val="20"/>
          <w:u w:val="none"/>
        </w:rPr>
        <w:t xml:space="preserve">, W.D. (2016). </w:t>
      </w:r>
      <w:r>
        <w:rPr>
          <w:rFonts w:ascii="Times New Roman" w:hAnsi="Times New Roman" w:cs="Times New Roman"/>
          <w:sz w:val="20"/>
          <w:szCs w:val="20"/>
        </w:rPr>
        <w:t xml:space="preserve">Congenital cytomegalovirus infection in pregnancy: a review of prevalence, clinical features, diagnosis and prevention. </w:t>
      </w:r>
      <w:r>
        <w:rPr>
          <w:rFonts w:ascii="Times New Roman" w:hAnsi="Times New Roman" w:cs="Times New Roman"/>
          <w:spacing w:val="2"/>
          <w:sz w:val="20"/>
          <w:szCs w:val="20"/>
          <w:shd w:val="clear" w:color="auto" w:fill="FCFCFC"/>
        </w:rPr>
        <w:t>Aust N Z J Obstet Gynaecol. 2016;56:9–18.</w:t>
      </w:r>
    </w:p>
    <w:p w14:paraId="6002E2A9" w14:textId="77777777" w:rsidR="003A16BE" w:rsidRDefault="0017494B">
      <w:pPr>
        <w:pStyle w:val="NoSpacing"/>
        <w:numPr>
          <w:ilvl w:val="0"/>
          <w:numId w:val="1"/>
        </w:numPr>
        <w:snapToGrid w:val="0"/>
        <w:ind w:left="363" w:hanging="363"/>
        <w:jc w:val="both"/>
        <w:rPr>
          <w:rFonts w:ascii="Times New Roman" w:hAnsi="Times New Roman" w:cs="Times New Roman"/>
          <w:sz w:val="20"/>
          <w:szCs w:val="20"/>
          <w:shd w:val="clear" w:color="auto" w:fill="FFFFFF"/>
        </w:rPr>
      </w:pPr>
      <w:bookmarkStart w:id="15" w:name="_Hlk23748679"/>
      <w:r>
        <w:rPr>
          <w:rStyle w:val="Emphasis"/>
          <w:rFonts w:ascii="Times New Roman" w:hAnsi="Times New Roman" w:cs="Times New Roman"/>
          <w:i w:val="0"/>
          <w:iCs w:val="0"/>
          <w:sz w:val="20"/>
          <w:szCs w:val="20"/>
        </w:rPr>
        <w:t>Ogbaini-Emovon</w:t>
      </w:r>
      <w:bookmarkEnd w:id="15"/>
      <w:r>
        <w:rPr>
          <w:rStyle w:val="Emphasis"/>
          <w:rFonts w:ascii="Times New Roman" w:hAnsi="Times New Roman" w:cs="Times New Roman"/>
          <w:i w:val="0"/>
          <w:iCs w:val="0"/>
          <w:sz w:val="20"/>
          <w:szCs w:val="20"/>
        </w:rPr>
        <w:t xml:space="preserve">, E., Lofor, P.V.O., Oduyebo, O., Ojide, K.C., Kalu, IK, and Joseph, G.A. (2015). </w:t>
      </w:r>
      <w:r>
        <w:rPr>
          <w:rFonts w:ascii="Times New Roman" w:hAnsi="Times New Roman" w:cs="Times New Roman"/>
          <w:sz w:val="20"/>
          <w:szCs w:val="20"/>
        </w:rPr>
        <w:t>Incidence and risk of primary cytomegalovirus infection among pregnant women in Benin City Nigeria. Annals of Biomedical Sciences, 14:1</w:t>
      </w:r>
    </w:p>
    <w:p w14:paraId="69BE4D86" w14:textId="77777777" w:rsidR="003A16BE" w:rsidRDefault="0017494B">
      <w:pPr>
        <w:pStyle w:val="NoSpacing"/>
        <w:numPr>
          <w:ilvl w:val="0"/>
          <w:numId w:val="1"/>
        </w:numPr>
        <w:snapToGrid w:val="0"/>
        <w:ind w:left="363" w:hanging="363"/>
        <w:jc w:val="both"/>
        <w:rPr>
          <w:rFonts w:ascii="Times New Roman" w:hAnsi="Times New Roman" w:cs="Times New Roman"/>
          <w:sz w:val="20"/>
          <w:szCs w:val="20"/>
        </w:rPr>
      </w:pPr>
      <w:bookmarkStart w:id="16" w:name="_Hlk23749759"/>
      <w:r>
        <w:rPr>
          <w:rFonts w:ascii="Times New Roman" w:hAnsi="Times New Roman" w:cs="Times New Roman"/>
          <w:sz w:val="20"/>
          <w:szCs w:val="20"/>
        </w:rPr>
        <w:t>Redwan NA, Ahmedi MM (20</w:t>
      </w:r>
      <w:r>
        <w:rPr>
          <w:rFonts w:ascii="Times New Roman" w:hAnsi="Times New Roman" w:cs="Times New Roman"/>
          <w:sz w:val="20"/>
          <w:szCs w:val="20"/>
        </w:rPr>
        <w:t>01)</w:t>
      </w:r>
      <w:bookmarkEnd w:id="16"/>
      <w:r>
        <w:rPr>
          <w:rFonts w:ascii="Times New Roman" w:hAnsi="Times New Roman" w:cs="Times New Roman"/>
          <w:sz w:val="20"/>
          <w:szCs w:val="20"/>
        </w:rPr>
        <w:t xml:space="preserve"> Prevalence study of cytomegalovirus infection among foreign manpower in Jeddah Saudi Arabia. African Journal of Microbiology Research: 201.</w:t>
      </w:r>
    </w:p>
    <w:p w14:paraId="44B10F9B" w14:textId="63735846" w:rsidR="003A16BE" w:rsidRDefault="0017494B">
      <w:pPr>
        <w:pStyle w:val="NoSpacing"/>
        <w:numPr>
          <w:ilvl w:val="0"/>
          <w:numId w:val="1"/>
        </w:numPr>
        <w:snapToGrid w:val="0"/>
        <w:ind w:left="363" w:hanging="363"/>
        <w:jc w:val="both"/>
        <w:rPr>
          <w:rFonts w:ascii="Times New Roman" w:hAnsi="Times New Roman" w:cs="Times New Roman"/>
          <w:sz w:val="20"/>
          <w:szCs w:val="20"/>
        </w:rPr>
      </w:pPr>
      <w:r>
        <w:rPr>
          <w:rFonts w:ascii="Times New Roman" w:hAnsi="Times New Roman" w:cs="Times New Roman"/>
          <w:sz w:val="20"/>
          <w:szCs w:val="20"/>
        </w:rPr>
        <w:t xml:space="preserve">Revello M. G. and G. Gerna, (2002). “Diagnosis and management of human cytomegalovirus infection in the mother, </w:t>
      </w:r>
      <w:r>
        <w:rPr>
          <w:rFonts w:ascii="Times New Roman" w:hAnsi="Times New Roman" w:cs="Times New Roman"/>
          <w:sz w:val="20"/>
          <w:szCs w:val="20"/>
        </w:rPr>
        <w:t xml:space="preserve">fetus, and newborn infant,” </w:t>
      </w:r>
      <w:r>
        <w:rPr>
          <w:rFonts w:ascii="Times New Roman" w:hAnsi="Times New Roman" w:cs="Times New Roman"/>
          <w:sz w:val="20"/>
          <w:szCs w:val="20"/>
        </w:rPr>
        <w:t xml:space="preserve">Clinical Microbiology Reviews, </w:t>
      </w:r>
      <w:r>
        <w:rPr>
          <w:rFonts w:ascii="Times New Roman" w:hAnsi="Times New Roman" w:cs="Times New Roman"/>
          <w:b/>
          <w:sz w:val="20"/>
          <w:szCs w:val="20"/>
        </w:rPr>
        <w:t>15</w:t>
      </w:r>
      <w:r>
        <w:rPr>
          <w:rFonts w:ascii="Times New Roman" w:hAnsi="Times New Roman" w:cs="Times New Roman"/>
          <w:sz w:val="20"/>
          <w:szCs w:val="20"/>
        </w:rPr>
        <w:t>(4) pp. 680–715.</w:t>
      </w:r>
    </w:p>
    <w:p w14:paraId="57B085CC"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bookmarkStart w:id="17" w:name="_Hlk23746127"/>
      <w:r>
        <w:rPr>
          <w:rFonts w:ascii="Times New Roman" w:eastAsia="Times New Roman" w:hAnsi="Times New Roman" w:cs="Times New Roman"/>
          <w:sz w:val="20"/>
          <w:szCs w:val="20"/>
          <w:lang w:eastAsia="en-GB"/>
        </w:rPr>
        <w:t>Rodier</w:t>
      </w:r>
      <w:bookmarkEnd w:id="17"/>
      <w:r>
        <w:rPr>
          <w:rFonts w:ascii="Times New Roman" w:eastAsia="Times New Roman" w:hAnsi="Times New Roman" w:cs="Times New Roman"/>
          <w:sz w:val="20"/>
          <w:szCs w:val="20"/>
          <w:lang w:eastAsia="en-GB"/>
        </w:rPr>
        <w:t xml:space="preserve"> M, Berthonneau J, Bourgoin A, Giraudeau G, Agius G, Burucoa C, Hekpazo A, Jacquemin J. Seroprevalences of Toxoplasma, malaria, rubella, cytomegalovirus, HIV and treponema</w:t>
      </w:r>
      <w:r>
        <w:rPr>
          <w:rFonts w:ascii="Times New Roman" w:eastAsia="Times New Roman" w:hAnsi="Times New Roman" w:cs="Times New Roman"/>
          <w:sz w:val="20"/>
          <w:szCs w:val="20"/>
          <w:lang w:eastAsia="en-GB"/>
        </w:rPr>
        <w:t>l infections among pregnant women in Cotonou, Republic of Benin. Acta Trop. 1995;59(4):271–7.</w:t>
      </w:r>
    </w:p>
    <w:p w14:paraId="2A09D0CE"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Safabakhsh H, Tehranian F, Tehranian B, Hatami H, Karimi G, Shahabi M. Prevalence of anti-CMV antibodies in blood donors in Mashhad, Iran. IRJE. 2013;9:52-7  </w:t>
      </w:r>
    </w:p>
    <w:p w14:paraId="559C45AD" w14:textId="77777777" w:rsidR="003A16BE" w:rsidRDefault="0017494B">
      <w:pPr>
        <w:pStyle w:val="NoSpacing"/>
        <w:numPr>
          <w:ilvl w:val="0"/>
          <w:numId w:val="1"/>
        </w:numPr>
        <w:snapToGrid w:val="0"/>
        <w:ind w:left="363" w:hanging="363"/>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Sal</w:t>
      </w:r>
      <w:r>
        <w:rPr>
          <w:rStyle w:val="element-citation"/>
          <w:rFonts w:ascii="Times New Roman" w:hAnsi="Times New Roman" w:cs="Times New Roman"/>
          <w:sz w:val="20"/>
          <w:szCs w:val="20"/>
        </w:rPr>
        <w:t>dana A, Forner G, Mengoli C, Gussetti N, Palu G, Abate D. Testing for Cytomegalovirus in Pregnancy. </w:t>
      </w:r>
      <w:r>
        <w:rPr>
          <w:rStyle w:val="ref-journal"/>
          <w:rFonts w:ascii="Times New Roman" w:hAnsi="Times New Roman" w:cs="Times New Roman"/>
          <w:sz w:val="20"/>
          <w:szCs w:val="20"/>
        </w:rPr>
        <w:t>J Clin Microbiol. </w:t>
      </w:r>
      <w:r>
        <w:rPr>
          <w:rStyle w:val="element-citation"/>
          <w:rFonts w:ascii="Times New Roman" w:hAnsi="Times New Roman" w:cs="Times New Roman"/>
          <w:sz w:val="20"/>
          <w:szCs w:val="20"/>
        </w:rPr>
        <w:t>2017;</w:t>
      </w:r>
      <w:r>
        <w:rPr>
          <w:rStyle w:val="ref-vol"/>
          <w:rFonts w:ascii="Times New Roman" w:hAnsi="Times New Roman" w:cs="Times New Roman"/>
          <w:sz w:val="20"/>
          <w:szCs w:val="20"/>
        </w:rPr>
        <w:t>55</w:t>
      </w:r>
      <w:r>
        <w:rPr>
          <w:rStyle w:val="element-citation"/>
          <w:rFonts w:ascii="Times New Roman" w:hAnsi="Times New Roman" w:cs="Times New Roman"/>
          <w:sz w:val="20"/>
          <w:szCs w:val="20"/>
        </w:rPr>
        <w:t xml:space="preserve">(3):693–702. </w:t>
      </w:r>
    </w:p>
    <w:p w14:paraId="6729EBB1" w14:textId="77777777" w:rsidR="003A16BE" w:rsidRDefault="0017494B">
      <w:pPr>
        <w:pStyle w:val="NoSpacing"/>
        <w:numPr>
          <w:ilvl w:val="0"/>
          <w:numId w:val="1"/>
        </w:numPr>
        <w:snapToGrid w:val="0"/>
        <w:ind w:left="363" w:hanging="363"/>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Shigemi D, Yamaguchi S, Otsuka T, Kamoi S, Takeshita T. Seroprevalence of cytomegalovirus IgM antibodies among pregna</w:t>
      </w:r>
      <w:r>
        <w:rPr>
          <w:rStyle w:val="element-citation"/>
          <w:rFonts w:ascii="Times New Roman" w:hAnsi="Times New Roman" w:cs="Times New Roman"/>
          <w:sz w:val="20"/>
          <w:szCs w:val="20"/>
        </w:rPr>
        <w:t>nt women in Japan from 2009-2014. </w:t>
      </w:r>
      <w:r>
        <w:rPr>
          <w:rStyle w:val="ref-journal"/>
          <w:rFonts w:ascii="Times New Roman" w:hAnsi="Times New Roman" w:cs="Times New Roman"/>
          <w:sz w:val="20"/>
          <w:szCs w:val="20"/>
        </w:rPr>
        <w:t>Am J Infect Control. </w:t>
      </w:r>
      <w:r>
        <w:rPr>
          <w:rStyle w:val="element-citation"/>
          <w:rFonts w:ascii="Times New Roman" w:hAnsi="Times New Roman" w:cs="Times New Roman"/>
          <w:sz w:val="20"/>
          <w:szCs w:val="20"/>
        </w:rPr>
        <w:t>2015;</w:t>
      </w:r>
      <w:r>
        <w:rPr>
          <w:rStyle w:val="ref-vol"/>
          <w:rFonts w:ascii="Times New Roman" w:hAnsi="Times New Roman" w:cs="Times New Roman"/>
          <w:sz w:val="20"/>
          <w:szCs w:val="20"/>
        </w:rPr>
        <w:t>43</w:t>
      </w:r>
      <w:r>
        <w:rPr>
          <w:rStyle w:val="element-citation"/>
          <w:rFonts w:ascii="Times New Roman" w:hAnsi="Times New Roman" w:cs="Times New Roman"/>
          <w:sz w:val="20"/>
          <w:szCs w:val="20"/>
        </w:rPr>
        <w:t xml:space="preserve">(11):1218–1221. </w:t>
      </w:r>
    </w:p>
    <w:p w14:paraId="4E43CA14" w14:textId="4F3D5927" w:rsidR="003A16BE" w:rsidRDefault="0017494B">
      <w:pPr>
        <w:numPr>
          <w:ilvl w:val="0"/>
          <w:numId w:val="1"/>
        </w:numPr>
        <w:snapToGrid w:val="0"/>
        <w:spacing w:after="0" w:line="240" w:lineRule="auto"/>
        <w:ind w:left="363" w:hanging="363"/>
        <w:jc w:val="both"/>
        <w:rPr>
          <w:rFonts w:ascii="Times New Roman" w:hAnsi="Times New Roman" w:cs="Times New Roman"/>
          <w:sz w:val="20"/>
          <w:szCs w:val="20"/>
        </w:rPr>
      </w:pPr>
      <w:r>
        <w:rPr>
          <w:rStyle w:val="element-citation"/>
          <w:rFonts w:ascii="Times New Roman" w:hAnsi="Times New Roman" w:cs="Times New Roman"/>
          <w:sz w:val="20"/>
          <w:szCs w:val="20"/>
        </w:rPr>
        <w:t>Shigemi D, Yamaguchi S, Otsuka T, Kamoi S, Takeshita T. Seroprevalence of cytomegalovirus IgG antibodies among pregnant women in Japan from 2009-2014. </w:t>
      </w:r>
      <w:r>
        <w:rPr>
          <w:rStyle w:val="ref-journal"/>
          <w:rFonts w:ascii="Times New Roman" w:hAnsi="Times New Roman" w:cs="Times New Roman"/>
          <w:sz w:val="20"/>
          <w:szCs w:val="20"/>
        </w:rPr>
        <w:t xml:space="preserve">Am J Infect </w:t>
      </w:r>
      <w:r>
        <w:rPr>
          <w:rStyle w:val="ref-journal"/>
          <w:rFonts w:ascii="Times New Roman" w:hAnsi="Times New Roman" w:cs="Times New Roman"/>
          <w:sz w:val="20"/>
          <w:szCs w:val="20"/>
        </w:rPr>
        <w:t>Control.</w:t>
      </w:r>
      <w:r w:rsidR="005F2AA2">
        <w:rPr>
          <w:rStyle w:val="ref-journal"/>
          <w:rFonts w:ascii="Times New Roman" w:hAnsi="Times New Roman" w:cs="Times New Roman"/>
          <w:sz w:val="20"/>
          <w:szCs w:val="20"/>
        </w:rPr>
        <w:t xml:space="preserve"> </w:t>
      </w:r>
      <w:r>
        <w:rPr>
          <w:rStyle w:val="element-citation"/>
          <w:rFonts w:ascii="Times New Roman" w:hAnsi="Times New Roman" w:cs="Times New Roman"/>
          <w:sz w:val="20"/>
          <w:szCs w:val="20"/>
        </w:rPr>
        <w:t>2015;</w:t>
      </w:r>
      <w:r>
        <w:rPr>
          <w:rStyle w:val="ref-vol"/>
          <w:rFonts w:ascii="Times New Roman" w:hAnsi="Times New Roman" w:cs="Times New Roman"/>
          <w:sz w:val="20"/>
          <w:szCs w:val="20"/>
        </w:rPr>
        <w:t>43</w:t>
      </w:r>
      <w:r>
        <w:rPr>
          <w:rStyle w:val="element-citation"/>
          <w:rFonts w:ascii="Times New Roman" w:hAnsi="Times New Roman" w:cs="Times New Roman"/>
          <w:sz w:val="20"/>
          <w:szCs w:val="20"/>
        </w:rPr>
        <w:t>(11):1218–1221.</w:t>
      </w:r>
    </w:p>
    <w:p w14:paraId="19AC46DF" w14:textId="77777777" w:rsidR="003A16BE" w:rsidRDefault="0017494B">
      <w:pPr>
        <w:pStyle w:val="NoSpacing"/>
        <w:numPr>
          <w:ilvl w:val="0"/>
          <w:numId w:val="1"/>
        </w:numPr>
        <w:snapToGrid w:val="0"/>
        <w:ind w:left="363" w:hanging="363"/>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Umeh EU, Onoja TO, Aguoru CU, Umeh JC (2015) Seroprevalence of Cytomegalovirus Antibodies in Pregnant Women, Benue State, Nigeria. J Infect Dis Ther 3:242. </w:t>
      </w:r>
    </w:p>
    <w:p w14:paraId="0127982E"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Wujcicka, W., Gaj, Z., Wilczynski, J., Sobala, W., Spiewak, E. and </w:t>
      </w:r>
      <w:r>
        <w:rPr>
          <w:rFonts w:ascii="Times New Roman" w:eastAsia="Times New Roman" w:hAnsi="Times New Roman" w:cs="Times New Roman"/>
          <w:sz w:val="20"/>
          <w:szCs w:val="20"/>
          <w:lang w:eastAsia="en-GB"/>
        </w:rPr>
        <w:t xml:space="preserve">Nowakowska, D. (2014). Impact of socio-economic risk factors on the </w:t>
      </w:r>
      <w:r>
        <w:rPr>
          <w:rFonts w:ascii="Times New Roman" w:eastAsia="Times New Roman" w:hAnsi="Times New Roman" w:cs="Times New Roman"/>
          <w:sz w:val="20"/>
          <w:szCs w:val="20"/>
          <w:lang w:eastAsia="en-GB"/>
        </w:rPr>
        <w:lastRenderedPageBreak/>
        <w:t>Seroprevalence of cytomegalovirus infections in a cohort of pregnant Polish women between 2010 and 2011.Eur J ClinMicrobiol Infect Dis. 2014; 33: 1951-1958.</w:t>
      </w:r>
    </w:p>
    <w:p w14:paraId="6705D4E8"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Yamamoto A, Castellucci R, Arag</w:t>
      </w:r>
      <w:r>
        <w:rPr>
          <w:rFonts w:ascii="Times New Roman" w:eastAsia="Times New Roman" w:hAnsi="Times New Roman" w:cs="Times New Roman"/>
          <w:sz w:val="20"/>
          <w:szCs w:val="20"/>
          <w:lang w:eastAsia="en-GB"/>
        </w:rPr>
        <w:t>on D, Mussi-Pinhata M. Early high CMV seroprevalence in pregnant women from a population with a high rate of congenital infection. Epidemiol Infect. 2013;141(10):2187–91.</w:t>
      </w:r>
    </w:p>
    <w:p w14:paraId="65C5AAF6"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bookmarkStart w:id="18" w:name="_Hlk23745737"/>
      <w:r>
        <w:rPr>
          <w:rFonts w:ascii="Times New Roman" w:eastAsia="Times New Roman" w:hAnsi="Times New Roman" w:cs="Times New Roman"/>
          <w:sz w:val="20"/>
          <w:szCs w:val="20"/>
          <w:lang w:eastAsia="en-GB"/>
        </w:rPr>
        <w:t xml:space="preserve">Yinon </w:t>
      </w:r>
      <w:bookmarkEnd w:id="18"/>
      <w:r>
        <w:rPr>
          <w:rFonts w:ascii="Times New Roman" w:eastAsia="Times New Roman" w:hAnsi="Times New Roman" w:cs="Times New Roman"/>
          <w:sz w:val="20"/>
          <w:szCs w:val="20"/>
          <w:lang w:eastAsia="en-GB"/>
        </w:rPr>
        <w:t xml:space="preserve">Y, Farine D, Yudin MH, Gagnon R, Hudon L, Basso M, Bos H, Delisle M-F, </w:t>
      </w:r>
      <w:r>
        <w:rPr>
          <w:rFonts w:ascii="Times New Roman" w:eastAsia="Times New Roman" w:hAnsi="Times New Roman" w:cs="Times New Roman"/>
          <w:sz w:val="20"/>
          <w:szCs w:val="20"/>
          <w:lang w:eastAsia="en-GB"/>
        </w:rPr>
        <w:t>Menticoglou S, Mundle W. Cytomegalovirus infection in pregnancy. J Obstet Gynaecol Canada. 2010;32(4):348–54.</w:t>
      </w:r>
    </w:p>
    <w:p w14:paraId="6B3C8D23"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Zales B, Pourmand D, Desfolimanesh Z, Ghaderi O. Cytomegalovirus seroepidemiology in pregnant women presented to the Central Laboratory of Kermans</w:t>
      </w:r>
      <w:r>
        <w:rPr>
          <w:rFonts w:ascii="Times New Roman" w:eastAsia="Times New Roman" w:hAnsi="Times New Roman" w:cs="Times New Roman"/>
          <w:sz w:val="20"/>
          <w:szCs w:val="20"/>
          <w:lang w:eastAsia="en-GB"/>
        </w:rPr>
        <w:t>hah, Iran in 2014. Ann Trop Med Public Health 2017;10:826-30</w:t>
      </w:r>
    </w:p>
    <w:p w14:paraId="0CFF5587" w14:textId="77777777" w:rsidR="003A16BE" w:rsidRDefault="0017494B">
      <w:pPr>
        <w:pStyle w:val="NoSpacing"/>
        <w:numPr>
          <w:ilvl w:val="0"/>
          <w:numId w:val="1"/>
        </w:numPr>
        <w:snapToGrid w:val="0"/>
        <w:ind w:left="363" w:hanging="363"/>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Zamora MR. DNA viruses (CMV, EBV, and the herpesviruses) </w:t>
      </w:r>
      <w:r>
        <w:rPr>
          <w:rStyle w:val="ref-journal"/>
          <w:rFonts w:ascii="Times New Roman" w:hAnsi="Times New Roman" w:cs="Times New Roman"/>
          <w:sz w:val="20"/>
          <w:szCs w:val="20"/>
        </w:rPr>
        <w:t>Semin Respir Crit Care Med. </w:t>
      </w:r>
      <w:r>
        <w:rPr>
          <w:rStyle w:val="element-citation"/>
          <w:rFonts w:ascii="Times New Roman" w:hAnsi="Times New Roman" w:cs="Times New Roman"/>
          <w:sz w:val="20"/>
          <w:szCs w:val="20"/>
        </w:rPr>
        <w:t>2011;</w:t>
      </w:r>
      <w:r>
        <w:rPr>
          <w:rStyle w:val="ref-vol"/>
          <w:rFonts w:ascii="Times New Roman" w:hAnsi="Times New Roman" w:cs="Times New Roman"/>
          <w:sz w:val="20"/>
          <w:szCs w:val="20"/>
        </w:rPr>
        <w:t>32</w:t>
      </w:r>
      <w:r>
        <w:rPr>
          <w:rStyle w:val="element-citation"/>
          <w:rFonts w:ascii="Times New Roman" w:hAnsi="Times New Roman" w:cs="Times New Roman"/>
          <w:sz w:val="20"/>
          <w:szCs w:val="20"/>
        </w:rPr>
        <w:t xml:space="preserve">(4):454–470. </w:t>
      </w:r>
    </w:p>
    <w:p w14:paraId="3A80DF67" w14:textId="77777777" w:rsidR="003A16BE" w:rsidRDefault="0017494B">
      <w:pPr>
        <w:pStyle w:val="NoSpacing"/>
        <w:numPr>
          <w:ilvl w:val="0"/>
          <w:numId w:val="1"/>
        </w:numPr>
        <w:snapToGrid w:val="0"/>
        <w:ind w:left="363" w:hanging="363"/>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Ziapour A, Khatony A, Jafari F, Kianipour N. Patient satisfaction with medical services p</w:t>
      </w:r>
      <w:r>
        <w:rPr>
          <w:rFonts w:ascii="Times New Roman" w:eastAsia="Times New Roman" w:hAnsi="Times New Roman" w:cs="Times New Roman"/>
          <w:sz w:val="20"/>
          <w:szCs w:val="20"/>
          <w:lang w:eastAsia="en-GB"/>
        </w:rPr>
        <w:t>rovided by a hospital in Kermanshah-Iran. Acta Med Mediterranea 2016;32:959-65</w:t>
      </w:r>
    </w:p>
    <w:p w14:paraId="7D075791" w14:textId="77777777" w:rsidR="003A16BE" w:rsidRDefault="003A16BE">
      <w:pPr>
        <w:tabs>
          <w:tab w:val="left" w:pos="720"/>
          <w:tab w:val="left" w:pos="990"/>
        </w:tabs>
        <w:snapToGrid w:val="0"/>
        <w:spacing w:after="0" w:line="240" w:lineRule="auto"/>
        <w:jc w:val="both"/>
        <w:rPr>
          <w:rFonts w:ascii="Times New Roman" w:eastAsia="Times New Roman" w:hAnsi="Times New Roman" w:cs="Times New Roman"/>
          <w:b/>
          <w:sz w:val="20"/>
          <w:szCs w:val="20"/>
        </w:rPr>
      </w:pPr>
    </w:p>
    <w:p w14:paraId="1DB75E1F" w14:textId="77777777" w:rsidR="003A16BE" w:rsidRDefault="003A16BE">
      <w:pPr>
        <w:tabs>
          <w:tab w:val="left" w:pos="720"/>
          <w:tab w:val="left" w:pos="990"/>
        </w:tabs>
        <w:snapToGrid w:val="0"/>
        <w:spacing w:after="0" w:line="240" w:lineRule="auto"/>
        <w:jc w:val="both"/>
        <w:rPr>
          <w:rFonts w:ascii="Times New Roman" w:eastAsia="Times New Roman" w:hAnsi="Times New Roman" w:cs="Times New Roman"/>
          <w:b/>
          <w:sz w:val="20"/>
          <w:szCs w:val="20"/>
        </w:rPr>
      </w:pPr>
    </w:p>
    <w:p w14:paraId="1EA29C43" w14:textId="77777777" w:rsidR="003A16BE" w:rsidRDefault="0017494B">
      <w:pPr>
        <w:tabs>
          <w:tab w:val="left" w:pos="720"/>
          <w:tab w:val="left" w:pos="990"/>
        </w:tabs>
        <w:snapToGrid w:val="0"/>
        <w:spacing w:after="0" w:line="240" w:lineRule="auto"/>
        <w:jc w:val="right"/>
        <w:rPr>
          <w:rFonts w:ascii="Times New Roman" w:eastAsia="Times New Roman" w:hAnsi="Times New Roman" w:cs="Times New Roman"/>
          <w:b/>
          <w:sz w:val="20"/>
          <w:szCs w:val="20"/>
        </w:rPr>
      </w:pPr>
      <w:r>
        <w:rPr>
          <w:rFonts w:ascii="Times New Roman" w:hAnsi="Times New Roman" w:cs="Times New Roman"/>
          <w:sz w:val="20"/>
          <w:szCs w:val="20"/>
        </w:rPr>
        <w:t>10/11/2022</w:t>
      </w:r>
    </w:p>
    <w:p w14:paraId="5F517760" w14:textId="77777777" w:rsidR="003A16BE" w:rsidRDefault="003A16BE">
      <w:pPr>
        <w:tabs>
          <w:tab w:val="left" w:pos="720"/>
          <w:tab w:val="left" w:pos="990"/>
        </w:tabs>
        <w:snapToGrid w:val="0"/>
        <w:spacing w:after="0" w:line="240" w:lineRule="auto"/>
        <w:ind w:left="450" w:hanging="360"/>
        <w:jc w:val="both"/>
        <w:rPr>
          <w:rFonts w:ascii="Times New Roman" w:eastAsia="Times New Roman" w:hAnsi="Times New Roman" w:cs="Times New Roman"/>
          <w:b/>
          <w:sz w:val="20"/>
          <w:szCs w:val="20"/>
        </w:rPr>
      </w:pPr>
    </w:p>
    <w:sectPr w:rsidR="003A16BE">
      <w:type w:val="continuous"/>
      <w:pgSz w:w="12240" w:h="15839"/>
      <w:pgMar w:top="720" w:right="1152"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8E27" w14:textId="77777777" w:rsidR="0017494B" w:rsidRDefault="0017494B">
      <w:pPr>
        <w:spacing w:line="240" w:lineRule="auto"/>
      </w:pPr>
      <w:r>
        <w:separator/>
      </w:r>
    </w:p>
  </w:endnote>
  <w:endnote w:type="continuationSeparator" w:id="0">
    <w:p w14:paraId="7D1FD786" w14:textId="77777777" w:rsidR="0017494B" w:rsidRDefault="00174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45AC" w14:textId="77777777" w:rsidR="003A16BE" w:rsidRDefault="0017494B">
    <w:pPr>
      <w:jc w:val="center"/>
      <w:rPr>
        <w:rFonts w:ascii="Times New Roman" w:hAnsi="Times New Roman" w:cs="Times New Roman"/>
        <w:sz w:val="20"/>
        <w:szCs w:val="20"/>
      </w:rPr>
    </w:pPr>
    <w:r>
      <w:rPr>
        <w:noProof/>
      </w:rPr>
      <mc:AlternateContent>
        <mc:Choice Requires="wps">
          <w:drawing>
            <wp:anchor distT="0" distB="0" distL="114300" distR="114300" simplePos="0" relativeHeight="251660288" behindDoc="0" locked="0" layoutInCell="1" allowOverlap="1" wp14:anchorId="2276BAAD" wp14:editId="3FE43D57">
              <wp:simplePos x="0" y="0"/>
              <wp:positionH relativeFrom="margin">
                <wp:posOffset>3015615</wp:posOffset>
              </wp:positionH>
              <wp:positionV relativeFrom="paragraph">
                <wp:posOffset>20955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FC8731" w14:textId="77777777" w:rsidR="003A16BE" w:rsidRDefault="0017494B">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237.45pt;margin-top:1.65pt;height:144pt;width:144pt;mso-position-horizontal-relative:margin;mso-wrap-style:none;z-index:251660288;mso-width-relative:page;mso-height-relative:page;" filled="f" stroked="f" coordsize="21600,21600" o:gfxdata="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GgjfS/WAAAACQEAAA8AAAAAAAAAAQAgAAAAIgAAAGRycy9kb3ducmV2LnhtbFBL&#10;AQIUABQAAAAIAIdO4kBfyKa93AIAACQGAAAOAAAAAAAAAAEAIAAAACUBAABkcnMvZTJvRG9jLnht&#10;bFBLBQYAAAAABgAGAFkBAABzBgAAAAA=&#10;">
              <v:fill on="f" focussize="0,0"/>
              <v:stroke on="f" weight="0.5pt"/>
              <v:imagedata o:title=""/>
              <o:lock v:ext="edit" aspectratio="f"/>
              <v:textbox inset="0mm,0mm,0mm,0mm" style="mso-fit-shape-to-text:t;">
                <w:txbxContent>
                  <w:p>
                    <w:pPr>
                      <w:pStyle w:val="5"/>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10</w:t>
                    </w:r>
                    <w:r>
                      <w:rPr>
                        <w:rFonts w:hint="default" w:ascii="Times New Roman" w:hAnsi="Times New Roman" w:cs="Times New Roman"/>
                        <w:sz w:val="20"/>
                        <w:szCs w:val="20"/>
                      </w:rPr>
                      <w:fldChar w:fldCharType="end"/>
                    </w:r>
                  </w:p>
                </w:txbxContent>
              </v:textbox>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76C2" w14:textId="77777777" w:rsidR="003A16BE" w:rsidRDefault="0017494B">
    <w:pPr>
      <w:pStyle w:val="Footer"/>
      <w:ind w:firstLineChars="200" w:firstLine="44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202E1D08" wp14:editId="241C74C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8CAF6" w14:textId="77777777" w:rsidR="003A16BE" w:rsidRDefault="0017494B">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CAC7" w14:textId="77777777" w:rsidR="0017494B" w:rsidRDefault="0017494B">
      <w:pPr>
        <w:spacing w:after="0"/>
      </w:pPr>
      <w:r>
        <w:separator/>
      </w:r>
    </w:p>
  </w:footnote>
  <w:footnote w:type="continuationSeparator" w:id="0">
    <w:p w14:paraId="3EBB4143" w14:textId="77777777" w:rsidR="0017494B" w:rsidRDefault="001749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A9C6" w14:textId="77777777" w:rsidR="003A16BE" w:rsidRDefault="0017494B">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10</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2EDF02AC" w14:textId="77777777" w:rsidR="003A16BE" w:rsidRDefault="003A1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9B3E" w14:textId="77777777" w:rsidR="003A16BE" w:rsidRDefault="0017494B">
    <w:pPr>
      <w:pStyle w:val="Header"/>
    </w:pPr>
    <w:r>
      <w:rPr>
        <w:rFonts w:ascii="Times New Roman" w:hAnsi="Times New Roman"/>
        <w:b/>
        <w:bCs/>
        <w:noProof/>
        <w:sz w:val="20"/>
        <w:szCs w:val="20"/>
        <w:lang w:eastAsia="zh-CN"/>
      </w:rPr>
      <w:drawing>
        <wp:inline distT="0" distB="0" distL="114300" distR="114300" wp14:anchorId="3211F8D1" wp14:editId="768324F7">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7DE1FE"/>
    <w:multiLevelType w:val="multilevel"/>
    <w:tmpl w:val="C17DE1FE"/>
    <w:lvl w:ilvl="0">
      <w:start w:val="1"/>
      <w:numFmt w:val="decimal"/>
      <w:lvlText w:val="[%1]."/>
      <w:lvlJc w:val="left"/>
      <w:pPr>
        <w:tabs>
          <w:tab w:val="left" w:pos="720"/>
        </w:tabs>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0NDcysrS0MDE0MTFU0lEKTi0uzszPAymwqAUAgj+ZxiwAAAA="/>
    <w:docVar w:name="commondata" w:val="eyJoZGlkIjoiYTdkYmE0MzY4NGFlMTBiZDlmNThmODdlODkwMTdiNjIifQ=="/>
  </w:docVars>
  <w:rsids>
    <w:rsidRoot w:val="00B12728"/>
    <w:rsid w:val="00000396"/>
    <w:rsid w:val="00002700"/>
    <w:rsid w:val="00013A6F"/>
    <w:rsid w:val="0001643F"/>
    <w:rsid w:val="000166E6"/>
    <w:rsid w:val="00017FC0"/>
    <w:rsid w:val="00022D3A"/>
    <w:rsid w:val="00022EE3"/>
    <w:rsid w:val="00033D7C"/>
    <w:rsid w:val="00034CDB"/>
    <w:rsid w:val="00044E57"/>
    <w:rsid w:val="00055FDA"/>
    <w:rsid w:val="0006245B"/>
    <w:rsid w:val="00063FB8"/>
    <w:rsid w:val="00064E40"/>
    <w:rsid w:val="00067D49"/>
    <w:rsid w:val="0007129A"/>
    <w:rsid w:val="00071A7D"/>
    <w:rsid w:val="00072A8D"/>
    <w:rsid w:val="00073E4E"/>
    <w:rsid w:val="000759CF"/>
    <w:rsid w:val="00076779"/>
    <w:rsid w:val="000862ED"/>
    <w:rsid w:val="000A4113"/>
    <w:rsid w:val="000D448F"/>
    <w:rsid w:val="000D4DDF"/>
    <w:rsid w:val="000E1FC1"/>
    <w:rsid w:val="000E34A2"/>
    <w:rsid w:val="000E4D97"/>
    <w:rsid w:val="000E64ED"/>
    <w:rsid w:val="000E6623"/>
    <w:rsid w:val="000E6A88"/>
    <w:rsid w:val="000E7043"/>
    <w:rsid w:val="000E7AD5"/>
    <w:rsid w:val="000F0719"/>
    <w:rsid w:val="000F1DCB"/>
    <w:rsid w:val="000F2A73"/>
    <w:rsid w:val="000F6851"/>
    <w:rsid w:val="001057BF"/>
    <w:rsid w:val="00107136"/>
    <w:rsid w:val="00107F92"/>
    <w:rsid w:val="00111C24"/>
    <w:rsid w:val="0012103D"/>
    <w:rsid w:val="0013232C"/>
    <w:rsid w:val="00133D02"/>
    <w:rsid w:val="00137538"/>
    <w:rsid w:val="0014389F"/>
    <w:rsid w:val="0014463D"/>
    <w:rsid w:val="001455AB"/>
    <w:rsid w:val="001531AB"/>
    <w:rsid w:val="001557B5"/>
    <w:rsid w:val="00171FA7"/>
    <w:rsid w:val="00173997"/>
    <w:rsid w:val="0017494B"/>
    <w:rsid w:val="00176FAB"/>
    <w:rsid w:val="00177BF3"/>
    <w:rsid w:val="0018256C"/>
    <w:rsid w:val="0018401D"/>
    <w:rsid w:val="00187E5D"/>
    <w:rsid w:val="001932ED"/>
    <w:rsid w:val="0019718D"/>
    <w:rsid w:val="00197DED"/>
    <w:rsid w:val="001A1487"/>
    <w:rsid w:val="001B7B49"/>
    <w:rsid w:val="001C1F5A"/>
    <w:rsid w:val="001D4423"/>
    <w:rsid w:val="001D6C77"/>
    <w:rsid w:val="001E0282"/>
    <w:rsid w:val="001E185F"/>
    <w:rsid w:val="001F02CC"/>
    <w:rsid w:val="001F5017"/>
    <w:rsid w:val="001F5AC0"/>
    <w:rsid w:val="001F6060"/>
    <w:rsid w:val="001F72E5"/>
    <w:rsid w:val="001F7D33"/>
    <w:rsid w:val="002065B2"/>
    <w:rsid w:val="00225B3A"/>
    <w:rsid w:val="0023262D"/>
    <w:rsid w:val="00235891"/>
    <w:rsid w:val="00241C41"/>
    <w:rsid w:val="0025235C"/>
    <w:rsid w:val="00256095"/>
    <w:rsid w:val="00257FB8"/>
    <w:rsid w:val="00262263"/>
    <w:rsid w:val="00265548"/>
    <w:rsid w:val="00265B40"/>
    <w:rsid w:val="00265C22"/>
    <w:rsid w:val="0028121E"/>
    <w:rsid w:val="00281DD4"/>
    <w:rsid w:val="002854AF"/>
    <w:rsid w:val="0029030C"/>
    <w:rsid w:val="00291897"/>
    <w:rsid w:val="002945BD"/>
    <w:rsid w:val="00294DB9"/>
    <w:rsid w:val="002978EA"/>
    <w:rsid w:val="002A52F9"/>
    <w:rsid w:val="002A6F5F"/>
    <w:rsid w:val="002B3221"/>
    <w:rsid w:val="002C6FC6"/>
    <w:rsid w:val="002D0FB0"/>
    <w:rsid w:val="002D181E"/>
    <w:rsid w:val="002D6434"/>
    <w:rsid w:val="002D64AD"/>
    <w:rsid w:val="002E751A"/>
    <w:rsid w:val="002F1651"/>
    <w:rsid w:val="002F7CA6"/>
    <w:rsid w:val="00304A42"/>
    <w:rsid w:val="00311EA2"/>
    <w:rsid w:val="003125F3"/>
    <w:rsid w:val="00314934"/>
    <w:rsid w:val="003226EF"/>
    <w:rsid w:val="00326636"/>
    <w:rsid w:val="00340FC3"/>
    <w:rsid w:val="003433DD"/>
    <w:rsid w:val="0034439D"/>
    <w:rsid w:val="00345CCF"/>
    <w:rsid w:val="00345DF8"/>
    <w:rsid w:val="00346B90"/>
    <w:rsid w:val="00353171"/>
    <w:rsid w:val="00354A3B"/>
    <w:rsid w:val="00354F00"/>
    <w:rsid w:val="00360FDD"/>
    <w:rsid w:val="00363B49"/>
    <w:rsid w:val="0036484E"/>
    <w:rsid w:val="003659CB"/>
    <w:rsid w:val="00366BC0"/>
    <w:rsid w:val="003736DD"/>
    <w:rsid w:val="00376F37"/>
    <w:rsid w:val="00381EC0"/>
    <w:rsid w:val="00387314"/>
    <w:rsid w:val="00390932"/>
    <w:rsid w:val="00391A45"/>
    <w:rsid w:val="00396BFB"/>
    <w:rsid w:val="0039756A"/>
    <w:rsid w:val="003A16BE"/>
    <w:rsid w:val="003A5568"/>
    <w:rsid w:val="003A6DFC"/>
    <w:rsid w:val="003A7AD9"/>
    <w:rsid w:val="003B2389"/>
    <w:rsid w:val="003B5F6D"/>
    <w:rsid w:val="003D4C3D"/>
    <w:rsid w:val="003D551A"/>
    <w:rsid w:val="003F04DF"/>
    <w:rsid w:val="00402B42"/>
    <w:rsid w:val="00417FD5"/>
    <w:rsid w:val="0042402F"/>
    <w:rsid w:val="00426765"/>
    <w:rsid w:val="00440EBA"/>
    <w:rsid w:val="0045221D"/>
    <w:rsid w:val="004739B8"/>
    <w:rsid w:val="0047739E"/>
    <w:rsid w:val="0048725D"/>
    <w:rsid w:val="004A2739"/>
    <w:rsid w:val="004A2B7F"/>
    <w:rsid w:val="004A39D8"/>
    <w:rsid w:val="004A4919"/>
    <w:rsid w:val="004A5179"/>
    <w:rsid w:val="004A78CA"/>
    <w:rsid w:val="004B41C8"/>
    <w:rsid w:val="004B783E"/>
    <w:rsid w:val="004D1D46"/>
    <w:rsid w:val="004D2A25"/>
    <w:rsid w:val="004D42AF"/>
    <w:rsid w:val="004D44CE"/>
    <w:rsid w:val="004D6A2C"/>
    <w:rsid w:val="004D7177"/>
    <w:rsid w:val="004E0B90"/>
    <w:rsid w:val="004F05A5"/>
    <w:rsid w:val="004F2AF5"/>
    <w:rsid w:val="004F5DF9"/>
    <w:rsid w:val="00500A1D"/>
    <w:rsid w:val="005053D3"/>
    <w:rsid w:val="005061EF"/>
    <w:rsid w:val="005100A6"/>
    <w:rsid w:val="00512278"/>
    <w:rsid w:val="00517A2C"/>
    <w:rsid w:val="00520553"/>
    <w:rsid w:val="005247C2"/>
    <w:rsid w:val="00524B78"/>
    <w:rsid w:val="0053149C"/>
    <w:rsid w:val="0053332B"/>
    <w:rsid w:val="00537DB4"/>
    <w:rsid w:val="00542BF8"/>
    <w:rsid w:val="00542C52"/>
    <w:rsid w:val="00544152"/>
    <w:rsid w:val="00551935"/>
    <w:rsid w:val="00552A78"/>
    <w:rsid w:val="0056060E"/>
    <w:rsid w:val="005640E6"/>
    <w:rsid w:val="005670B3"/>
    <w:rsid w:val="00574CB5"/>
    <w:rsid w:val="00574ED4"/>
    <w:rsid w:val="00576745"/>
    <w:rsid w:val="005812A5"/>
    <w:rsid w:val="00581E75"/>
    <w:rsid w:val="0058588D"/>
    <w:rsid w:val="00593383"/>
    <w:rsid w:val="005975FB"/>
    <w:rsid w:val="00597971"/>
    <w:rsid w:val="005A0D83"/>
    <w:rsid w:val="005A4042"/>
    <w:rsid w:val="005A6DFE"/>
    <w:rsid w:val="005B47A7"/>
    <w:rsid w:val="005B61D1"/>
    <w:rsid w:val="005C39FC"/>
    <w:rsid w:val="005D168E"/>
    <w:rsid w:val="005D3282"/>
    <w:rsid w:val="005D3AC0"/>
    <w:rsid w:val="005E6D0D"/>
    <w:rsid w:val="005F15D1"/>
    <w:rsid w:val="005F2AA2"/>
    <w:rsid w:val="005F428E"/>
    <w:rsid w:val="0060031D"/>
    <w:rsid w:val="00600DD3"/>
    <w:rsid w:val="0060512D"/>
    <w:rsid w:val="00611577"/>
    <w:rsid w:val="006159A6"/>
    <w:rsid w:val="00620E58"/>
    <w:rsid w:val="00625B70"/>
    <w:rsid w:val="006315AA"/>
    <w:rsid w:val="00637DCD"/>
    <w:rsid w:val="0064769C"/>
    <w:rsid w:val="0065251B"/>
    <w:rsid w:val="00661FA6"/>
    <w:rsid w:val="00665016"/>
    <w:rsid w:val="00672268"/>
    <w:rsid w:val="00674034"/>
    <w:rsid w:val="00682158"/>
    <w:rsid w:val="006833D1"/>
    <w:rsid w:val="006922EF"/>
    <w:rsid w:val="00695F10"/>
    <w:rsid w:val="006A544F"/>
    <w:rsid w:val="006B2A92"/>
    <w:rsid w:val="006B7D9E"/>
    <w:rsid w:val="006E31B3"/>
    <w:rsid w:val="00700300"/>
    <w:rsid w:val="00706987"/>
    <w:rsid w:val="00727242"/>
    <w:rsid w:val="00731992"/>
    <w:rsid w:val="00755F2E"/>
    <w:rsid w:val="00767D5A"/>
    <w:rsid w:val="0077652C"/>
    <w:rsid w:val="00783828"/>
    <w:rsid w:val="007918E5"/>
    <w:rsid w:val="007A1046"/>
    <w:rsid w:val="007A3F3B"/>
    <w:rsid w:val="007A6EAC"/>
    <w:rsid w:val="007B2CA8"/>
    <w:rsid w:val="007B52ED"/>
    <w:rsid w:val="007B67E9"/>
    <w:rsid w:val="007B7373"/>
    <w:rsid w:val="007D6D26"/>
    <w:rsid w:val="007D71AC"/>
    <w:rsid w:val="007E06ED"/>
    <w:rsid w:val="007E4918"/>
    <w:rsid w:val="007E5590"/>
    <w:rsid w:val="007E6EF6"/>
    <w:rsid w:val="007F4537"/>
    <w:rsid w:val="007F6E28"/>
    <w:rsid w:val="00801898"/>
    <w:rsid w:val="00803734"/>
    <w:rsid w:val="008106D5"/>
    <w:rsid w:val="0081373F"/>
    <w:rsid w:val="008202F1"/>
    <w:rsid w:val="00831088"/>
    <w:rsid w:val="0083377B"/>
    <w:rsid w:val="00837AD6"/>
    <w:rsid w:val="00837FB6"/>
    <w:rsid w:val="00845D46"/>
    <w:rsid w:val="008636BE"/>
    <w:rsid w:val="00864A6F"/>
    <w:rsid w:val="00872A9A"/>
    <w:rsid w:val="008905A4"/>
    <w:rsid w:val="00890717"/>
    <w:rsid w:val="00892074"/>
    <w:rsid w:val="0089300D"/>
    <w:rsid w:val="00895F30"/>
    <w:rsid w:val="008A18A8"/>
    <w:rsid w:val="008A28E1"/>
    <w:rsid w:val="008A29EB"/>
    <w:rsid w:val="008B35BC"/>
    <w:rsid w:val="008B3709"/>
    <w:rsid w:val="008B5718"/>
    <w:rsid w:val="008B6729"/>
    <w:rsid w:val="008B7F79"/>
    <w:rsid w:val="008C1C04"/>
    <w:rsid w:val="008C1F54"/>
    <w:rsid w:val="008C2FC6"/>
    <w:rsid w:val="008C65F2"/>
    <w:rsid w:val="008C7AC0"/>
    <w:rsid w:val="008D28A6"/>
    <w:rsid w:val="008D317A"/>
    <w:rsid w:val="008D39F1"/>
    <w:rsid w:val="008D7125"/>
    <w:rsid w:val="008E3E45"/>
    <w:rsid w:val="008F2E10"/>
    <w:rsid w:val="008F4DB3"/>
    <w:rsid w:val="008F6044"/>
    <w:rsid w:val="009015A6"/>
    <w:rsid w:val="00901E2A"/>
    <w:rsid w:val="00907BB6"/>
    <w:rsid w:val="009104B8"/>
    <w:rsid w:val="00915216"/>
    <w:rsid w:val="0091540F"/>
    <w:rsid w:val="009165AB"/>
    <w:rsid w:val="009167DC"/>
    <w:rsid w:val="009178BB"/>
    <w:rsid w:val="0092410C"/>
    <w:rsid w:val="009311D6"/>
    <w:rsid w:val="00934450"/>
    <w:rsid w:val="00935BBD"/>
    <w:rsid w:val="00937B99"/>
    <w:rsid w:val="0094615E"/>
    <w:rsid w:val="009474B3"/>
    <w:rsid w:val="0095240E"/>
    <w:rsid w:val="00960DDC"/>
    <w:rsid w:val="009625F8"/>
    <w:rsid w:val="00966556"/>
    <w:rsid w:val="0096672F"/>
    <w:rsid w:val="00966CC9"/>
    <w:rsid w:val="0098023E"/>
    <w:rsid w:val="0098307C"/>
    <w:rsid w:val="00987945"/>
    <w:rsid w:val="00987FF8"/>
    <w:rsid w:val="009923E0"/>
    <w:rsid w:val="009A41C1"/>
    <w:rsid w:val="009B1DB0"/>
    <w:rsid w:val="009B7E53"/>
    <w:rsid w:val="009C09EB"/>
    <w:rsid w:val="009D0344"/>
    <w:rsid w:val="009D225D"/>
    <w:rsid w:val="009E3791"/>
    <w:rsid w:val="009F362F"/>
    <w:rsid w:val="00A04EEC"/>
    <w:rsid w:val="00A0528E"/>
    <w:rsid w:val="00A1228B"/>
    <w:rsid w:val="00A12FB5"/>
    <w:rsid w:val="00A16B5F"/>
    <w:rsid w:val="00A16CC6"/>
    <w:rsid w:val="00A170B2"/>
    <w:rsid w:val="00A213FB"/>
    <w:rsid w:val="00A22BC6"/>
    <w:rsid w:val="00A26F4A"/>
    <w:rsid w:val="00A30FA5"/>
    <w:rsid w:val="00A40541"/>
    <w:rsid w:val="00A425DC"/>
    <w:rsid w:val="00A42E5D"/>
    <w:rsid w:val="00A43986"/>
    <w:rsid w:val="00A45BD3"/>
    <w:rsid w:val="00A66F6D"/>
    <w:rsid w:val="00A71AC5"/>
    <w:rsid w:val="00A75CF4"/>
    <w:rsid w:val="00A76FFC"/>
    <w:rsid w:val="00A83E04"/>
    <w:rsid w:val="00A85A94"/>
    <w:rsid w:val="00AA274E"/>
    <w:rsid w:val="00AA563D"/>
    <w:rsid w:val="00AA76C2"/>
    <w:rsid w:val="00AA77A2"/>
    <w:rsid w:val="00AB03FB"/>
    <w:rsid w:val="00AB17A4"/>
    <w:rsid w:val="00AC5DD6"/>
    <w:rsid w:val="00AC60E0"/>
    <w:rsid w:val="00AC72AB"/>
    <w:rsid w:val="00AE6850"/>
    <w:rsid w:val="00B03C3A"/>
    <w:rsid w:val="00B04888"/>
    <w:rsid w:val="00B12728"/>
    <w:rsid w:val="00B15931"/>
    <w:rsid w:val="00B15BA9"/>
    <w:rsid w:val="00B40641"/>
    <w:rsid w:val="00B40787"/>
    <w:rsid w:val="00B40E0B"/>
    <w:rsid w:val="00B42813"/>
    <w:rsid w:val="00B433BF"/>
    <w:rsid w:val="00B442C4"/>
    <w:rsid w:val="00B46009"/>
    <w:rsid w:val="00B46E9F"/>
    <w:rsid w:val="00B5071C"/>
    <w:rsid w:val="00B53BF4"/>
    <w:rsid w:val="00B54F9B"/>
    <w:rsid w:val="00B55935"/>
    <w:rsid w:val="00B605E4"/>
    <w:rsid w:val="00B62C20"/>
    <w:rsid w:val="00B702A7"/>
    <w:rsid w:val="00B76A8F"/>
    <w:rsid w:val="00B772B6"/>
    <w:rsid w:val="00B80E3E"/>
    <w:rsid w:val="00B84E01"/>
    <w:rsid w:val="00B91BCB"/>
    <w:rsid w:val="00BA6AB7"/>
    <w:rsid w:val="00BB28A2"/>
    <w:rsid w:val="00BB3B60"/>
    <w:rsid w:val="00BC0733"/>
    <w:rsid w:val="00BC291A"/>
    <w:rsid w:val="00BC56CF"/>
    <w:rsid w:val="00BC6386"/>
    <w:rsid w:val="00BD2B6B"/>
    <w:rsid w:val="00BD6C70"/>
    <w:rsid w:val="00BE5252"/>
    <w:rsid w:val="00BF2B58"/>
    <w:rsid w:val="00BF4ECA"/>
    <w:rsid w:val="00BF6669"/>
    <w:rsid w:val="00BF79C3"/>
    <w:rsid w:val="00C01DFE"/>
    <w:rsid w:val="00C03BA2"/>
    <w:rsid w:val="00C12FB3"/>
    <w:rsid w:val="00C21C77"/>
    <w:rsid w:val="00C23139"/>
    <w:rsid w:val="00C24006"/>
    <w:rsid w:val="00C31005"/>
    <w:rsid w:val="00C32AF0"/>
    <w:rsid w:val="00C34F1F"/>
    <w:rsid w:val="00C5081F"/>
    <w:rsid w:val="00C50B36"/>
    <w:rsid w:val="00C568E6"/>
    <w:rsid w:val="00C578FA"/>
    <w:rsid w:val="00C63A13"/>
    <w:rsid w:val="00C647FA"/>
    <w:rsid w:val="00C659CA"/>
    <w:rsid w:val="00C81E93"/>
    <w:rsid w:val="00C90F9E"/>
    <w:rsid w:val="00C93DBA"/>
    <w:rsid w:val="00CB069D"/>
    <w:rsid w:val="00CC012E"/>
    <w:rsid w:val="00CC206B"/>
    <w:rsid w:val="00CC72EA"/>
    <w:rsid w:val="00CD1804"/>
    <w:rsid w:val="00CD43AE"/>
    <w:rsid w:val="00CD707C"/>
    <w:rsid w:val="00CE6DB8"/>
    <w:rsid w:val="00CE79F8"/>
    <w:rsid w:val="00CF45C0"/>
    <w:rsid w:val="00CF7E4F"/>
    <w:rsid w:val="00D03759"/>
    <w:rsid w:val="00D0471D"/>
    <w:rsid w:val="00D21F60"/>
    <w:rsid w:val="00D22993"/>
    <w:rsid w:val="00D255A1"/>
    <w:rsid w:val="00D32D39"/>
    <w:rsid w:val="00D40F1E"/>
    <w:rsid w:val="00D44F98"/>
    <w:rsid w:val="00D456DF"/>
    <w:rsid w:val="00D53A61"/>
    <w:rsid w:val="00D618EE"/>
    <w:rsid w:val="00D65124"/>
    <w:rsid w:val="00D6727E"/>
    <w:rsid w:val="00D70244"/>
    <w:rsid w:val="00D73B39"/>
    <w:rsid w:val="00D829BA"/>
    <w:rsid w:val="00D8392E"/>
    <w:rsid w:val="00D84A90"/>
    <w:rsid w:val="00D92FF0"/>
    <w:rsid w:val="00D943DC"/>
    <w:rsid w:val="00D95F47"/>
    <w:rsid w:val="00D97032"/>
    <w:rsid w:val="00DA13F6"/>
    <w:rsid w:val="00DA1565"/>
    <w:rsid w:val="00DA2A3F"/>
    <w:rsid w:val="00DA43AA"/>
    <w:rsid w:val="00DA4CFA"/>
    <w:rsid w:val="00DA6E8C"/>
    <w:rsid w:val="00DB1DF4"/>
    <w:rsid w:val="00DB6130"/>
    <w:rsid w:val="00DB6253"/>
    <w:rsid w:val="00DC52A4"/>
    <w:rsid w:val="00DD5566"/>
    <w:rsid w:val="00DD5B37"/>
    <w:rsid w:val="00DD7C45"/>
    <w:rsid w:val="00DE09FB"/>
    <w:rsid w:val="00DE696F"/>
    <w:rsid w:val="00DF2332"/>
    <w:rsid w:val="00DF7FA5"/>
    <w:rsid w:val="00E0027F"/>
    <w:rsid w:val="00E065F7"/>
    <w:rsid w:val="00E070EB"/>
    <w:rsid w:val="00E16204"/>
    <w:rsid w:val="00E33B2E"/>
    <w:rsid w:val="00E34CB6"/>
    <w:rsid w:val="00E40446"/>
    <w:rsid w:val="00E4206C"/>
    <w:rsid w:val="00E455EF"/>
    <w:rsid w:val="00E52062"/>
    <w:rsid w:val="00E56E0E"/>
    <w:rsid w:val="00E61384"/>
    <w:rsid w:val="00E75D98"/>
    <w:rsid w:val="00E812D3"/>
    <w:rsid w:val="00E87274"/>
    <w:rsid w:val="00EA03DB"/>
    <w:rsid w:val="00EA332A"/>
    <w:rsid w:val="00EA44A1"/>
    <w:rsid w:val="00EA4ABA"/>
    <w:rsid w:val="00EA7841"/>
    <w:rsid w:val="00EB149F"/>
    <w:rsid w:val="00EB27F0"/>
    <w:rsid w:val="00EB6503"/>
    <w:rsid w:val="00EC0C87"/>
    <w:rsid w:val="00EC3BC9"/>
    <w:rsid w:val="00ED1CE8"/>
    <w:rsid w:val="00ED314D"/>
    <w:rsid w:val="00ED44AA"/>
    <w:rsid w:val="00EE2E95"/>
    <w:rsid w:val="00EE4146"/>
    <w:rsid w:val="00EE7B65"/>
    <w:rsid w:val="00EF13DC"/>
    <w:rsid w:val="00EF5968"/>
    <w:rsid w:val="00EF65DA"/>
    <w:rsid w:val="00F016DF"/>
    <w:rsid w:val="00F02AC4"/>
    <w:rsid w:val="00F03275"/>
    <w:rsid w:val="00F05F6B"/>
    <w:rsid w:val="00F10CE2"/>
    <w:rsid w:val="00F10E49"/>
    <w:rsid w:val="00F11115"/>
    <w:rsid w:val="00F15F46"/>
    <w:rsid w:val="00F232B8"/>
    <w:rsid w:val="00F274B5"/>
    <w:rsid w:val="00F33CA0"/>
    <w:rsid w:val="00F35B8E"/>
    <w:rsid w:val="00F41D73"/>
    <w:rsid w:val="00F52257"/>
    <w:rsid w:val="00F53256"/>
    <w:rsid w:val="00F6376C"/>
    <w:rsid w:val="00F65498"/>
    <w:rsid w:val="00F654CD"/>
    <w:rsid w:val="00F769B6"/>
    <w:rsid w:val="00F81019"/>
    <w:rsid w:val="00F902F6"/>
    <w:rsid w:val="00F96009"/>
    <w:rsid w:val="00FA02A8"/>
    <w:rsid w:val="00FA4515"/>
    <w:rsid w:val="00FB2C76"/>
    <w:rsid w:val="00FB2EBB"/>
    <w:rsid w:val="00FC3445"/>
    <w:rsid w:val="00FC7948"/>
    <w:rsid w:val="00FD616D"/>
    <w:rsid w:val="00FD6855"/>
    <w:rsid w:val="00FE0AA2"/>
    <w:rsid w:val="00FE40E8"/>
    <w:rsid w:val="00FE4470"/>
    <w:rsid w:val="00FE6DB0"/>
    <w:rsid w:val="00FF0D1C"/>
    <w:rsid w:val="00FF2213"/>
    <w:rsid w:val="00FF5B2B"/>
    <w:rsid w:val="38197B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0848"/>
  <w15:docId w15:val="{1545C796-F411-4398-8A26-2A254B62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after="180" w:line="240" w:lineRule="auto"/>
    </w:pPr>
    <w:rPr>
      <w:rFonts w:ascii="Times New Roman" w:eastAsia="Times New Roman" w:hAnsi="Times New Roman" w:cs="Times New Roman"/>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1"/>
    <w:unhideWhenUsed/>
    <w:qFormat/>
    <w:rPr>
      <w:color w:val="0000FF"/>
      <w:u w:val="single"/>
    </w:rPr>
  </w:style>
  <w:style w:type="character" w:customStyle="1" w:styleId="DefaultParagraphFont1">
    <w:name w:val="Default Paragraph Font1"/>
    <w:qFormat/>
  </w:style>
  <w:style w:type="character" w:styleId="HTMLCite">
    <w:name w:val="HTML Cite"/>
    <w:basedOn w:val="DefaultParagraphFont"/>
    <w:uiPriority w:val="99"/>
    <w:semiHidden/>
    <w:unhideWhenUsed/>
    <w:qFormat/>
    <w:rPr>
      <w:i/>
      <w:iCs/>
    </w:rPr>
  </w:style>
  <w:style w:type="paragraph" w:styleId="ListParagraph">
    <w:name w:val="List Paragraph"/>
    <w:basedOn w:val="Normal"/>
    <w:link w:val="ListParagraphChar"/>
    <w:uiPriority w:val="34"/>
    <w:qFormat/>
    <w:pPr>
      <w:ind w:left="720"/>
      <w:contextualSpacing/>
    </w:pPr>
  </w:style>
  <w:style w:type="character" w:customStyle="1" w:styleId="PlainTextChar">
    <w:name w:val="Plain Text Char"/>
    <w:basedOn w:val="DefaultParagraphFont"/>
    <w:link w:val="PlainText"/>
    <w:uiPriority w:val="99"/>
    <w:semiHidden/>
    <w:qFormat/>
    <w:rPr>
      <w:rFonts w:ascii="Consolas" w:hAnsi="Consolas" w:cs="Consolas"/>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small-caps1">
    <w:name w:val="small-caps1"/>
    <w:basedOn w:val="DefaultParagraphFont"/>
    <w:rPr>
      <w:smallCaps/>
      <w:spacing w:val="5"/>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itation">
    <w:name w:val="citation"/>
    <w:basedOn w:val="DefaultParagraphFont"/>
  </w:style>
  <w:style w:type="character" w:customStyle="1" w:styleId="cit-pub-date">
    <w:name w:val="cit-pub-date"/>
    <w:basedOn w:val="DefaultParagraphFont"/>
  </w:style>
  <w:style w:type="character" w:customStyle="1" w:styleId="cit-source">
    <w:name w:val="cit-source"/>
    <w:basedOn w:val="DefaultParagraphFont"/>
    <w:qFormat/>
  </w:style>
  <w:style w:type="character" w:customStyle="1" w:styleId="cit-vol">
    <w:name w:val="cit-vol"/>
    <w:basedOn w:val="DefaultParagraphFont"/>
    <w:qFormat/>
  </w:style>
  <w:style w:type="character" w:customStyle="1" w:styleId="cit-fpage">
    <w:name w:val="cit-fpage"/>
    <w:basedOn w:val="DefaultParagraphFont"/>
    <w:qFormat/>
  </w:style>
  <w:style w:type="paragraph" w:customStyle="1" w:styleId="xl63">
    <w:name w:val="xl63"/>
    <w:basedOn w:val="Normal"/>
    <w:qFormat/>
    <w:pPr>
      <w:pBdr>
        <w:top w:val="single" w:sz="4" w:space="0" w:color="808080"/>
        <w:left w:val="single" w:sz="4" w:space="0" w:color="808080"/>
        <w:bottom w:val="single" w:sz="4" w:space="0" w:color="808080"/>
        <w:right w:val="single" w:sz="4" w:space="0" w:color="808080"/>
      </w:pBdr>
      <w:shd w:val="clear" w:color="000000" w:fill="C0C0C0"/>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64">
    <w:name w:val="xl64"/>
    <w:basedOn w:val="Normal"/>
    <w:qFormat/>
    <w:pPr>
      <w:spacing w:before="100" w:beforeAutospacing="1" w:after="100" w:afterAutospacing="1" w:line="240" w:lineRule="auto"/>
      <w:textAlignment w:val="top"/>
    </w:pPr>
    <w:rPr>
      <w:rFonts w:ascii="Tahoma" w:eastAsia="Times New Roman" w:hAnsi="Tahoma" w:cs="Tahoma"/>
      <w:sz w:val="16"/>
      <w:szCs w:val="16"/>
    </w:rPr>
  </w:style>
  <w:style w:type="paragraph" w:customStyle="1" w:styleId="xl65">
    <w:name w:val="xl65"/>
    <w:basedOn w:val="Normal"/>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Tahoma" w:eastAsia="Times New Roman" w:hAnsi="Tahoma" w:cs="Tahoma"/>
      <w:sz w:val="16"/>
      <w:szCs w:val="16"/>
    </w:rPr>
  </w:style>
  <w:style w:type="paragraph" w:customStyle="1" w:styleId="xl66">
    <w:name w:val="xl66"/>
    <w:basedOn w:val="Normal"/>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67">
    <w:name w:val="xl67"/>
    <w:basedOn w:val="Normal"/>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Tahoma" w:eastAsia="Times New Roman" w:hAnsi="Tahoma" w:cs="Tahoma"/>
      <w:sz w:val="16"/>
      <w:szCs w:val="16"/>
    </w:rPr>
  </w:style>
  <w:style w:type="paragraph" w:customStyle="1" w:styleId="xl68">
    <w:name w:val="xl68"/>
    <w:basedOn w:val="Normal"/>
    <w:pPr>
      <w:pBdr>
        <w:top w:val="single" w:sz="4" w:space="0" w:color="A9A9A9"/>
        <w:left w:val="single" w:sz="4" w:space="0" w:color="A9A9A9"/>
        <w:bottom w:val="single" w:sz="4" w:space="0" w:color="A9A9A9"/>
        <w:right w:val="single" w:sz="4" w:space="0" w:color="A9A9A9"/>
      </w:pBdr>
      <w:shd w:val="clear" w:color="000000" w:fill="DCDCDC"/>
      <w:spacing w:before="100" w:beforeAutospacing="1" w:after="100" w:afterAutospacing="1" w:line="240" w:lineRule="auto"/>
      <w:textAlignment w:val="top"/>
    </w:pPr>
    <w:rPr>
      <w:rFonts w:ascii="Tahoma" w:eastAsia="Times New Roman" w:hAnsi="Tahoma" w:cs="Tahoma"/>
      <w:sz w:val="16"/>
      <w:szCs w:val="16"/>
    </w:rPr>
  </w:style>
  <w:style w:type="paragraph" w:styleId="NoSpacing">
    <w:name w:val="No Spacing"/>
    <w:link w:val="NoSpacingChar"/>
    <w:uiPriority w:val="1"/>
    <w:qFormat/>
    <w:rPr>
      <w:sz w:val="22"/>
      <w:szCs w:val="22"/>
      <w:lang w:eastAsia="en-US"/>
    </w:rPr>
  </w:style>
  <w:style w:type="paragraph" w:customStyle="1" w:styleId="p">
    <w:name w:val="p"/>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val="en-GB" w:eastAsia="en-GB"/>
    </w:rPr>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paragraph" w:customStyle="1" w:styleId="thesis">
    <w:name w:val="thesis"/>
    <w:basedOn w:val="Normal"/>
    <w:link w:val="thesisChar"/>
    <w:qFormat/>
    <w:pPr>
      <w:spacing w:after="100" w:afterAutospacing="1" w:line="480" w:lineRule="auto"/>
      <w:jc w:val="both"/>
    </w:pPr>
    <w:rPr>
      <w:sz w:val="24"/>
      <w:szCs w:val="24"/>
    </w:rPr>
  </w:style>
  <w:style w:type="character" w:customStyle="1" w:styleId="thesisChar">
    <w:name w:val="thesis Char"/>
    <w:basedOn w:val="DefaultParagraphFont"/>
    <w:link w:val="thesis"/>
    <w:rPr>
      <w:sz w:val="24"/>
      <w:szCs w:val="24"/>
    </w:rPr>
  </w:style>
  <w:style w:type="table" w:customStyle="1" w:styleId="LightShading1">
    <w:name w:val="Light Shading1"/>
    <w:basedOn w:val="TableNormal"/>
    <w:uiPriority w:val="60"/>
    <w:qFormat/>
    <w:rPr>
      <w:color w:val="000000" w:themeColor="text1" w:themeShade="BF"/>
      <w:lang w:val="en-GB"/>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qFormat/>
  </w:style>
  <w:style w:type="table" w:customStyle="1" w:styleId="MediumShading11">
    <w:name w:val="Medium Shading 11"/>
    <w:basedOn w:val="TableNormal"/>
    <w:uiPriority w:val="63"/>
    <w:qFormat/>
    <w:rPr>
      <w:lang w:val="en-GB"/>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qFormat/>
    <w:rPr>
      <w:lang w:val="en-GB"/>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qFormat/>
    <w:rPr>
      <w:lang w:val="en-GB"/>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qFormat/>
    <w:rPr>
      <w:color w:val="000000" w:themeColor="text1" w:themeShade="BF"/>
      <w:lang w:val="en-GB"/>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qFormat/>
    <w:rPr>
      <w:color w:val="365F91" w:themeColor="accent1" w:themeShade="BF"/>
      <w:lang w:val="en-GB"/>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basedOn w:val="DefaultParagraphFont"/>
    <w:link w:val="NoSpacing"/>
    <w:uiPriority w:val="1"/>
    <w:qFormat/>
    <w:locked/>
  </w:style>
  <w:style w:type="paragraph" w:customStyle="1" w:styleId="NoSpacing1">
    <w:name w:val="No Spacing1"/>
    <w:uiPriority w:val="1"/>
    <w:qFormat/>
    <w:rPr>
      <w:rFonts w:ascii="Calibri" w:eastAsia="Calibri" w:hAnsi="Calibri" w:cs="Times New Roman"/>
      <w:sz w:val="22"/>
      <w:szCs w:val="22"/>
      <w:lang w:eastAsia="en-US"/>
    </w:rPr>
  </w:style>
  <w:style w:type="character" w:styleId="UnresolvedMention">
    <w:name w:val="Unresolved Mention"/>
    <w:basedOn w:val="DefaultParagraphFont"/>
    <w:uiPriority w:val="99"/>
    <w:semiHidden/>
    <w:unhideWhenUsed/>
    <w:rsid w:val="005F2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mcresnotes.biomedcentral.com/articles/10.1186/s13104-017-2813-4" TargetMode="External"/><Relationship Id="rId26" Type="http://schemas.openxmlformats.org/officeDocument/2006/relationships/hyperlink" Target="https://obgyn.onlinelibrary.wiley.com/action/doSearch?ContribAuthorStored=Scott%2C+Gillian+M" TargetMode="External"/><Relationship Id="rId3" Type="http://schemas.openxmlformats.org/officeDocument/2006/relationships/styles" Target="styles.xml"/><Relationship Id="rId21" Type="http://schemas.openxmlformats.org/officeDocument/2006/relationships/hyperlink" Target="https://bmcresnotes.biomedcentral.com/articles/10.1186/s13104-017-281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omicsonline.org/open-access/antiphospholipid-syndrome-factor-v-leiden-mutation-and-chronic-viralhepatitis-b-a-case-with-extremely-numerous-recurrent-miscarriage-2161-1149-1000148.php?aid=40997" TargetMode="External"/><Relationship Id="rId25" Type="http://schemas.openxmlformats.org/officeDocument/2006/relationships/hyperlink" Target="https://academic.oup.com/jid/advance-article/doi/10.1093/infdis/jiy322/5032599?searchresult=1" TargetMode="External"/><Relationship Id="rId33" Type="http://schemas.openxmlformats.org/officeDocument/2006/relationships/hyperlink" Target="https://obgyn.onlinelibrary.wiley.com/action/doSearch?ContribAuthorStored=Rawlinson%2C+William+D" TargetMode="External"/><Relationship Id="rId2" Type="http://schemas.openxmlformats.org/officeDocument/2006/relationships/numbering" Target="numbering.xml"/><Relationship Id="rId16" Type="http://schemas.openxmlformats.org/officeDocument/2006/relationships/hyperlink" Target="https://bmcresnotes.biomedcentral.com/articles/10.1186/s13104-017-2813-4" TargetMode="External"/><Relationship Id="rId20" Type="http://schemas.openxmlformats.org/officeDocument/2006/relationships/hyperlink" Target="https://bmcresnotes.biomedcentral.com/articles/10.1186/s13104-017-2813-4" TargetMode="External"/><Relationship Id="rId29" Type="http://schemas.openxmlformats.org/officeDocument/2006/relationships/hyperlink" Target="https://obgyn.onlinelibrary.wiley.com/action/doSearch?ContribAuthorStored=Zuylen%2C+Wendy+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cademic.oup.com/jid/advance-article/doi/10.1093/infdis/jiy321/5032598?searchresult=1" TargetMode="External"/><Relationship Id="rId32" Type="http://schemas.openxmlformats.org/officeDocument/2006/relationships/hyperlink" Target="https://obgyn.onlinelibrary.wiley.com/action/doSearch?ContribAuthorStored=Craig%2C+Maria+E" TargetMode="External"/><Relationship Id="rId5" Type="http://schemas.openxmlformats.org/officeDocument/2006/relationships/webSettings" Target="webSettings.xml"/><Relationship Id="rId15" Type="http://schemas.openxmlformats.org/officeDocument/2006/relationships/hyperlink" Target="https://bmcresnotes.biomedcentral.com/articles/10.1186/s13104-017-2813-4" TargetMode="External"/><Relationship Id="rId23" Type="http://schemas.openxmlformats.org/officeDocument/2006/relationships/hyperlink" Target="http://www.scielo.br/pdf/bjid/v16n4/v16n4a20.pdf" TargetMode="External"/><Relationship Id="rId28" Type="http://schemas.openxmlformats.org/officeDocument/2006/relationships/hyperlink" Target="https://obgyn.onlinelibrary.wiley.com/action/doSearch?ContribAuthorStored=Hamilton%2C+Stuart+T" TargetMode="External"/><Relationship Id="rId10" Type="http://schemas.openxmlformats.org/officeDocument/2006/relationships/header" Target="header1.xml"/><Relationship Id="rId19" Type="http://schemas.openxmlformats.org/officeDocument/2006/relationships/hyperlink" Target="https://bmcresnotes.biomedcentral.com/articles/10.1186/s13104-017-2813-4" TargetMode="External"/><Relationship Id="rId31" Type="http://schemas.openxmlformats.org/officeDocument/2006/relationships/hyperlink" Target="https://obgyn.onlinelibrary.wiley.com/action/doSearch?ContribAuthorStored=Hall%2C+Beverly" TargetMode="External"/><Relationship Id="rId4" Type="http://schemas.openxmlformats.org/officeDocument/2006/relationships/settings" Target="settings.xml"/><Relationship Id="rId9" Type="http://schemas.openxmlformats.org/officeDocument/2006/relationships/hyperlink" Target="http://www.dx.doi.org/10.7537/marsrsj141022.07" TargetMode="External"/><Relationship Id="rId14" Type="http://schemas.openxmlformats.org/officeDocument/2006/relationships/hyperlink" Target="https://bmcresnotes.biomedcentral.com/articles/10.1186/s13104-017-2813-4" TargetMode="External"/><Relationship Id="rId22" Type="http://schemas.openxmlformats.org/officeDocument/2006/relationships/hyperlink" Target="https://bmcresnotes.biomedcentral.com/" TargetMode="External"/><Relationship Id="rId27" Type="http://schemas.openxmlformats.org/officeDocument/2006/relationships/hyperlink" Target="https://obgyn.onlinelibrary.wiley.com/action/doSearch?ContribAuthorStored=Shand%2C+Antonia" TargetMode="External"/><Relationship Id="rId30" Type="http://schemas.openxmlformats.org/officeDocument/2006/relationships/hyperlink" Target="https://obgyn.onlinelibrary.wiley.com/action/doSearch?ContribAuthorStored=Basha%2C+James" TargetMode="External"/><Relationship Id="rId35" Type="http://schemas.openxmlformats.org/officeDocument/2006/relationships/theme" Target="theme/theme1.xml"/><Relationship Id="rId8" Type="http://schemas.openxmlformats.org/officeDocument/2006/relationships/hyperlink" Target="http://www.sciencepub.net/research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4514</Words>
  <Characters>25731</Characters>
  <Application>Microsoft Office Word</Application>
  <DocSecurity>0</DocSecurity>
  <Lines>214</Lines>
  <Paragraphs>60</Paragraphs>
  <ScaleCrop>false</ScaleCrop>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Rilrose</dc:creator>
  <cp:lastModifiedBy>17184045362</cp:lastModifiedBy>
  <cp:revision>4</cp:revision>
  <cp:lastPrinted>2014-05-14T19:46:00Z</cp:lastPrinted>
  <dcterms:created xsi:type="dcterms:W3CDTF">2022-10-01T04:13:00Z</dcterms:created>
  <dcterms:modified xsi:type="dcterms:W3CDTF">2022-11-17T23:47:00Z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5A15C3D6710E43B08E7FFE078C165FBB</vt:lpwstr>
  </property>
</Properties>
</file>