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2B30" w14:textId="77777777" w:rsidR="00F71505" w:rsidRDefault="00F71505">
      <w:pPr>
        <w:spacing w:after="0" w:line="240" w:lineRule="auto"/>
        <w:jc w:val="center"/>
        <w:rPr>
          <w:rFonts w:ascii="Times New Roman" w:hAnsi="Times New Roman" w:cs="Times New Roman"/>
          <w:b/>
          <w:bCs/>
          <w:sz w:val="20"/>
          <w:szCs w:val="20"/>
        </w:rPr>
      </w:pPr>
    </w:p>
    <w:p w14:paraId="2D978111" w14:textId="77777777" w:rsidR="00F71505" w:rsidRDefault="0059288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Analysis Article 32 of the constitution of India</w:t>
      </w:r>
    </w:p>
    <w:p w14:paraId="283F3E99" w14:textId="77777777" w:rsidR="00F71505" w:rsidRDefault="00F71505">
      <w:pPr>
        <w:spacing w:after="0" w:line="240" w:lineRule="auto"/>
        <w:jc w:val="center"/>
        <w:rPr>
          <w:rFonts w:ascii="Times New Roman" w:hAnsi="Times New Roman" w:cs="Times New Roman"/>
          <w:b/>
          <w:bCs/>
          <w:sz w:val="20"/>
          <w:szCs w:val="20"/>
        </w:rPr>
      </w:pPr>
    </w:p>
    <w:p w14:paraId="1D5129C2" w14:textId="77777777" w:rsidR="00F71505" w:rsidRDefault="005928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Ravi</w:t>
      </w:r>
    </w:p>
    <w:p w14:paraId="4DBBB777" w14:textId="77777777" w:rsidR="00F71505" w:rsidRDefault="00F71505">
      <w:pPr>
        <w:spacing w:after="0" w:line="240" w:lineRule="auto"/>
        <w:jc w:val="center"/>
        <w:rPr>
          <w:rFonts w:ascii="Times New Roman" w:hAnsi="Times New Roman" w:cs="Times New Roman"/>
          <w:sz w:val="20"/>
          <w:szCs w:val="20"/>
        </w:rPr>
      </w:pPr>
    </w:p>
    <w:p w14:paraId="357A2EB7" w14:textId="77777777" w:rsidR="00F71505" w:rsidRDefault="005928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 No. 1752/05, Bahadur Chand Colony, Karnal-132001, Haryana (India)</w:t>
      </w:r>
    </w:p>
    <w:p w14:paraId="2B5EFE32" w14:textId="77777777" w:rsidR="00F71505" w:rsidRDefault="0059288B">
      <w:pPr>
        <w:spacing w:after="0" w:line="240" w:lineRule="auto"/>
        <w:jc w:val="center"/>
        <w:rPr>
          <w:rStyle w:val="Hyperlink"/>
          <w:rFonts w:ascii="Times New Roman" w:hAnsi="Times New Roman" w:cs="Times New Roman"/>
          <w:color w:val="auto"/>
          <w:sz w:val="20"/>
          <w:szCs w:val="20"/>
          <w:u w:val="none"/>
        </w:rPr>
      </w:pPr>
      <w:r>
        <w:rPr>
          <w:rFonts w:ascii="Times New Roman" w:hAnsi="Times New Roman" w:cs="Times New Roman"/>
          <w:sz w:val="20"/>
          <w:szCs w:val="20"/>
        </w:rPr>
        <w:t xml:space="preserve">E-mail- </w:t>
      </w:r>
      <w:hyperlink r:id="rId9" w:history="1">
        <w:r>
          <w:rPr>
            <w:rStyle w:val="Hyperlink"/>
            <w:rFonts w:ascii="Times New Roman" w:hAnsi="Times New Roman" w:cs="Times New Roman"/>
            <w:color w:val="auto"/>
            <w:sz w:val="20"/>
            <w:szCs w:val="20"/>
            <w:u w:val="none"/>
          </w:rPr>
          <w:t>ravichand5019@gmail.com</w:t>
        </w:r>
      </w:hyperlink>
    </w:p>
    <w:p w14:paraId="764A843A" w14:textId="77777777" w:rsidR="00F71505" w:rsidRDefault="00F71505">
      <w:pPr>
        <w:spacing w:after="0" w:line="240" w:lineRule="auto"/>
        <w:jc w:val="center"/>
        <w:rPr>
          <w:rStyle w:val="Hyperlink"/>
          <w:rFonts w:ascii="Times New Roman" w:hAnsi="Times New Roman" w:cs="Times New Roman"/>
          <w:color w:val="auto"/>
          <w:sz w:val="20"/>
          <w:szCs w:val="20"/>
          <w:u w:val="none"/>
        </w:rPr>
      </w:pPr>
    </w:p>
    <w:p w14:paraId="23BF8A86" w14:textId="77777777" w:rsidR="00F71505" w:rsidRDefault="0059288B">
      <w:pPr>
        <w:pStyle w:val="NormalWeb"/>
        <w:shd w:val="clear" w:color="auto" w:fill="FFFFFF"/>
        <w:spacing w:before="0" w:beforeAutospacing="0" w:after="0" w:afterAutospacing="0"/>
        <w:jc w:val="both"/>
        <w:rPr>
          <w:sz w:val="20"/>
          <w:szCs w:val="20"/>
        </w:rPr>
      </w:pPr>
      <w:r>
        <w:rPr>
          <w:b/>
          <w:bCs/>
          <w:sz w:val="20"/>
          <w:szCs w:val="20"/>
        </w:rPr>
        <w:t>Abstract:</w:t>
      </w:r>
      <w:r>
        <w:rPr>
          <w:sz w:val="20"/>
          <w:szCs w:val="20"/>
        </w:rPr>
        <w:t xml:space="preserve"> Writs are prerogative remedies. Article 32 is itself a Fundamental Right and the Supreme Court’s jurisdiction under article 32 is mandatory by nature and not discretionary. </w:t>
      </w:r>
      <w:hyperlink r:id="rId10" w:tgtFrame="_blank" w:history="1">
        <w:r>
          <w:rPr>
            <w:rStyle w:val="Hyperlink"/>
            <w:color w:val="auto"/>
            <w:sz w:val="20"/>
            <w:szCs w:val="20"/>
            <w:u w:val="none"/>
          </w:rPr>
          <w:t>The writ jurisdic</w:t>
        </w:r>
        <w:r>
          <w:rPr>
            <w:rStyle w:val="Hyperlink"/>
            <w:color w:val="auto"/>
            <w:sz w:val="20"/>
            <w:szCs w:val="20"/>
            <w:u w:val="none"/>
          </w:rPr>
          <w:t xml:space="preserve">tion of High Courts </w:t>
        </w:r>
        <w:proofErr w:type="gramStart"/>
        <w:r>
          <w:rPr>
            <w:rStyle w:val="Hyperlink"/>
            <w:color w:val="auto"/>
            <w:sz w:val="20"/>
            <w:szCs w:val="20"/>
            <w:u w:val="none"/>
          </w:rPr>
          <w:t>are</w:t>
        </w:r>
        <w:proofErr w:type="gramEnd"/>
        <w:r>
          <w:rPr>
            <w:rStyle w:val="Hyperlink"/>
            <w:color w:val="auto"/>
            <w:sz w:val="20"/>
            <w:szCs w:val="20"/>
            <w:u w:val="none"/>
          </w:rPr>
          <w:t xml:space="preserve"> discretionary and intrinsic for other purposes</w:t>
        </w:r>
      </w:hyperlink>
      <w:r>
        <w:rPr>
          <w:sz w:val="20"/>
          <w:szCs w:val="20"/>
        </w:rPr>
        <w:t xml:space="preserve">. The Scope of Article 32 in comparison to Article 226 is limited. The Supreme Court can’t be approached for any other legal right other than fundamental rights. An important feature </w:t>
      </w:r>
      <w:r>
        <w:rPr>
          <w:sz w:val="20"/>
          <w:szCs w:val="20"/>
        </w:rPr>
        <w:t>of Article 32 is that it is not found alongside other articles that define the Supreme Court’s General Jurisdiction (Article 124-147). A palpable question arises, can writs be maintainable against a party that ceases to act as a private entity and takes up</w:t>
      </w:r>
      <w:r>
        <w:rPr>
          <w:sz w:val="20"/>
          <w:szCs w:val="20"/>
        </w:rPr>
        <w:t xml:space="preserve"> roles of public nature? In the case of the </w:t>
      </w:r>
      <w:hyperlink r:id="rId11" w:tgtFrame="_blank" w:history="1">
        <w:r>
          <w:rPr>
            <w:rStyle w:val="Hyperlink"/>
            <w:color w:val="auto"/>
            <w:sz w:val="20"/>
            <w:szCs w:val="20"/>
            <w:u w:val="none"/>
          </w:rPr>
          <w:t xml:space="preserve">Board of Control </w:t>
        </w:r>
        <w:proofErr w:type="gramStart"/>
        <w:r>
          <w:rPr>
            <w:rStyle w:val="Hyperlink"/>
            <w:color w:val="auto"/>
            <w:sz w:val="20"/>
            <w:szCs w:val="20"/>
            <w:u w:val="none"/>
          </w:rPr>
          <w:t>For</w:t>
        </w:r>
        <w:proofErr w:type="gramEnd"/>
        <w:r>
          <w:rPr>
            <w:rStyle w:val="Hyperlink"/>
            <w:color w:val="auto"/>
            <w:sz w:val="20"/>
            <w:szCs w:val="20"/>
            <w:u w:val="none"/>
          </w:rPr>
          <w:t xml:space="preserve"> Cricket vs Cricket Association Of Bihar</w:t>
        </w:r>
      </w:hyperlink>
      <w:r>
        <w:rPr>
          <w:sz w:val="20"/>
          <w:szCs w:val="20"/>
        </w:rPr>
        <w:t>, the Supreme Court examined the nature of public duties and functions, opening that</w:t>
      </w:r>
      <w:r>
        <w:rPr>
          <w:sz w:val="20"/>
          <w:szCs w:val="20"/>
        </w:rPr>
        <w:t xml:space="preserve"> BCCI as an organization performed “clearly public functions” as the nature of functions and duties undertaken were inherently public. </w:t>
      </w:r>
    </w:p>
    <w:p w14:paraId="06320E6D" w14:textId="77777777" w:rsidR="00F71505" w:rsidRDefault="0059288B">
      <w:pPr>
        <w:spacing w:after="0" w:line="240" w:lineRule="auto"/>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Ravi. </w:t>
      </w:r>
      <w:r>
        <w:rPr>
          <w:rFonts w:ascii="Times New Roman" w:hAnsi="Times New Roman" w:cs="Times New Roman"/>
          <w:b/>
          <w:bCs/>
          <w:sz w:val="20"/>
          <w:szCs w:val="20"/>
        </w:rPr>
        <w:t>Analysis Article 32 of the constitution of India</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10</w:t>
      </w:r>
      <w:r>
        <w:rPr>
          <w:rFonts w:ascii="Times New Roman" w:hAnsi="Times New Roman" w:cs="Times New Roman"/>
          <w:sz w:val="20"/>
          <w:szCs w:val="20"/>
        </w:rPr>
        <w:t>-</w:t>
      </w:r>
      <w:r>
        <w:rPr>
          <w:rFonts w:ascii="Times New Roman" w:hAnsi="Times New Roman" w:cs="Times New Roman" w:hint="eastAsia"/>
          <w:sz w:val="20"/>
          <w:szCs w:val="20"/>
          <w:lang w:eastAsia="zh-CN"/>
        </w:rPr>
        <w:t>17</w:t>
      </w:r>
      <w:r>
        <w:rPr>
          <w:rFonts w:ascii="Times New Roman" w:hAnsi="Times New Roman" w:cs="Times New Roman"/>
          <w:sz w:val="20"/>
          <w:szCs w:val="20"/>
        </w:rPr>
        <w:t xml:space="preserve">]. ISSN 1553-9865 (print); ISSN 2163-8950 (online). </w:t>
      </w:r>
      <w:hyperlink r:id="rId12"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 xml:space="preserve">. </w:t>
      </w:r>
      <w:r>
        <w:rPr>
          <w:rFonts w:ascii="Times New Roman" w:eastAsia="宋体"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3</w:t>
      </w:r>
      <w:r>
        <w:rPr>
          <w:rFonts w:ascii="Times New Roman" w:hAnsi="Times New Roman" w:cs="Times New Roman"/>
          <w:sz w:val="20"/>
          <w:szCs w:val="20"/>
          <w:shd w:val="clear" w:color="auto" w:fill="FFFFFF"/>
          <w:lang w:eastAsia="zh-CN"/>
        </w:rPr>
        <w:t>.</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13" w:history="1">
        <w:r>
          <w:rPr>
            <w:rStyle w:val="Hyperlink"/>
            <w:rFonts w:ascii="Times New Roman" w:hAnsi="Times New Roman" w:cs="Times New Roman"/>
            <w:sz w:val="20"/>
            <w:szCs w:val="20"/>
          </w:rPr>
          <w:t>10.7537/marsrsj15042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3</w:t>
      </w:r>
      <w:r>
        <w:rPr>
          <w:rStyle w:val="Hyperlink"/>
          <w:rFonts w:ascii="Times New Roman" w:hAnsi="Times New Roman" w:cs="Times New Roman"/>
          <w:sz w:val="20"/>
          <w:szCs w:val="20"/>
        </w:rPr>
        <w:t>.</w:t>
      </w:r>
    </w:p>
    <w:p w14:paraId="4960139C" w14:textId="77777777" w:rsidR="00F71505" w:rsidRDefault="00F71505">
      <w:pPr>
        <w:spacing w:after="0" w:line="240" w:lineRule="auto"/>
        <w:jc w:val="both"/>
        <w:rPr>
          <w:rStyle w:val="Hyperlink"/>
          <w:rFonts w:ascii="Times New Roman" w:hAnsi="Times New Roman" w:cs="Times New Roman"/>
          <w:sz w:val="20"/>
          <w:szCs w:val="20"/>
        </w:rPr>
      </w:pPr>
    </w:p>
    <w:p w14:paraId="05DD215D" w14:textId="77777777" w:rsidR="00F71505" w:rsidRDefault="0059288B">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Trial Cases, Warrant, India, CRPC</w:t>
      </w:r>
    </w:p>
    <w:p w14:paraId="0F55B086" w14:textId="77777777" w:rsidR="00F71505" w:rsidRDefault="00F71505">
      <w:pPr>
        <w:spacing w:after="0" w:line="240" w:lineRule="auto"/>
        <w:jc w:val="both"/>
        <w:rPr>
          <w:rFonts w:ascii="Times New Roman" w:hAnsi="Times New Roman" w:cs="Times New Roman"/>
          <w:sz w:val="20"/>
          <w:szCs w:val="20"/>
        </w:rPr>
      </w:pPr>
    </w:p>
    <w:p w14:paraId="6561BFF2" w14:textId="77777777" w:rsidR="00F71505" w:rsidRDefault="0059288B">
      <w:pPr>
        <w:pStyle w:val="NormalWeb"/>
        <w:shd w:val="clear" w:color="auto" w:fill="FFFFFF"/>
        <w:snapToGrid w:val="0"/>
        <w:spacing w:before="0" w:beforeAutospacing="0" w:after="0" w:afterAutospacing="0"/>
        <w:jc w:val="both"/>
        <w:textAlignment w:val="baseline"/>
        <w:rPr>
          <w:sz w:val="20"/>
          <w:szCs w:val="20"/>
        </w:rPr>
      </w:pPr>
      <w:r>
        <w:rPr>
          <w:rStyle w:val="Strong"/>
          <w:sz w:val="20"/>
          <w:szCs w:val="20"/>
        </w:rPr>
        <w:t>KEYWORDS: </w:t>
      </w:r>
      <w:r>
        <w:rPr>
          <w:sz w:val="20"/>
          <w:szCs w:val="20"/>
        </w:rPr>
        <w:t>Article 32, India, Analysis, Constitution</w:t>
      </w:r>
    </w:p>
    <w:p w14:paraId="720D9AC0" w14:textId="77777777" w:rsidR="00F71505" w:rsidRDefault="00F71505">
      <w:pPr>
        <w:pStyle w:val="Style23"/>
        <w:widowControl/>
        <w:snapToGrid w:val="0"/>
        <w:spacing w:line="240" w:lineRule="auto"/>
        <w:rPr>
          <w:b/>
          <w:bCs/>
          <w:sz w:val="20"/>
          <w:szCs w:val="20"/>
        </w:rPr>
      </w:pPr>
    </w:p>
    <w:p w14:paraId="0EF6B0EA" w14:textId="77777777" w:rsidR="00F71505" w:rsidRDefault="00F71505">
      <w:pPr>
        <w:pStyle w:val="Style23"/>
        <w:widowControl/>
        <w:snapToGrid w:val="0"/>
        <w:spacing w:line="240" w:lineRule="auto"/>
        <w:rPr>
          <w:b/>
          <w:bCs/>
          <w:sz w:val="20"/>
          <w:szCs w:val="20"/>
        </w:rPr>
        <w:sectPr w:rsidR="00F71505">
          <w:headerReference w:type="default" r:id="rId14"/>
          <w:footerReference w:type="default" r:id="rId15"/>
          <w:headerReference w:type="first" r:id="rId16"/>
          <w:footerReference w:type="first" r:id="rId17"/>
          <w:pgSz w:w="12240" w:h="15840"/>
          <w:pgMar w:top="1440" w:right="1440" w:bottom="1440" w:left="1440" w:header="720" w:footer="720" w:gutter="0"/>
          <w:pgNumType w:start="10"/>
          <w:cols w:space="720"/>
          <w:titlePg/>
          <w:docGrid w:linePitch="360"/>
        </w:sectPr>
      </w:pPr>
    </w:p>
    <w:p w14:paraId="264D3ACA" w14:textId="77777777" w:rsidR="00ED067E" w:rsidRDefault="0059288B">
      <w:pPr>
        <w:pStyle w:val="Style23"/>
        <w:widowControl/>
        <w:snapToGrid w:val="0"/>
        <w:spacing w:line="240" w:lineRule="auto"/>
        <w:rPr>
          <w:b/>
          <w:bCs/>
          <w:sz w:val="20"/>
          <w:szCs w:val="20"/>
        </w:rPr>
      </w:pPr>
      <w:r>
        <w:rPr>
          <w:b/>
          <w:bCs/>
          <w:sz w:val="20"/>
          <w:szCs w:val="20"/>
        </w:rPr>
        <w:t xml:space="preserve"> Introduction: </w:t>
      </w:r>
    </w:p>
    <w:p w14:paraId="28EDA98C" w14:textId="0F1B5309" w:rsidR="00F71505" w:rsidRDefault="0059288B" w:rsidP="00ED067E">
      <w:pPr>
        <w:pStyle w:val="Style23"/>
        <w:widowControl/>
        <w:snapToGrid w:val="0"/>
        <w:spacing w:line="240" w:lineRule="auto"/>
        <w:ind w:firstLine="540"/>
        <w:rPr>
          <w:sz w:val="20"/>
          <w:szCs w:val="20"/>
        </w:rPr>
      </w:pPr>
      <w:r>
        <w:rPr>
          <w:sz w:val="20"/>
          <w:szCs w:val="20"/>
          <w:shd w:val="clear" w:color="auto" w:fill="FFFFFF"/>
        </w:rPr>
        <w:t>One</w:t>
      </w:r>
      <w:r>
        <w:rPr>
          <w:sz w:val="20"/>
          <w:szCs w:val="20"/>
          <w:shd w:val="clear" w:color="auto" w:fill="FFFFFF"/>
        </w:rPr>
        <w:t xml:space="preserve"> of the defining principles of Common Law is “Ubi Jus, </w:t>
      </w:r>
      <w:proofErr w:type="spellStart"/>
      <w:r>
        <w:rPr>
          <w:sz w:val="20"/>
          <w:szCs w:val="20"/>
          <w:shd w:val="clear" w:color="auto" w:fill="FFFFFF"/>
        </w:rPr>
        <w:t>Ibi</w:t>
      </w:r>
      <w:proofErr w:type="spellEnd"/>
      <w:r>
        <w:rPr>
          <w:sz w:val="20"/>
          <w:szCs w:val="20"/>
          <w:shd w:val="clear" w:color="auto" w:fill="FFFFFF"/>
        </w:rPr>
        <w:t xml:space="preserve"> </w:t>
      </w:r>
      <w:proofErr w:type="spellStart"/>
      <w:r>
        <w:rPr>
          <w:sz w:val="20"/>
          <w:szCs w:val="20"/>
          <w:shd w:val="clear" w:color="auto" w:fill="FFFFFF"/>
        </w:rPr>
        <w:t>Remedium</w:t>
      </w:r>
      <w:proofErr w:type="spellEnd"/>
      <w:r>
        <w:rPr>
          <w:sz w:val="20"/>
          <w:szCs w:val="20"/>
          <w:shd w:val="clear" w:color="auto" w:fill="FFFFFF"/>
        </w:rPr>
        <w:t>”. This maxim means “where there is a right, there is a remedy”. The right to a remedy has been acknowledged as a fundamental right in all legal systems historically. </w:t>
      </w:r>
      <w:r>
        <w:rPr>
          <w:sz w:val="20"/>
          <w:szCs w:val="20"/>
        </w:rPr>
        <w:t>Under Article 32 of th</w:t>
      </w:r>
      <w:r>
        <w:rPr>
          <w:sz w:val="20"/>
          <w:szCs w:val="20"/>
        </w:rPr>
        <w:t xml:space="preserve">e Indian constitution, every citizen of India has been given the right to seek constitutional remedy from the Supreme Court if they have been deprived of their fundamental rights. The Supreme Court is responsible for the administration of justice and also </w:t>
      </w:r>
      <w:r>
        <w:rPr>
          <w:sz w:val="20"/>
          <w:szCs w:val="20"/>
        </w:rPr>
        <w:t>acts as the guardian of the constitution and the protector of fundamental rights. It would be meaningless to grant fundamental rights but not provide remedies for the enforcement of the rights if they are violated. This article discusses various aspects of</w:t>
      </w:r>
      <w:r>
        <w:rPr>
          <w:sz w:val="20"/>
          <w:szCs w:val="20"/>
        </w:rPr>
        <w:t xml:space="preserve"> Article 32, including historical and philosophical grounds, as well as the latest developments. </w:t>
      </w:r>
    </w:p>
    <w:p w14:paraId="408E1D9A" w14:textId="77777777" w:rsidR="00F71505" w:rsidRDefault="0059288B" w:rsidP="00ED067E">
      <w:pPr>
        <w:pStyle w:val="NormalWeb"/>
        <w:shd w:val="clear" w:color="auto" w:fill="FFFFFF"/>
        <w:snapToGrid w:val="0"/>
        <w:spacing w:before="0" w:beforeAutospacing="0" w:after="0" w:afterAutospacing="0"/>
        <w:ind w:firstLine="540"/>
        <w:jc w:val="both"/>
        <w:rPr>
          <w:sz w:val="20"/>
          <w:szCs w:val="20"/>
        </w:rPr>
      </w:pPr>
      <w:r>
        <w:rPr>
          <w:sz w:val="20"/>
          <w:szCs w:val="20"/>
        </w:rPr>
        <w:t xml:space="preserve">As said by Dr. B.R. Ambedkar that without this article the Constitution would be a nullity, saying it is the soul and the heart of the </w:t>
      </w:r>
      <w:r>
        <w:rPr>
          <w:sz w:val="20"/>
          <w:szCs w:val="20"/>
        </w:rPr>
        <w:t>constitution. When article 32 was introduced, there was a debate in the Constituent Assembly which is at present known as NITI Aayog, whether article 32 can be suspended or limited during the period of emergency, and then it was decided that the article ca</w:t>
      </w:r>
      <w:r>
        <w:rPr>
          <w:sz w:val="20"/>
          <w:szCs w:val="20"/>
        </w:rPr>
        <w:t xml:space="preserve">nnot be suspended except during the period of emergency. Thus, this article is the protector of the rights of the citizens of </w:t>
      </w:r>
      <w:r>
        <w:rPr>
          <w:sz w:val="20"/>
          <w:szCs w:val="20"/>
        </w:rPr>
        <w:t>India and is regarded as the heart and soul of the constitution.</w:t>
      </w:r>
      <w:hyperlink r:id="rId18" w:anchor="_ftn1" w:history="1">
        <w:r>
          <w:rPr>
            <w:rStyle w:val="Hyperlink"/>
            <w:color w:val="auto"/>
            <w:sz w:val="20"/>
            <w:szCs w:val="20"/>
            <w:u w:val="none"/>
          </w:rPr>
          <w:t>[1]</w:t>
        </w:r>
      </w:hyperlink>
    </w:p>
    <w:p w14:paraId="27126A33" w14:textId="77777777" w:rsidR="00F71505" w:rsidRDefault="0059288B" w:rsidP="00ED067E">
      <w:pPr>
        <w:pStyle w:val="NormalWeb"/>
        <w:shd w:val="clear" w:color="auto" w:fill="FFFFFF"/>
        <w:spacing w:before="0" w:beforeAutospacing="0" w:after="0" w:afterAutospacing="0"/>
        <w:ind w:firstLine="540"/>
        <w:jc w:val="both"/>
        <w:rPr>
          <w:sz w:val="20"/>
          <w:szCs w:val="20"/>
        </w:rPr>
      </w:pPr>
      <w:r>
        <w:rPr>
          <w:sz w:val="20"/>
          <w:szCs w:val="20"/>
          <w:shd w:val="clear" w:color="auto" w:fill="FFFFFF"/>
        </w:rPr>
        <w:t xml:space="preserve">The constitutional remedies under Article 32 provided to the citizens are eloquent orders with immediate effects along with the results. That is the reason why it has always </w:t>
      </w:r>
      <w:r>
        <w:rPr>
          <w:sz w:val="20"/>
          <w:szCs w:val="20"/>
          <w:shd w:val="clear" w:color="auto" w:fill="FFFFFF"/>
        </w:rPr>
        <w:t>been considered as the powerful fundamental right embedded in the Indian Constitution. After all the study, it is clearly understandable that the Constitution of India is not rigid as on various cases it keeps on challenging the basis structure and the int</w:t>
      </w:r>
      <w:r>
        <w:rPr>
          <w:sz w:val="20"/>
          <w:szCs w:val="20"/>
          <w:shd w:val="clear" w:color="auto" w:fill="FFFFFF"/>
        </w:rPr>
        <w:t xml:space="preserve">egral part of the Constitution. The Writs that are conferred by the Constitution have both prerogative powers and are discretionary in nature. Article 32 along with the parliament, entrusts the other courts to exercise the power of Supreme Court as it can </w:t>
      </w:r>
      <w:r>
        <w:rPr>
          <w:sz w:val="20"/>
          <w:szCs w:val="20"/>
          <w:shd w:val="clear" w:color="auto" w:fill="FFFFFF"/>
        </w:rPr>
        <w:t>be considered both the guarantor and protector enforced by the Judiciary of India where no citizen will be left unheard and deprived of his rights being the citizens of a democratic country.</w:t>
      </w:r>
    </w:p>
    <w:p w14:paraId="24D3F9F3" w14:textId="77777777" w:rsidR="00ED067E" w:rsidRDefault="00ED067E" w:rsidP="00ED067E">
      <w:pPr>
        <w:pStyle w:val="Heading1"/>
        <w:shd w:val="clear" w:color="auto" w:fill="FFFFFF"/>
        <w:spacing w:before="0" w:beforeAutospacing="0" w:after="0" w:afterAutospacing="0"/>
        <w:jc w:val="both"/>
        <w:rPr>
          <w:sz w:val="20"/>
          <w:szCs w:val="20"/>
        </w:rPr>
      </w:pPr>
    </w:p>
    <w:p w14:paraId="0880E46C" w14:textId="1040E669" w:rsidR="00F71505" w:rsidRDefault="0059288B" w:rsidP="00ED067E">
      <w:pPr>
        <w:pStyle w:val="Heading1"/>
        <w:shd w:val="clear" w:color="auto" w:fill="FFFFFF"/>
        <w:spacing w:before="0" w:beforeAutospacing="0" w:after="0" w:afterAutospacing="0"/>
        <w:jc w:val="both"/>
        <w:rPr>
          <w:sz w:val="20"/>
          <w:szCs w:val="20"/>
        </w:rPr>
      </w:pPr>
      <w:r>
        <w:rPr>
          <w:sz w:val="20"/>
          <w:szCs w:val="20"/>
        </w:rPr>
        <w:t>Historical background</w:t>
      </w:r>
    </w:p>
    <w:p w14:paraId="53C7B80F" w14:textId="77777777" w:rsidR="00F71505" w:rsidRDefault="0059288B" w:rsidP="00ED067E">
      <w:pPr>
        <w:pStyle w:val="NormalWeb"/>
        <w:shd w:val="clear" w:color="auto" w:fill="FFFFFF"/>
        <w:spacing w:before="0" w:beforeAutospacing="0" w:after="0" w:afterAutospacing="0"/>
        <w:ind w:firstLine="540"/>
        <w:jc w:val="both"/>
        <w:rPr>
          <w:sz w:val="20"/>
          <w:szCs w:val="20"/>
        </w:rPr>
      </w:pPr>
      <w:r>
        <w:rPr>
          <w:sz w:val="20"/>
          <w:szCs w:val="20"/>
        </w:rPr>
        <w:t>The Indian Constitution in Part III (Articl</w:t>
      </w:r>
      <w:r>
        <w:rPr>
          <w:sz w:val="20"/>
          <w:szCs w:val="20"/>
        </w:rPr>
        <w:t>e 12 to 35) contains the Fundamental Rights. It is the charter of freedom of the citizens of India. It is what the Magna Carta was; it contains the essential freedoms of the people of India. Article 32 is a constitutional safeguard for these rights. Dr B.R</w:t>
      </w:r>
      <w:r>
        <w:rPr>
          <w:sz w:val="20"/>
          <w:szCs w:val="20"/>
        </w:rPr>
        <w:t xml:space="preserve"> Ambedkar had referred to it as “the very soul of the Constitution and the very heart of it” during the Constituent Assembly debates.</w:t>
      </w:r>
    </w:p>
    <w:p w14:paraId="2FECF376" w14:textId="77777777" w:rsidR="00F71505" w:rsidRDefault="0059288B" w:rsidP="00ED067E">
      <w:pPr>
        <w:pStyle w:val="NormalWeb"/>
        <w:shd w:val="clear" w:color="auto" w:fill="FFFFFF"/>
        <w:spacing w:before="0" w:beforeAutospacing="0" w:after="0" w:afterAutospacing="0"/>
        <w:ind w:firstLine="540"/>
        <w:jc w:val="both"/>
        <w:rPr>
          <w:sz w:val="20"/>
          <w:szCs w:val="20"/>
        </w:rPr>
      </w:pPr>
      <w:r>
        <w:rPr>
          <w:sz w:val="20"/>
          <w:szCs w:val="20"/>
        </w:rPr>
        <w:lastRenderedPageBreak/>
        <w:t xml:space="preserve">H. M </w:t>
      </w:r>
      <w:proofErr w:type="spellStart"/>
      <w:r>
        <w:rPr>
          <w:sz w:val="20"/>
          <w:szCs w:val="20"/>
        </w:rPr>
        <w:t>Seervai</w:t>
      </w:r>
      <w:proofErr w:type="spellEnd"/>
      <w:r>
        <w:rPr>
          <w:sz w:val="20"/>
          <w:szCs w:val="20"/>
        </w:rPr>
        <w:t xml:space="preserve">, the learned senior advocate and jurist in his works H.M. </w:t>
      </w:r>
      <w:proofErr w:type="spellStart"/>
      <w:r>
        <w:rPr>
          <w:sz w:val="20"/>
          <w:szCs w:val="20"/>
        </w:rPr>
        <w:t>Seervai’s</w:t>
      </w:r>
      <w:proofErr w:type="spellEnd"/>
      <w:r>
        <w:rPr>
          <w:sz w:val="20"/>
          <w:szCs w:val="20"/>
        </w:rPr>
        <w:t xml:space="preserve"> Constitutional law of India, noted that </w:t>
      </w:r>
      <w:hyperlink r:id="rId19" w:tgtFrame="_blank" w:history="1">
        <w:r>
          <w:rPr>
            <w:rStyle w:val="Hyperlink"/>
            <w:rFonts w:eastAsiaTheme="majorEastAsia"/>
            <w:color w:val="auto"/>
            <w:sz w:val="20"/>
            <w:szCs w:val="20"/>
            <w:u w:val="none"/>
          </w:rPr>
          <w:t>“it is not surprising that the Constituent Assembly found in these writs the most effective means of enforcing a fundamental right.”.</w:t>
        </w:r>
      </w:hyperlink>
      <w:r>
        <w:rPr>
          <w:sz w:val="20"/>
          <w:szCs w:val="20"/>
        </w:rPr>
        <w:t> </w:t>
      </w:r>
      <w:proofErr w:type="spellStart"/>
      <w:r>
        <w:rPr>
          <w:sz w:val="20"/>
          <w:szCs w:val="20"/>
        </w:rPr>
        <w:t>Seervai</w:t>
      </w:r>
      <w:proofErr w:type="spellEnd"/>
      <w:r>
        <w:rPr>
          <w:sz w:val="20"/>
          <w:szCs w:val="20"/>
        </w:rPr>
        <w:t xml:space="preserve"> further noted t</w:t>
      </w:r>
      <w:r>
        <w:rPr>
          <w:sz w:val="20"/>
          <w:szCs w:val="20"/>
        </w:rPr>
        <w:t>hat – as long as these rights are not amended, the powers conferred by them cannot be taken away, any such law would be void under Article. 13. </w:t>
      </w:r>
    </w:p>
    <w:p w14:paraId="7BABCD11" w14:textId="77777777" w:rsidR="00ED067E" w:rsidRDefault="00ED067E" w:rsidP="00ED067E">
      <w:pPr>
        <w:pStyle w:val="Heading2"/>
        <w:shd w:val="clear" w:color="auto" w:fill="FFFFFF"/>
        <w:spacing w:before="0" w:line="240" w:lineRule="auto"/>
        <w:jc w:val="both"/>
        <w:rPr>
          <w:rFonts w:ascii="Times New Roman" w:hAnsi="Times New Roman" w:cs="Times New Roman"/>
          <w:color w:val="auto"/>
          <w:sz w:val="20"/>
          <w:szCs w:val="20"/>
        </w:rPr>
      </w:pPr>
    </w:p>
    <w:p w14:paraId="3044D1CE" w14:textId="7328B4C5" w:rsidR="00F71505" w:rsidRDefault="0059288B" w:rsidP="00ED067E">
      <w:pPr>
        <w:pStyle w:val="Heading2"/>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color w:val="auto"/>
          <w:sz w:val="20"/>
          <w:szCs w:val="20"/>
        </w:rPr>
        <w:t>Concept and Purpose</w:t>
      </w:r>
    </w:p>
    <w:p w14:paraId="5B31A0CE" w14:textId="77777777" w:rsidR="00F71505" w:rsidRDefault="0059288B" w:rsidP="00ED067E">
      <w:pPr>
        <w:pStyle w:val="NormalWeb"/>
        <w:shd w:val="clear" w:color="auto" w:fill="FFFFFF"/>
        <w:spacing w:before="0" w:beforeAutospacing="0" w:after="0" w:afterAutospacing="0"/>
        <w:ind w:firstLine="540"/>
        <w:jc w:val="both"/>
        <w:rPr>
          <w:sz w:val="20"/>
          <w:szCs w:val="20"/>
        </w:rPr>
      </w:pPr>
      <w:r>
        <w:rPr>
          <w:sz w:val="20"/>
          <w:szCs w:val="20"/>
        </w:rPr>
        <w:t>Article 32 of the Indian Constitution gives the right to individuals to move to the Supreme</w:t>
      </w:r>
      <w:r>
        <w:rPr>
          <w:sz w:val="20"/>
          <w:szCs w:val="20"/>
        </w:rPr>
        <w:t xml:space="preserve"> Court to seek justice when they feel that their right has been ‘unduly deprived’. The apex court is given the authority to issue directions or orders for the execution of any of the rights bestowed by the constitution as it is considered ‘the protector an</w:t>
      </w:r>
      <w:r>
        <w:rPr>
          <w:sz w:val="20"/>
          <w:szCs w:val="20"/>
        </w:rPr>
        <w:t>d guarantor of Fundamental Rights’.</w:t>
      </w:r>
    </w:p>
    <w:p w14:paraId="19F2D7EE" w14:textId="77777777" w:rsidR="00F71505" w:rsidRDefault="0059288B" w:rsidP="00ED067E">
      <w:pPr>
        <w:pStyle w:val="NormalWeb"/>
        <w:shd w:val="clear" w:color="auto" w:fill="FFFFFF"/>
        <w:spacing w:before="0" w:beforeAutospacing="0" w:after="315" w:afterAutospacing="0"/>
        <w:ind w:firstLine="540"/>
        <w:jc w:val="both"/>
        <w:rPr>
          <w:sz w:val="20"/>
          <w:szCs w:val="20"/>
        </w:rPr>
      </w:pPr>
      <w:r>
        <w:rPr>
          <w:sz w:val="20"/>
          <w:szCs w:val="20"/>
        </w:rPr>
        <w:t>Under Article 32, the parliament can also entrust any other court to exercise the power of the Supreme Court, provided that it is within its Jurisdiction. And unless there is some Constitutional amendment, the rights gua</w:t>
      </w:r>
      <w:r>
        <w:rPr>
          <w:sz w:val="20"/>
          <w:szCs w:val="20"/>
        </w:rPr>
        <w:t xml:space="preserve">ranteed by this Article cannot be suspended. Therefore, we can say that an </w:t>
      </w:r>
      <w:r>
        <w:rPr>
          <w:sz w:val="20"/>
          <w:szCs w:val="20"/>
        </w:rPr>
        <w:t>assured right is guaranteed to individuals for enforcement of fundamental rights by this article as the law provides the right to an individual to directly approach the Supreme Cour</w:t>
      </w:r>
      <w:r>
        <w:rPr>
          <w:sz w:val="20"/>
          <w:szCs w:val="20"/>
        </w:rPr>
        <w:t>t without following a lengthier process of moving to the lower courts first as the main purpose of Writ Jurisdiction under Article 32 is the enforcement of Fundamental Rights.</w:t>
      </w:r>
    </w:p>
    <w:p w14:paraId="145277D1" w14:textId="77777777" w:rsidR="00F71505" w:rsidRDefault="0059288B" w:rsidP="00ED067E">
      <w:pPr>
        <w:pStyle w:val="NormalWeb"/>
        <w:shd w:val="clear" w:color="auto" w:fill="FFFFFF"/>
        <w:spacing w:before="0" w:beforeAutospacing="0" w:after="0" w:afterAutospacing="0"/>
        <w:jc w:val="both"/>
        <w:rPr>
          <w:b/>
          <w:bCs/>
          <w:sz w:val="20"/>
          <w:szCs w:val="20"/>
        </w:rPr>
      </w:pPr>
      <w:r>
        <w:rPr>
          <w:b/>
          <w:bCs/>
          <w:sz w:val="20"/>
          <w:szCs w:val="20"/>
        </w:rPr>
        <w:t>Dr Ambedkar stated that:</w:t>
      </w:r>
    </w:p>
    <w:p w14:paraId="3ACB42CD" w14:textId="77777777" w:rsidR="00F71505" w:rsidRDefault="0059288B" w:rsidP="00ED067E">
      <w:pPr>
        <w:pStyle w:val="NormalWeb"/>
        <w:shd w:val="clear" w:color="auto" w:fill="FFFFFF"/>
        <w:spacing w:before="0" w:beforeAutospacing="0" w:after="0" w:afterAutospacing="0"/>
        <w:ind w:firstLine="540"/>
        <w:jc w:val="both"/>
        <w:rPr>
          <w:sz w:val="20"/>
          <w:szCs w:val="20"/>
        </w:rPr>
      </w:pPr>
      <w:r>
        <w:rPr>
          <w:sz w:val="20"/>
          <w:szCs w:val="20"/>
        </w:rPr>
        <w:t xml:space="preserve">“If I was asked to name any particular article in </w:t>
      </w:r>
      <w:r>
        <w:rPr>
          <w:sz w:val="20"/>
          <w:szCs w:val="20"/>
        </w:rPr>
        <w:t>this Constitution as the most important- an article without which this Constitution would be a nullity— I could not refer to any other article except this one. It is the very soul of the Constitution and the very heart of it and I am glad that the House ha</w:t>
      </w:r>
      <w:r>
        <w:rPr>
          <w:sz w:val="20"/>
          <w:szCs w:val="20"/>
        </w:rPr>
        <w:t>s realized its importance.”</w:t>
      </w:r>
    </w:p>
    <w:p w14:paraId="22CE7CF4" w14:textId="77777777" w:rsidR="00F71505" w:rsidRDefault="0059288B" w:rsidP="00ED067E">
      <w:pPr>
        <w:pStyle w:val="NormalWeb"/>
        <w:shd w:val="clear" w:color="auto" w:fill="FFFFFF"/>
        <w:spacing w:before="0" w:beforeAutospacing="0" w:after="0" w:afterAutospacing="0"/>
        <w:ind w:firstLine="540"/>
        <w:jc w:val="both"/>
        <w:rPr>
          <w:sz w:val="20"/>
          <w:szCs w:val="20"/>
        </w:rPr>
      </w:pPr>
      <w:r>
        <w:rPr>
          <w:sz w:val="20"/>
          <w:szCs w:val="20"/>
        </w:rPr>
        <w:t>To know more about right to constitutional remedies in brief, please refer to the video below:</w:t>
      </w:r>
    </w:p>
    <w:p w14:paraId="23081D81" w14:textId="77777777" w:rsidR="00ED067E" w:rsidRDefault="00ED067E" w:rsidP="00ED067E">
      <w:pPr>
        <w:pStyle w:val="Heading2"/>
        <w:shd w:val="clear" w:color="auto" w:fill="FFFFFF"/>
        <w:spacing w:before="0" w:line="240" w:lineRule="auto"/>
        <w:jc w:val="both"/>
        <w:rPr>
          <w:rFonts w:ascii="Times New Roman" w:hAnsi="Times New Roman" w:cs="Times New Roman"/>
          <w:color w:val="auto"/>
          <w:sz w:val="20"/>
          <w:szCs w:val="20"/>
        </w:rPr>
      </w:pPr>
    </w:p>
    <w:p w14:paraId="669C653E" w14:textId="08E70DC6" w:rsidR="00F71505" w:rsidRDefault="0059288B" w:rsidP="00ED067E">
      <w:pPr>
        <w:pStyle w:val="Heading2"/>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color w:val="auto"/>
          <w:sz w:val="20"/>
          <w:szCs w:val="20"/>
        </w:rPr>
        <w:t>Nature of Writ Jurisdiction</w:t>
      </w:r>
    </w:p>
    <w:p w14:paraId="18E4FC1A" w14:textId="77777777" w:rsidR="00F71505" w:rsidRDefault="0059288B" w:rsidP="00ED067E">
      <w:pPr>
        <w:pStyle w:val="NormalWeb"/>
        <w:shd w:val="clear" w:color="auto" w:fill="FFFFFF"/>
        <w:spacing w:before="0" w:beforeAutospacing="0" w:after="0" w:afterAutospacing="0"/>
        <w:ind w:firstLine="540"/>
        <w:jc w:val="both"/>
        <w:rPr>
          <w:sz w:val="20"/>
          <w:szCs w:val="20"/>
        </w:rPr>
      </w:pPr>
      <w:r>
        <w:rPr>
          <w:sz w:val="20"/>
          <w:szCs w:val="20"/>
        </w:rPr>
        <w:t>The nature of Writ Jurisdiction provided under this Article is discretionary. There are five important fa</w:t>
      </w:r>
      <w:r>
        <w:rPr>
          <w:sz w:val="20"/>
          <w:szCs w:val="20"/>
        </w:rPr>
        <w:t>ctors for guiding this discretion.</w:t>
      </w:r>
    </w:p>
    <w:p w14:paraId="23A83F99" w14:textId="77777777" w:rsidR="00F71505" w:rsidRDefault="00F71505">
      <w:pPr>
        <w:spacing w:after="315" w:line="240" w:lineRule="auto"/>
        <w:jc w:val="both"/>
        <w:rPr>
          <w:rFonts w:ascii="Times New Roman" w:hAnsi="Times New Roman" w:cs="Times New Roman"/>
          <w:b/>
          <w:bCs/>
          <w:sz w:val="20"/>
          <w:szCs w:val="20"/>
        </w:rPr>
        <w:sectPr w:rsidR="00F71505">
          <w:type w:val="continuous"/>
          <w:pgSz w:w="12240" w:h="15840"/>
          <w:pgMar w:top="1440" w:right="1440" w:bottom="1440" w:left="1440" w:header="720" w:footer="720" w:gutter="0"/>
          <w:cols w:num="2" w:space="720"/>
          <w:docGrid w:linePitch="360"/>
        </w:sectPr>
      </w:pPr>
    </w:p>
    <w:tbl>
      <w:tblPr>
        <w:tblW w:w="93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76"/>
        <w:gridCol w:w="6083"/>
      </w:tblGrid>
      <w:tr w:rsidR="00F71505" w14:paraId="79F1DC64" w14:textId="77777777">
        <w:trPr>
          <w:trHeight w:val="334"/>
          <w:jc w:val="center"/>
        </w:trPr>
        <w:tc>
          <w:tcPr>
            <w:tcW w:w="3276" w:type="dxa"/>
            <w:shd w:val="clear" w:color="auto" w:fill="FFFFFF"/>
            <w:tcMar>
              <w:top w:w="30" w:type="dxa"/>
              <w:left w:w="120" w:type="dxa"/>
              <w:bottom w:w="30" w:type="dxa"/>
              <w:right w:w="120" w:type="dxa"/>
            </w:tcMar>
            <w:vAlign w:val="center"/>
          </w:tcPr>
          <w:p w14:paraId="089C955F" w14:textId="77777777" w:rsidR="00F71505" w:rsidRDefault="0059288B">
            <w:pPr>
              <w:spacing w:after="315" w:line="240" w:lineRule="auto"/>
              <w:jc w:val="both"/>
              <w:rPr>
                <w:rFonts w:ascii="Times New Roman" w:hAnsi="Times New Roman" w:cs="Times New Roman"/>
                <w:sz w:val="20"/>
                <w:szCs w:val="20"/>
              </w:rPr>
            </w:pPr>
            <w:r>
              <w:rPr>
                <w:rFonts w:ascii="Times New Roman" w:hAnsi="Times New Roman" w:cs="Times New Roman"/>
                <w:b/>
                <w:bCs/>
                <w:sz w:val="20"/>
                <w:szCs w:val="20"/>
              </w:rPr>
              <w:t>Factors Guiding the Discretion</w:t>
            </w:r>
          </w:p>
        </w:tc>
        <w:tc>
          <w:tcPr>
            <w:tcW w:w="6083" w:type="dxa"/>
            <w:shd w:val="clear" w:color="auto" w:fill="FFFFFF"/>
            <w:tcMar>
              <w:top w:w="30" w:type="dxa"/>
              <w:left w:w="120" w:type="dxa"/>
              <w:bottom w:w="30" w:type="dxa"/>
              <w:right w:w="120" w:type="dxa"/>
            </w:tcMar>
            <w:vAlign w:val="center"/>
          </w:tcPr>
          <w:p w14:paraId="7A1B073E" w14:textId="77777777" w:rsidR="00F71505" w:rsidRDefault="0059288B">
            <w:pPr>
              <w:spacing w:after="315" w:line="240" w:lineRule="auto"/>
              <w:jc w:val="both"/>
              <w:rPr>
                <w:rFonts w:ascii="Times New Roman" w:hAnsi="Times New Roman" w:cs="Times New Roman"/>
                <w:sz w:val="20"/>
                <w:szCs w:val="20"/>
              </w:rPr>
            </w:pPr>
            <w:r>
              <w:rPr>
                <w:rFonts w:ascii="Times New Roman" w:hAnsi="Times New Roman" w:cs="Times New Roman"/>
                <w:b/>
                <w:bCs/>
                <w:sz w:val="20"/>
                <w:szCs w:val="20"/>
              </w:rPr>
              <w:t>Meaning</w:t>
            </w:r>
          </w:p>
        </w:tc>
      </w:tr>
      <w:tr w:rsidR="00F71505" w14:paraId="2CB87A27" w14:textId="77777777">
        <w:trPr>
          <w:trHeight w:val="349"/>
          <w:jc w:val="center"/>
        </w:trPr>
        <w:tc>
          <w:tcPr>
            <w:tcW w:w="3276" w:type="dxa"/>
            <w:shd w:val="clear" w:color="auto" w:fill="FFFFFF"/>
            <w:tcMar>
              <w:top w:w="30" w:type="dxa"/>
              <w:left w:w="120" w:type="dxa"/>
              <w:bottom w:w="30" w:type="dxa"/>
              <w:right w:w="120" w:type="dxa"/>
            </w:tcMar>
            <w:vAlign w:val="center"/>
          </w:tcPr>
          <w:p w14:paraId="4EA0E6BB" w14:textId="77777777" w:rsidR="00F71505" w:rsidRDefault="0059288B">
            <w:pPr>
              <w:spacing w:after="315" w:line="240" w:lineRule="auto"/>
              <w:jc w:val="both"/>
              <w:rPr>
                <w:rFonts w:ascii="Times New Roman" w:hAnsi="Times New Roman" w:cs="Times New Roman"/>
                <w:sz w:val="20"/>
                <w:szCs w:val="20"/>
              </w:rPr>
            </w:pPr>
            <w:r>
              <w:rPr>
                <w:rFonts w:ascii="Times New Roman" w:hAnsi="Times New Roman" w:cs="Times New Roman"/>
                <w:sz w:val="20"/>
                <w:szCs w:val="20"/>
              </w:rPr>
              <w:t>1. Locus Standi</w:t>
            </w:r>
          </w:p>
        </w:tc>
        <w:tc>
          <w:tcPr>
            <w:tcW w:w="6083" w:type="dxa"/>
            <w:shd w:val="clear" w:color="auto" w:fill="FFFFFF"/>
            <w:tcMar>
              <w:top w:w="30" w:type="dxa"/>
              <w:left w:w="120" w:type="dxa"/>
              <w:bottom w:w="30" w:type="dxa"/>
              <w:right w:w="120" w:type="dxa"/>
            </w:tcMar>
            <w:vAlign w:val="center"/>
          </w:tcPr>
          <w:p w14:paraId="0DC07E43" w14:textId="77777777" w:rsidR="00F71505" w:rsidRDefault="0059288B">
            <w:pPr>
              <w:spacing w:after="315" w:line="240" w:lineRule="auto"/>
              <w:jc w:val="both"/>
              <w:rPr>
                <w:rFonts w:ascii="Times New Roman" w:hAnsi="Times New Roman" w:cs="Times New Roman"/>
                <w:sz w:val="20"/>
                <w:szCs w:val="20"/>
              </w:rPr>
            </w:pPr>
            <w:r>
              <w:rPr>
                <w:rFonts w:ascii="Times New Roman" w:hAnsi="Times New Roman" w:cs="Times New Roman"/>
                <w:sz w:val="20"/>
                <w:szCs w:val="20"/>
              </w:rPr>
              <w:t>Right to bring an action or to be heard before a court.</w:t>
            </w:r>
          </w:p>
        </w:tc>
      </w:tr>
      <w:tr w:rsidR="00F71505" w14:paraId="2491AC87" w14:textId="77777777">
        <w:trPr>
          <w:trHeight w:val="362"/>
          <w:jc w:val="center"/>
        </w:trPr>
        <w:tc>
          <w:tcPr>
            <w:tcW w:w="3276" w:type="dxa"/>
            <w:shd w:val="clear" w:color="auto" w:fill="FFFFFF"/>
            <w:tcMar>
              <w:top w:w="30" w:type="dxa"/>
              <w:left w:w="120" w:type="dxa"/>
              <w:bottom w:w="30" w:type="dxa"/>
              <w:right w:w="120" w:type="dxa"/>
            </w:tcMar>
            <w:vAlign w:val="center"/>
          </w:tcPr>
          <w:p w14:paraId="3C32EB48" w14:textId="77777777" w:rsidR="00F71505" w:rsidRDefault="0059288B">
            <w:pPr>
              <w:spacing w:after="315" w:line="240" w:lineRule="auto"/>
              <w:jc w:val="both"/>
              <w:rPr>
                <w:rFonts w:ascii="Times New Roman" w:hAnsi="Times New Roman" w:cs="Times New Roman"/>
                <w:sz w:val="20"/>
                <w:szCs w:val="20"/>
              </w:rPr>
            </w:pPr>
            <w:r>
              <w:rPr>
                <w:rFonts w:ascii="Times New Roman" w:hAnsi="Times New Roman" w:cs="Times New Roman"/>
                <w:sz w:val="20"/>
                <w:szCs w:val="20"/>
              </w:rPr>
              <w:t>2. Alternative Relief</w:t>
            </w:r>
          </w:p>
        </w:tc>
        <w:tc>
          <w:tcPr>
            <w:tcW w:w="6083" w:type="dxa"/>
            <w:shd w:val="clear" w:color="auto" w:fill="FFFFFF"/>
            <w:tcMar>
              <w:top w:w="30" w:type="dxa"/>
              <w:left w:w="120" w:type="dxa"/>
              <w:bottom w:w="30" w:type="dxa"/>
              <w:right w:w="120" w:type="dxa"/>
            </w:tcMar>
            <w:vAlign w:val="center"/>
          </w:tcPr>
          <w:p w14:paraId="0878FD14" w14:textId="77777777" w:rsidR="00F71505" w:rsidRDefault="0059288B">
            <w:pPr>
              <w:spacing w:after="315" w:line="240" w:lineRule="auto"/>
              <w:jc w:val="both"/>
              <w:rPr>
                <w:rFonts w:ascii="Times New Roman" w:hAnsi="Times New Roman" w:cs="Times New Roman"/>
                <w:sz w:val="20"/>
                <w:szCs w:val="20"/>
              </w:rPr>
            </w:pPr>
            <w:r>
              <w:rPr>
                <w:rFonts w:ascii="Times New Roman" w:hAnsi="Times New Roman" w:cs="Times New Roman"/>
                <w:sz w:val="20"/>
                <w:szCs w:val="20"/>
              </w:rPr>
              <w:t>Remedies sought in a lawsuit in various or alternative forms.</w:t>
            </w:r>
          </w:p>
        </w:tc>
      </w:tr>
      <w:tr w:rsidR="00F71505" w14:paraId="7711E3BA" w14:textId="77777777">
        <w:trPr>
          <w:trHeight w:val="362"/>
          <w:jc w:val="center"/>
        </w:trPr>
        <w:tc>
          <w:tcPr>
            <w:tcW w:w="3276" w:type="dxa"/>
            <w:shd w:val="clear" w:color="auto" w:fill="FFFFFF"/>
            <w:tcMar>
              <w:top w:w="30" w:type="dxa"/>
              <w:left w:w="120" w:type="dxa"/>
              <w:bottom w:w="30" w:type="dxa"/>
              <w:right w:w="120" w:type="dxa"/>
            </w:tcMar>
            <w:vAlign w:val="center"/>
          </w:tcPr>
          <w:p w14:paraId="03947CBB" w14:textId="77777777" w:rsidR="00F71505" w:rsidRDefault="0059288B">
            <w:pPr>
              <w:spacing w:after="315" w:line="240" w:lineRule="auto"/>
              <w:jc w:val="both"/>
              <w:rPr>
                <w:rFonts w:ascii="Times New Roman" w:hAnsi="Times New Roman" w:cs="Times New Roman"/>
                <w:sz w:val="20"/>
                <w:szCs w:val="20"/>
              </w:rPr>
            </w:pPr>
            <w:r>
              <w:rPr>
                <w:rFonts w:ascii="Times New Roman" w:hAnsi="Times New Roman" w:cs="Times New Roman"/>
                <w:sz w:val="20"/>
                <w:szCs w:val="20"/>
              </w:rPr>
              <w:t xml:space="preserve">3. Res </w:t>
            </w:r>
            <w:r>
              <w:rPr>
                <w:rFonts w:ascii="Times New Roman" w:hAnsi="Times New Roman" w:cs="Times New Roman"/>
                <w:sz w:val="20"/>
                <w:szCs w:val="20"/>
              </w:rPr>
              <w:t>Judicata</w:t>
            </w:r>
          </w:p>
        </w:tc>
        <w:tc>
          <w:tcPr>
            <w:tcW w:w="6083" w:type="dxa"/>
            <w:shd w:val="clear" w:color="auto" w:fill="FFFFFF"/>
            <w:tcMar>
              <w:top w:w="30" w:type="dxa"/>
              <w:left w:w="120" w:type="dxa"/>
              <w:bottom w:w="30" w:type="dxa"/>
              <w:right w:w="120" w:type="dxa"/>
            </w:tcMar>
            <w:vAlign w:val="center"/>
          </w:tcPr>
          <w:p w14:paraId="7281C28F" w14:textId="77777777" w:rsidR="00F71505" w:rsidRDefault="0059288B">
            <w:pPr>
              <w:spacing w:after="315" w:line="240" w:lineRule="auto"/>
              <w:jc w:val="both"/>
              <w:rPr>
                <w:rFonts w:ascii="Times New Roman" w:hAnsi="Times New Roman" w:cs="Times New Roman"/>
                <w:sz w:val="20"/>
                <w:szCs w:val="20"/>
              </w:rPr>
            </w:pPr>
            <w:r>
              <w:rPr>
                <w:rFonts w:ascii="Times New Roman" w:hAnsi="Times New Roman" w:cs="Times New Roman"/>
                <w:sz w:val="20"/>
                <w:szCs w:val="20"/>
              </w:rPr>
              <w:t>A case that has been decided.</w:t>
            </w:r>
          </w:p>
        </w:tc>
      </w:tr>
      <w:tr w:rsidR="00F71505" w14:paraId="1076A046" w14:textId="77777777">
        <w:trPr>
          <w:trHeight w:val="362"/>
          <w:jc w:val="center"/>
        </w:trPr>
        <w:tc>
          <w:tcPr>
            <w:tcW w:w="3276" w:type="dxa"/>
            <w:shd w:val="clear" w:color="auto" w:fill="FFFFFF"/>
            <w:tcMar>
              <w:top w:w="30" w:type="dxa"/>
              <w:left w:w="120" w:type="dxa"/>
              <w:bottom w:w="30" w:type="dxa"/>
              <w:right w:w="120" w:type="dxa"/>
            </w:tcMar>
            <w:vAlign w:val="center"/>
          </w:tcPr>
          <w:p w14:paraId="045A5979" w14:textId="77777777" w:rsidR="00F71505" w:rsidRDefault="0059288B">
            <w:pPr>
              <w:spacing w:after="315" w:line="240" w:lineRule="auto"/>
              <w:jc w:val="both"/>
              <w:rPr>
                <w:rFonts w:ascii="Times New Roman" w:hAnsi="Times New Roman" w:cs="Times New Roman"/>
                <w:sz w:val="20"/>
                <w:szCs w:val="20"/>
              </w:rPr>
            </w:pPr>
            <w:r>
              <w:rPr>
                <w:rFonts w:ascii="Times New Roman" w:hAnsi="Times New Roman" w:cs="Times New Roman"/>
                <w:sz w:val="20"/>
                <w:szCs w:val="20"/>
              </w:rPr>
              <w:t>4. Questions of the Fact</w:t>
            </w:r>
          </w:p>
        </w:tc>
        <w:tc>
          <w:tcPr>
            <w:tcW w:w="6083" w:type="dxa"/>
            <w:shd w:val="clear" w:color="auto" w:fill="FFFFFF"/>
            <w:tcMar>
              <w:top w:w="30" w:type="dxa"/>
              <w:left w:w="120" w:type="dxa"/>
              <w:bottom w:w="30" w:type="dxa"/>
              <w:right w:w="120" w:type="dxa"/>
            </w:tcMar>
            <w:vAlign w:val="center"/>
          </w:tcPr>
          <w:p w14:paraId="19273706" w14:textId="77777777" w:rsidR="00F71505" w:rsidRDefault="0059288B">
            <w:pPr>
              <w:spacing w:after="315" w:line="240" w:lineRule="auto"/>
              <w:jc w:val="both"/>
              <w:rPr>
                <w:rFonts w:ascii="Times New Roman" w:hAnsi="Times New Roman" w:cs="Times New Roman"/>
                <w:sz w:val="20"/>
                <w:szCs w:val="20"/>
              </w:rPr>
            </w:pPr>
            <w:r>
              <w:rPr>
                <w:rFonts w:ascii="Times New Roman" w:hAnsi="Times New Roman" w:cs="Times New Roman"/>
                <w:sz w:val="20"/>
                <w:szCs w:val="20"/>
              </w:rPr>
              <w:t>An issue that involves resolution of a factual dispute or controversy.</w:t>
            </w:r>
          </w:p>
        </w:tc>
      </w:tr>
      <w:tr w:rsidR="00F71505" w14:paraId="324DF250" w14:textId="77777777">
        <w:trPr>
          <w:trHeight w:val="505"/>
          <w:jc w:val="center"/>
        </w:trPr>
        <w:tc>
          <w:tcPr>
            <w:tcW w:w="3276" w:type="dxa"/>
            <w:shd w:val="clear" w:color="auto" w:fill="FFFFFF"/>
            <w:tcMar>
              <w:top w:w="30" w:type="dxa"/>
              <w:left w:w="120" w:type="dxa"/>
              <w:bottom w:w="30" w:type="dxa"/>
              <w:right w:w="120" w:type="dxa"/>
            </w:tcMar>
            <w:vAlign w:val="center"/>
          </w:tcPr>
          <w:p w14:paraId="31EF4EA9" w14:textId="77777777" w:rsidR="00F71505" w:rsidRDefault="0059288B">
            <w:pPr>
              <w:spacing w:after="315" w:line="240" w:lineRule="auto"/>
              <w:jc w:val="both"/>
              <w:rPr>
                <w:rFonts w:ascii="Times New Roman" w:hAnsi="Times New Roman" w:cs="Times New Roman"/>
                <w:sz w:val="20"/>
                <w:szCs w:val="20"/>
              </w:rPr>
            </w:pPr>
            <w:r>
              <w:rPr>
                <w:rFonts w:ascii="Times New Roman" w:hAnsi="Times New Roman" w:cs="Times New Roman"/>
                <w:sz w:val="20"/>
                <w:szCs w:val="20"/>
              </w:rPr>
              <w:t>5. Laches</w:t>
            </w:r>
          </w:p>
        </w:tc>
        <w:tc>
          <w:tcPr>
            <w:tcW w:w="6083" w:type="dxa"/>
            <w:shd w:val="clear" w:color="auto" w:fill="FFFFFF"/>
            <w:tcMar>
              <w:top w:w="30" w:type="dxa"/>
              <w:left w:w="120" w:type="dxa"/>
              <w:bottom w:w="30" w:type="dxa"/>
              <w:right w:w="120" w:type="dxa"/>
            </w:tcMar>
            <w:vAlign w:val="center"/>
          </w:tcPr>
          <w:p w14:paraId="44A969D5" w14:textId="77777777" w:rsidR="00F71505" w:rsidRDefault="0059288B">
            <w:pPr>
              <w:spacing w:after="315" w:line="240" w:lineRule="auto"/>
              <w:jc w:val="both"/>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to an equitable action, that bars recovery by the plaintiff because of the plaintiff’s undue delay </w:t>
            </w:r>
            <w:r>
              <w:rPr>
                <w:rFonts w:ascii="Times New Roman" w:hAnsi="Times New Roman" w:cs="Times New Roman"/>
                <w:sz w:val="20"/>
                <w:szCs w:val="20"/>
              </w:rPr>
              <w:t>in seeking relief.</w:t>
            </w:r>
          </w:p>
        </w:tc>
      </w:tr>
    </w:tbl>
    <w:p w14:paraId="7355AA0C" w14:textId="77777777" w:rsidR="00F71505" w:rsidRDefault="00F71505">
      <w:pPr>
        <w:pStyle w:val="Heading2"/>
        <w:shd w:val="clear" w:color="auto" w:fill="FFFFFF"/>
        <w:spacing w:before="0" w:line="240" w:lineRule="auto"/>
        <w:jc w:val="both"/>
        <w:rPr>
          <w:rFonts w:ascii="Times New Roman" w:hAnsi="Times New Roman" w:cs="Times New Roman"/>
          <w:color w:val="auto"/>
          <w:sz w:val="20"/>
          <w:szCs w:val="20"/>
        </w:rPr>
        <w:sectPr w:rsidR="00F71505">
          <w:type w:val="continuous"/>
          <w:pgSz w:w="12240" w:h="15840"/>
          <w:pgMar w:top="1440" w:right="1440" w:bottom="1440" w:left="1440" w:header="720" w:footer="720" w:gutter="0"/>
          <w:cols w:space="720"/>
          <w:docGrid w:linePitch="360"/>
        </w:sectPr>
      </w:pPr>
    </w:p>
    <w:p w14:paraId="38697709" w14:textId="77777777" w:rsidR="00F71505" w:rsidRDefault="0059288B">
      <w:pPr>
        <w:pStyle w:val="Heading2"/>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color w:val="auto"/>
          <w:sz w:val="20"/>
          <w:szCs w:val="20"/>
        </w:rPr>
        <w:t>Types of Writs</w:t>
      </w:r>
    </w:p>
    <w:p w14:paraId="410864AB" w14:textId="096096AA" w:rsidR="00F71505" w:rsidRDefault="0059288B" w:rsidP="00ED067E">
      <w:pPr>
        <w:pStyle w:val="NormalWeb"/>
        <w:shd w:val="clear" w:color="auto" w:fill="FFFFFF"/>
        <w:spacing w:before="0" w:beforeAutospacing="0" w:after="0" w:afterAutospacing="0"/>
        <w:ind w:firstLine="720"/>
        <w:jc w:val="both"/>
        <w:rPr>
          <w:sz w:val="20"/>
          <w:szCs w:val="20"/>
        </w:rPr>
      </w:pPr>
      <w:r>
        <w:rPr>
          <w:sz w:val="20"/>
          <w:szCs w:val="20"/>
        </w:rPr>
        <w:t>There are five types of Writs as provided under Article 32 of the Constitution:</w:t>
      </w:r>
    </w:p>
    <w:p w14:paraId="59809F18" w14:textId="77777777" w:rsidR="00ED067E" w:rsidRDefault="00ED067E">
      <w:pPr>
        <w:pStyle w:val="NormalWeb"/>
        <w:shd w:val="clear" w:color="auto" w:fill="FFFFFF"/>
        <w:spacing w:before="0" w:beforeAutospacing="0" w:after="0" w:afterAutospacing="0"/>
        <w:jc w:val="both"/>
        <w:rPr>
          <w:sz w:val="20"/>
          <w:szCs w:val="20"/>
        </w:rPr>
      </w:pPr>
    </w:p>
    <w:p w14:paraId="7A0ACA23" w14:textId="77777777" w:rsidR="00F71505" w:rsidRDefault="0059288B">
      <w:pPr>
        <w:pStyle w:val="Heading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color w:val="auto"/>
          <w:sz w:val="20"/>
          <w:szCs w:val="20"/>
        </w:rPr>
        <w:t>1. Habeas Corpus</w:t>
      </w:r>
    </w:p>
    <w:p w14:paraId="0AF98EA3" w14:textId="77777777" w:rsidR="00F71505" w:rsidRDefault="0059288B">
      <w:pPr>
        <w:numPr>
          <w:ilvl w:val="0"/>
          <w:numId w:val="1"/>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Meaning</w:t>
      </w:r>
    </w:p>
    <w:p w14:paraId="22E1C8AD" w14:textId="77777777" w:rsidR="00F71505" w:rsidRDefault="0059288B">
      <w:pPr>
        <w:pStyle w:val="NormalWeb"/>
        <w:shd w:val="clear" w:color="auto" w:fill="FFFFFF"/>
        <w:spacing w:before="0" w:beforeAutospacing="0" w:after="0" w:afterAutospacing="0"/>
        <w:jc w:val="both"/>
        <w:rPr>
          <w:sz w:val="20"/>
          <w:szCs w:val="20"/>
        </w:rPr>
      </w:pPr>
      <w:r>
        <w:rPr>
          <w:sz w:val="20"/>
          <w:szCs w:val="20"/>
        </w:rPr>
        <w:t xml:space="preserve">It is one of the important writs for personal liberty which says “You have the Body”. The main </w:t>
      </w:r>
      <w:r>
        <w:rPr>
          <w:sz w:val="20"/>
          <w:szCs w:val="20"/>
        </w:rPr>
        <w:t xml:space="preserve">purpose of this writ is to seek relief from the unlawful detention of an individual. It is for the protection of the individual from being harmed by the administrative system and it is for safeguarding the freedom of the individual against arbitrary state </w:t>
      </w:r>
      <w:r>
        <w:rPr>
          <w:sz w:val="20"/>
          <w:szCs w:val="20"/>
        </w:rPr>
        <w:t xml:space="preserve">action which violates </w:t>
      </w:r>
      <w:r>
        <w:rPr>
          <w:sz w:val="20"/>
          <w:szCs w:val="20"/>
        </w:rPr>
        <w:t>Fundamental Rights under Articles 19, 21 &amp; 22 of the Constitution. This writ provides immediate relief in case of unlawful detention.</w:t>
      </w:r>
    </w:p>
    <w:p w14:paraId="4ADC56EF" w14:textId="77777777" w:rsidR="00F71505" w:rsidRDefault="0059288B">
      <w:pPr>
        <w:numPr>
          <w:ilvl w:val="0"/>
          <w:numId w:val="2"/>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 xml:space="preserve">When </w:t>
      </w:r>
      <w:proofErr w:type="gramStart"/>
      <w:r>
        <w:rPr>
          <w:rFonts w:ascii="Times New Roman" w:hAnsi="Times New Roman" w:cs="Times New Roman"/>
          <w:sz w:val="20"/>
          <w:szCs w:val="20"/>
        </w:rPr>
        <w:t>Issued</w:t>
      </w:r>
      <w:proofErr w:type="gramEnd"/>
      <w:r>
        <w:rPr>
          <w:rFonts w:ascii="Times New Roman" w:hAnsi="Times New Roman" w:cs="Times New Roman"/>
          <w:sz w:val="20"/>
          <w:szCs w:val="20"/>
        </w:rPr>
        <w:t>?</w:t>
      </w:r>
    </w:p>
    <w:p w14:paraId="01FFF09C" w14:textId="77777777" w:rsidR="00F71505" w:rsidRDefault="0059288B">
      <w:pPr>
        <w:pStyle w:val="NormalWeb"/>
        <w:shd w:val="clear" w:color="auto" w:fill="FFFFFF"/>
        <w:spacing w:before="0" w:beforeAutospacing="0" w:after="0" w:afterAutospacing="0"/>
        <w:jc w:val="both"/>
        <w:rPr>
          <w:sz w:val="20"/>
          <w:szCs w:val="20"/>
        </w:rPr>
      </w:pPr>
      <w:r>
        <w:rPr>
          <w:sz w:val="20"/>
          <w:szCs w:val="20"/>
        </w:rPr>
        <w:t xml:space="preserve">Writ of Habeas Corpus is issued if an individual is kept in jail or under a </w:t>
      </w:r>
      <w:r>
        <w:rPr>
          <w:sz w:val="20"/>
          <w:szCs w:val="20"/>
        </w:rPr>
        <w:t xml:space="preserve">private care without any authority of law. A criminal who is convicted has the right to seek the assistance of the court by filing an application for “writ of Habeas Corpus” if he believes that he has been wrongfully imprisoned and the conditions in which </w:t>
      </w:r>
      <w:r>
        <w:rPr>
          <w:sz w:val="20"/>
          <w:szCs w:val="20"/>
        </w:rPr>
        <w:t xml:space="preserve">he has been held falls below minimum legal standards for human treatment. The court issues an order against prison warden who is holding an individual in custody </w:t>
      </w:r>
      <w:r>
        <w:rPr>
          <w:sz w:val="20"/>
          <w:szCs w:val="20"/>
        </w:rPr>
        <w:lastRenderedPageBreak/>
        <w:t>in order to deliver that prisoner to the court so that a judge can decide whether or not the p</w:t>
      </w:r>
      <w:r>
        <w:rPr>
          <w:sz w:val="20"/>
          <w:szCs w:val="20"/>
        </w:rPr>
        <w:t>risoner is lawfully imprisoned and if not then whether he should be released from custody.</w:t>
      </w:r>
    </w:p>
    <w:p w14:paraId="52BE45B8" w14:textId="77777777" w:rsidR="00F71505" w:rsidRDefault="0059288B">
      <w:pPr>
        <w:numPr>
          <w:ilvl w:val="0"/>
          <w:numId w:val="3"/>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Important judgments on Habeas Corpus</w:t>
      </w:r>
    </w:p>
    <w:p w14:paraId="688594C3" w14:textId="77777777" w:rsidR="00F71505" w:rsidRDefault="0059288B">
      <w:pPr>
        <w:pStyle w:val="NormalWeb"/>
        <w:shd w:val="clear" w:color="auto" w:fill="FFFFFF"/>
        <w:spacing w:before="0" w:beforeAutospacing="0" w:after="0" w:afterAutospacing="0"/>
        <w:jc w:val="both"/>
        <w:rPr>
          <w:sz w:val="20"/>
          <w:szCs w:val="20"/>
        </w:rPr>
      </w:pPr>
      <w:r>
        <w:rPr>
          <w:sz w:val="20"/>
          <w:szCs w:val="20"/>
        </w:rPr>
        <w:t xml:space="preserve">The first Habeas Corpus case of India was that in Kerala where it was filed by the victims’ father as the victim P. </w:t>
      </w:r>
      <w:proofErr w:type="spellStart"/>
      <w:r>
        <w:rPr>
          <w:sz w:val="20"/>
          <w:szCs w:val="20"/>
        </w:rPr>
        <w:t>Rajan</w:t>
      </w:r>
      <w:proofErr w:type="spellEnd"/>
      <w:r>
        <w:rPr>
          <w:sz w:val="20"/>
          <w:szCs w:val="20"/>
        </w:rPr>
        <w:t xml:space="preserve"> who wa</w:t>
      </w:r>
      <w:r>
        <w:rPr>
          <w:sz w:val="20"/>
          <w:szCs w:val="20"/>
        </w:rPr>
        <w:t xml:space="preserve">s a college student was arrested by the Kerala police and being unable to bear the torture he died in police custody. So, his father </w:t>
      </w:r>
      <w:proofErr w:type="spellStart"/>
      <w:r>
        <w:rPr>
          <w:sz w:val="20"/>
          <w:szCs w:val="20"/>
        </w:rPr>
        <w:t>Mr</w:t>
      </w:r>
      <w:proofErr w:type="spellEnd"/>
      <w:r>
        <w:rPr>
          <w:sz w:val="20"/>
          <w:szCs w:val="20"/>
        </w:rPr>
        <w:t xml:space="preserve"> T.V. </w:t>
      </w:r>
      <w:proofErr w:type="spellStart"/>
      <w:r>
        <w:rPr>
          <w:sz w:val="20"/>
          <w:szCs w:val="20"/>
        </w:rPr>
        <w:t>Eachara</w:t>
      </w:r>
      <w:proofErr w:type="spellEnd"/>
      <w:r>
        <w:rPr>
          <w:sz w:val="20"/>
          <w:szCs w:val="20"/>
        </w:rPr>
        <w:t xml:space="preserve"> </w:t>
      </w:r>
      <w:proofErr w:type="spellStart"/>
      <w:r>
        <w:rPr>
          <w:sz w:val="20"/>
          <w:szCs w:val="20"/>
        </w:rPr>
        <w:t>Warrier</w:t>
      </w:r>
      <w:proofErr w:type="spellEnd"/>
      <w:r>
        <w:rPr>
          <w:sz w:val="20"/>
          <w:szCs w:val="20"/>
        </w:rPr>
        <w:t xml:space="preserve"> filed a writ of Habeas Corpus and it was proved that he died in police custody.</w:t>
      </w:r>
    </w:p>
    <w:p w14:paraId="67A8E36A" w14:textId="77777777" w:rsidR="00F71505" w:rsidRDefault="0059288B">
      <w:pPr>
        <w:pStyle w:val="NormalWeb"/>
        <w:shd w:val="clear" w:color="auto" w:fill="FFFFFF"/>
        <w:spacing w:before="0" w:beforeAutospacing="0" w:after="0" w:afterAutospacing="0"/>
        <w:jc w:val="both"/>
        <w:rPr>
          <w:sz w:val="20"/>
          <w:szCs w:val="20"/>
        </w:rPr>
      </w:pPr>
      <w:r>
        <w:rPr>
          <w:sz w:val="20"/>
          <w:szCs w:val="20"/>
        </w:rPr>
        <w:t>Then, in the case o</w:t>
      </w:r>
      <w:r>
        <w:rPr>
          <w:sz w:val="20"/>
          <w:szCs w:val="20"/>
        </w:rPr>
        <w:t>f </w:t>
      </w:r>
      <w:r>
        <w:rPr>
          <w:b/>
          <w:bCs/>
          <w:i/>
          <w:iCs/>
          <w:sz w:val="20"/>
          <w:szCs w:val="20"/>
        </w:rPr>
        <w:t xml:space="preserve">ADM Jabalpur v. </w:t>
      </w:r>
      <w:proofErr w:type="spellStart"/>
      <w:r>
        <w:rPr>
          <w:b/>
          <w:bCs/>
          <w:i/>
          <w:iCs/>
          <w:sz w:val="20"/>
          <w:szCs w:val="20"/>
        </w:rPr>
        <w:t>Shivakant</w:t>
      </w:r>
      <w:proofErr w:type="spellEnd"/>
      <w:r>
        <w:rPr>
          <w:b/>
          <w:bCs/>
          <w:i/>
          <w:iCs/>
          <w:sz w:val="20"/>
          <w:szCs w:val="20"/>
        </w:rPr>
        <w:t xml:space="preserve"> Shukla</w:t>
      </w:r>
      <w:r>
        <w:rPr>
          <w:sz w:val="20"/>
          <w:szCs w:val="20"/>
        </w:rPr>
        <w:t> [1] which is also known as the Habeas Corpus case, it was held that the writ of Habeas Corpus cannot be suspended even during an emergency (Article 359).</w:t>
      </w:r>
    </w:p>
    <w:p w14:paraId="55294CE5" w14:textId="77777777" w:rsidR="00F71505" w:rsidRDefault="0059288B">
      <w:pPr>
        <w:pStyle w:val="NormalWeb"/>
        <w:shd w:val="clear" w:color="auto" w:fill="FFFFFF"/>
        <w:spacing w:before="0" w:beforeAutospacing="0" w:after="0" w:afterAutospacing="0"/>
        <w:jc w:val="both"/>
        <w:rPr>
          <w:sz w:val="20"/>
          <w:szCs w:val="20"/>
        </w:rPr>
      </w:pPr>
      <w:r>
        <w:rPr>
          <w:sz w:val="20"/>
          <w:szCs w:val="20"/>
        </w:rPr>
        <w:t xml:space="preserve">While deciding whether Habeas Corpus writs are civil or </w:t>
      </w:r>
      <w:r>
        <w:rPr>
          <w:sz w:val="20"/>
          <w:szCs w:val="20"/>
        </w:rPr>
        <w:t>criminal in nature, it was held in </w:t>
      </w:r>
      <w:r>
        <w:rPr>
          <w:b/>
          <w:bCs/>
          <w:i/>
          <w:iCs/>
          <w:sz w:val="20"/>
          <w:szCs w:val="20"/>
        </w:rPr>
        <w:t xml:space="preserve">Narayan v. </w:t>
      </w:r>
      <w:proofErr w:type="spellStart"/>
      <w:r>
        <w:rPr>
          <w:b/>
          <w:bCs/>
          <w:i/>
          <w:iCs/>
          <w:sz w:val="20"/>
          <w:szCs w:val="20"/>
        </w:rPr>
        <w:t>Ishwarlal</w:t>
      </w:r>
      <w:proofErr w:type="spellEnd"/>
      <w:r>
        <w:rPr>
          <w:sz w:val="20"/>
          <w:szCs w:val="20"/>
        </w:rPr>
        <w:t> [2] that the court would rely on the way of the procedures in which the locale has been executed.</w:t>
      </w:r>
    </w:p>
    <w:p w14:paraId="2C77E2E8" w14:textId="77777777" w:rsidR="00F71505" w:rsidRDefault="0059288B">
      <w:pPr>
        <w:pStyle w:val="NormalWeb"/>
        <w:shd w:val="clear" w:color="auto" w:fill="FFFFFF"/>
        <w:spacing w:before="0" w:beforeAutospacing="0" w:after="0" w:afterAutospacing="0"/>
        <w:jc w:val="both"/>
        <w:rPr>
          <w:sz w:val="20"/>
          <w:szCs w:val="20"/>
        </w:rPr>
      </w:pPr>
      <w:r>
        <w:rPr>
          <w:sz w:val="20"/>
          <w:szCs w:val="20"/>
        </w:rPr>
        <w:t>This writ has been extended to non-state authorities as well which is evident from two cases. One from</w:t>
      </w:r>
      <w:r>
        <w:rPr>
          <w:sz w:val="20"/>
          <w:szCs w:val="20"/>
        </w:rPr>
        <w:t xml:space="preserve"> the </w:t>
      </w:r>
      <w:r>
        <w:rPr>
          <w:b/>
          <w:bCs/>
          <w:i/>
          <w:iCs/>
          <w:sz w:val="20"/>
          <w:szCs w:val="20"/>
        </w:rPr>
        <w:t xml:space="preserve">Queen Bench’s case of 1898 of Ex </w:t>
      </w:r>
      <w:proofErr w:type="spellStart"/>
      <w:r>
        <w:rPr>
          <w:b/>
          <w:bCs/>
          <w:i/>
          <w:iCs/>
          <w:sz w:val="20"/>
          <w:szCs w:val="20"/>
        </w:rPr>
        <w:t>Parte</w:t>
      </w:r>
      <w:proofErr w:type="spellEnd"/>
      <w:r>
        <w:rPr>
          <w:b/>
          <w:bCs/>
          <w:i/>
          <w:iCs/>
          <w:sz w:val="20"/>
          <w:szCs w:val="20"/>
        </w:rPr>
        <w:t xml:space="preserve"> Daisy Hopkins</w:t>
      </w:r>
      <w:r>
        <w:rPr>
          <w:sz w:val="20"/>
          <w:szCs w:val="20"/>
        </w:rPr>
        <w:t> in which the proctor of Cambridge University detained and arrested Hopkins without his jurisdiction and Hopkins was released. And in the case of </w:t>
      </w:r>
      <w:r>
        <w:rPr>
          <w:b/>
          <w:bCs/>
          <w:i/>
          <w:iCs/>
          <w:sz w:val="20"/>
          <w:szCs w:val="20"/>
        </w:rPr>
        <w:t>Somerset v. Stewart</w:t>
      </w:r>
      <w:r>
        <w:rPr>
          <w:sz w:val="20"/>
          <w:szCs w:val="20"/>
        </w:rPr>
        <w:t> wherein an African Slave whose ma</w:t>
      </w:r>
      <w:r>
        <w:rPr>
          <w:sz w:val="20"/>
          <w:szCs w:val="20"/>
        </w:rPr>
        <w:t>ster had moved to London was freed by the action of the Writ.</w:t>
      </w:r>
    </w:p>
    <w:p w14:paraId="0E489F79" w14:textId="77777777" w:rsidR="00F71505" w:rsidRDefault="0059288B">
      <w:pPr>
        <w:numPr>
          <w:ilvl w:val="0"/>
          <w:numId w:val="4"/>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Circumstances when the writ of Habeas Corpus cannot be issued: </w:t>
      </w:r>
    </w:p>
    <w:p w14:paraId="131A997C" w14:textId="77777777" w:rsidR="00F71505" w:rsidRDefault="0059288B">
      <w:pPr>
        <w:numPr>
          <w:ilvl w:val="0"/>
          <w:numId w:val="5"/>
        </w:numPr>
        <w:shd w:val="clear" w:color="auto" w:fill="FFFFFF"/>
        <w:spacing w:after="121" w:line="240" w:lineRule="auto"/>
        <w:ind w:left="974"/>
        <w:jc w:val="both"/>
        <w:rPr>
          <w:rFonts w:ascii="Times New Roman" w:hAnsi="Times New Roman" w:cs="Times New Roman"/>
          <w:sz w:val="20"/>
          <w:szCs w:val="20"/>
        </w:rPr>
      </w:pPr>
      <w:r>
        <w:rPr>
          <w:rFonts w:ascii="Times New Roman" w:hAnsi="Times New Roman" w:cs="Times New Roman"/>
          <w:sz w:val="20"/>
          <w:szCs w:val="20"/>
        </w:rPr>
        <w:t>The detention is lawful.</w:t>
      </w:r>
    </w:p>
    <w:p w14:paraId="7E7EEA2F" w14:textId="77777777" w:rsidR="00F71505" w:rsidRDefault="0059288B">
      <w:pPr>
        <w:numPr>
          <w:ilvl w:val="0"/>
          <w:numId w:val="5"/>
        </w:numPr>
        <w:shd w:val="clear" w:color="auto" w:fill="FFFFFF"/>
        <w:spacing w:after="121" w:line="240" w:lineRule="auto"/>
        <w:ind w:left="974"/>
        <w:jc w:val="both"/>
        <w:rPr>
          <w:rFonts w:ascii="Times New Roman" w:hAnsi="Times New Roman" w:cs="Times New Roman"/>
          <w:sz w:val="20"/>
          <w:szCs w:val="20"/>
        </w:rPr>
      </w:pPr>
      <w:r>
        <w:rPr>
          <w:rFonts w:ascii="Times New Roman" w:hAnsi="Times New Roman" w:cs="Times New Roman"/>
          <w:sz w:val="20"/>
          <w:szCs w:val="20"/>
        </w:rPr>
        <w:t>The case is being prosecuted for failure to comply with a legislative or judicial mandate.</w:t>
      </w:r>
    </w:p>
    <w:p w14:paraId="65EAF97E" w14:textId="77777777" w:rsidR="00F71505" w:rsidRDefault="0059288B">
      <w:pPr>
        <w:numPr>
          <w:ilvl w:val="0"/>
          <w:numId w:val="5"/>
        </w:numPr>
        <w:shd w:val="clear" w:color="auto" w:fill="FFFFFF"/>
        <w:spacing w:after="121" w:line="240" w:lineRule="auto"/>
        <w:ind w:left="974"/>
        <w:jc w:val="both"/>
        <w:rPr>
          <w:rFonts w:ascii="Times New Roman" w:hAnsi="Times New Roman" w:cs="Times New Roman"/>
          <w:sz w:val="20"/>
          <w:szCs w:val="20"/>
        </w:rPr>
      </w:pPr>
      <w:r>
        <w:rPr>
          <w:rFonts w:ascii="Times New Roman" w:hAnsi="Times New Roman" w:cs="Times New Roman"/>
          <w:sz w:val="20"/>
          <w:szCs w:val="20"/>
        </w:rPr>
        <w:t>A competent co</w:t>
      </w:r>
      <w:r>
        <w:rPr>
          <w:rFonts w:ascii="Times New Roman" w:hAnsi="Times New Roman" w:cs="Times New Roman"/>
          <w:sz w:val="20"/>
          <w:szCs w:val="20"/>
        </w:rPr>
        <w:t>urt authorized the detention.</w:t>
      </w:r>
    </w:p>
    <w:p w14:paraId="027250B0" w14:textId="77777777" w:rsidR="00F71505" w:rsidRDefault="0059288B">
      <w:pPr>
        <w:numPr>
          <w:ilvl w:val="0"/>
          <w:numId w:val="5"/>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jurisdiction of the court on detention is ultra vires.</w:t>
      </w:r>
    </w:p>
    <w:p w14:paraId="3F7B48B2" w14:textId="77777777" w:rsidR="00ED067E" w:rsidRDefault="00ED067E">
      <w:pPr>
        <w:pStyle w:val="Heading3"/>
        <w:shd w:val="clear" w:color="auto" w:fill="FFFFFF"/>
        <w:spacing w:before="0" w:after="206" w:line="240" w:lineRule="auto"/>
        <w:jc w:val="both"/>
        <w:rPr>
          <w:rFonts w:ascii="Times New Roman" w:hAnsi="Times New Roman" w:cs="Times New Roman"/>
          <w:color w:val="auto"/>
          <w:sz w:val="20"/>
          <w:szCs w:val="20"/>
        </w:rPr>
      </w:pPr>
    </w:p>
    <w:p w14:paraId="768E115A" w14:textId="3664436C" w:rsidR="00F71505" w:rsidRDefault="0059288B">
      <w:pPr>
        <w:pStyle w:val="Heading3"/>
        <w:shd w:val="clear" w:color="auto" w:fill="FFFFFF"/>
        <w:spacing w:before="0" w:after="206" w:line="240" w:lineRule="auto"/>
        <w:jc w:val="both"/>
        <w:rPr>
          <w:rFonts w:ascii="Times New Roman" w:hAnsi="Times New Roman" w:cs="Times New Roman"/>
          <w:b w:val="0"/>
          <w:bCs w:val="0"/>
          <w:color w:val="auto"/>
          <w:sz w:val="20"/>
          <w:szCs w:val="20"/>
        </w:rPr>
      </w:pPr>
      <w:r>
        <w:rPr>
          <w:rFonts w:ascii="Times New Roman" w:hAnsi="Times New Roman" w:cs="Times New Roman"/>
          <w:color w:val="auto"/>
          <w:sz w:val="20"/>
          <w:szCs w:val="20"/>
        </w:rPr>
        <w:t>2. Quo Warranto</w:t>
      </w:r>
    </w:p>
    <w:p w14:paraId="433CAA5A" w14:textId="77777777" w:rsidR="00F71505" w:rsidRDefault="0059288B">
      <w:pPr>
        <w:numPr>
          <w:ilvl w:val="0"/>
          <w:numId w:val="6"/>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What does the writ of Quo Warranto mean?</w:t>
      </w:r>
    </w:p>
    <w:p w14:paraId="09600475" w14:textId="77777777" w:rsidR="00F71505" w:rsidRDefault="0059288B">
      <w:pPr>
        <w:pStyle w:val="NormalWeb"/>
        <w:shd w:val="clear" w:color="auto" w:fill="FFFFFF"/>
        <w:spacing w:before="0" w:beforeAutospacing="0" w:after="0" w:afterAutospacing="0"/>
        <w:jc w:val="both"/>
        <w:rPr>
          <w:sz w:val="20"/>
          <w:szCs w:val="20"/>
        </w:rPr>
      </w:pPr>
      <w:r>
        <w:rPr>
          <w:sz w:val="20"/>
          <w:szCs w:val="20"/>
        </w:rPr>
        <w:t xml:space="preserve">Writ of Quo Warranto implies thereby “By what means”. This writ is invoked in cases of public offices and it </w:t>
      </w:r>
      <w:r>
        <w:rPr>
          <w:sz w:val="20"/>
          <w:szCs w:val="20"/>
        </w:rPr>
        <w:t xml:space="preserve">is issued to restrain persons from acting in public office to which he is not entitled to. Although the term ‘office’ here is different from ‘seat’ in legislature but still a writ of Quo Warranto can lie with respect to the post of Chief Minister holding </w:t>
      </w:r>
      <w:proofErr w:type="spellStart"/>
      <w:proofErr w:type="gramStart"/>
      <w:r>
        <w:rPr>
          <w:sz w:val="20"/>
          <w:szCs w:val="20"/>
        </w:rPr>
        <w:t>a</w:t>
      </w:r>
      <w:proofErr w:type="spellEnd"/>
      <w:proofErr w:type="gramEnd"/>
      <w:r>
        <w:rPr>
          <w:sz w:val="20"/>
          <w:szCs w:val="20"/>
        </w:rPr>
        <w:t xml:space="preserve"> office whereas a writ of quo warranto cannot be issued against a Chief Minister, if the petitioner fails to show that the minister is not properly appointed or that he is not </w:t>
      </w:r>
      <w:r>
        <w:rPr>
          <w:sz w:val="20"/>
          <w:szCs w:val="20"/>
        </w:rPr>
        <w:t>qualified by law to hold the office. It cannot be issued against an Administrato</w:t>
      </w:r>
      <w:r>
        <w:rPr>
          <w:sz w:val="20"/>
          <w:szCs w:val="20"/>
        </w:rPr>
        <w:t>r who is appointed by the government to manage Municipal Corporation, after its dissolution. Appointment to public office can be challenged by any person irrespective of the fact whether his fundamental or any legal right has been infringed or not.</w:t>
      </w:r>
    </w:p>
    <w:p w14:paraId="4397B41A" w14:textId="77777777" w:rsidR="00F71505" w:rsidRDefault="0059288B">
      <w:pPr>
        <w:numPr>
          <w:ilvl w:val="0"/>
          <w:numId w:val="7"/>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cou</w:t>
      </w:r>
      <w:r>
        <w:rPr>
          <w:rFonts w:ascii="Times New Roman" w:hAnsi="Times New Roman" w:cs="Times New Roman"/>
          <w:sz w:val="20"/>
          <w:szCs w:val="20"/>
        </w:rPr>
        <w:t>rt issues the Writ of Quo Warranto in the following cases:</w:t>
      </w:r>
    </w:p>
    <w:p w14:paraId="2DE51ABE" w14:textId="77777777" w:rsidR="00F71505" w:rsidRDefault="0059288B">
      <w:pPr>
        <w:numPr>
          <w:ilvl w:val="0"/>
          <w:numId w:val="8"/>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When the public office is in question and it is of a substantive nature. A petition against a private corporation cannot be filed.</w:t>
      </w:r>
    </w:p>
    <w:p w14:paraId="493FC7EF" w14:textId="77777777" w:rsidR="00F71505" w:rsidRDefault="0059288B">
      <w:pPr>
        <w:numPr>
          <w:ilvl w:val="0"/>
          <w:numId w:val="8"/>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office is created by the State or the Constitution.</w:t>
      </w:r>
    </w:p>
    <w:p w14:paraId="2EE5FEA8" w14:textId="77777777" w:rsidR="00F71505" w:rsidRDefault="0059288B">
      <w:pPr>
        <w:numPr>
          <w:ilvl w:val="0"/>
          <w:numId w:val="8"/>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 xml:space="preserve">The claim </w:t>
      </w:r>
      <w:r>
        <w:rPr>
          <w:rFonts w:ascii="Times New Roman" w:hAnsi="Times New Roman" w:cs="Times New Roman"/>
          <w:sz w:val="20"/>
          <w:szCs w:val="20"/>
        </w:rPr>
        <w:t xml:space="preserve">should be asserted on the office by the public servant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respondent.</w:t>
      </w:r>
    </w:p>
    <w:p w14:paraId="48673CE9" w14:textId="77777777" w:rsidR="00F71505" w:rsidRDefault="0059288B">
      <w:pPr>
        <w:numPr>
          <w:ilvl w:val="0"/>
          <w:numId w:val="9"/>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Important Case Laws</w:t>
      </w:r>
    </w:p>
    <w:p w14:paraId="3B98943B" w14:textId="77777777" w:rsidR="00F71505" w:rsidRDefault="0059288B">
      <w:pPr>
        <w:pStyle w:val="NormalWeb"/>
        <w:shd w:val="clear" w:color="auto" w:fill="FFFFFF"/>
        <w:spacing w:before="0" w:beforeAutospacing="0" w:after="0" w:afterAutospacing="0"/>
        <w:jc w:val="both"/>
        <w:rPr>
          <w:sz w:val="20"/>
          <w:szCs w:val="20"/>
        </w:rPr>
      </w:pPr>
      <w:r>
        <w:rPr>
          <w:sz w:val="20"/>
          <w:szCs w:val="20"/>
        </w:rPr>
        <w:t>In the case of </w:t>
      </w:r>
      <w:r>
        <w:rPr>
          <w:b/>
          <w:bCs/>
          <w:i/>
          <w:iCs/>
          <w:sz w:val="20"/>
          <w:szCs w:val="20"/>
        </w:rPr>
        <w:t>Ashok Pandey v. Mayawati</w:t>
      </w:r>
      <w:r>
        <w:rPr>
          <w:sz w:val="20"/>
          <w:szCs w:val="20"/>
        </w:rPr>
        <w:t xml:space="preserve"> [3], the writ of Quo Warranto was refused against </w:t>
      </w:r>
      <w:proofErr w:type="spellStart"/>
      <w:r>
        <w:rPr>
          <w:sz w:val="20"/>
          <w:szCs w:val="20"/>
        </w:rPr>
        <w:t>Ms</w:t>
      </w:r>
      <w:proofErr w:type="spellEnd"/>
      <w:r>
        <w:rPr>
          <w:sz w:val="20"/>
          <w:szCs w:val="20"/>
        </w:rPr>
        <w:t xml:space="preserve"> Mayawati (CM) and other ministers of her cabinet even though they were </w:t>
      </w:r>
      <w:r>
        <w:rPr>
          <w:sz w:val="20"/>
          <w:szCs w:val="20"/>
        </w:rPr>
        <w:t>Rajya Sabha members.</w:t>
      </w:r>
    </w:p>
    <w:p w14:paraId="677B7040" w14:textId="77777777" w:rsidR="00F71505" w:rsidRDefault="0059288B">
      <w:pPr>
        <w:pStyle w:val="NormalWeb"/>
        <w:shd w:val="clear" w:color="auto" w:fill="FFFFFF"/>
        <w:spacing w:before="0" w:beforeAutospacing="0" w:after="0" w:afterAutospacing="0"/>
        <w:jc w:val="both"/>
        <w:rPr>
          <w:sz w:val="20"/>
          <w:szCs w:val="20"/>
        </w:rPr>
      </w:pPr>
      <w:r>
        <w:rPr>
          <w:sz w:val="20"/>
          <w:szCs w:val="20"/>
        </w:rPr>
        <w:t>Then in the case of </w:t>
      </w:r>
      <w:r>
        <w:rPr>
          <w:b/>
          <w:bCs/>
          <w:i/>
          <w:iCs/>
          <w:sz w:val="20"/>
          <w:szCs w:val="20"/>
        </w:rPr>
        <w:t xml:space="preserve">G.D. Karkare v. T.L. </w:t>
      </w:r>
      <w:proofErr w:type="spellStart"/>
      <w:r>
        <w:rPr>
          <w:b/>
          <w:bCs/>
          <w:i/>
          <w:iCs/>
          <w:sz w:val="20"/>
          <w:szCs w:val="20"/>
        </w:rPr>
        <w:t>Shevde</w:t>
      </w:r>
      <w:proofErr w:type="spellEnd"/>
      <w:r>
        <w:rPr>
          <w:sz w:val="20"/>
          <w:szCs w:val="20"/>
        </w:rPr>
        <w:t xml:space="preserve"> [4], the High Court of Nagpur observed that “In proceedings for a writ of quo warranto, the applicant does not seek to enforce any right of his as such nor does he complain of any </w:t>
      </w:r>
      <w:r>
        <w:rPr>
          <w:sz w:val="20"/>
          <w:szCs w:val="20"/>
        </w:rPr>
        <w:t>non-performance of duty towards him. What is in question is the right of the non-applicant to hold the office and an order that is passed is an order ousting him from that office.”</w:t>
      </w:r>
    </w:p>
    <w:p w14:paraId="058E38C5" w14:textId="77777777" w:rsidR="00F71505" w:rsidRDefault="0059288B">
      <w:pPr>
        <w:pStyle w:val="NormalWeb"/>
        <w:shd w:val="clear" w:color="auto" w:fill="FFFFFF"/>
        <w:spacing w:before="0" w:beforeAutospacing="0" w:after="0" w:afterAutospacing="0"/>
        <w:jc w:val="both"/>
        <w:rPr>
          <w:sz w:val="20"/>
          <w:szCs w:val="20"/>
        </w:rPr>
      </w:pPr>
      <w:r>
        <w:rPr>
          <w:sz w:val="20"/>
          <w:szCs w:val="20"/>
        </w:rPr>
        <w:t>The Writ of quo warranto was denied by the court in the case of </w:t>
      </w:r>
      <w:r>
        <w:rPr>
          <w:b/>
          <w:bCs/>
          <w:i/>
          <w:iCs/>
          <w:sz w:val="20"/>
          <w:szCs w:val="20"/>
        </w:rPr>
        <w:t>Jamalpur Ar</w:t>
      </w:r>
      <w:r>
        <w:rPr>
          <w:b/>
          <w:bCs/>
          <w:i/>
          <w:iCs/>
          <w:sz w:val="20"/>
          <w:szCs w:val="20"/>
        </w:rPr>
        <w:t xml:space="preserve">ya </w:t>
      </w:r>
      <w:proofErr w:type="spellStart"/>
      <w:r>
        <w:rPr>
          <w:b/>
          <w:bCs/>
          <w:i/>
          <w:iCs/>
          <w:sz w:val="20"/>
          <w:szCs w:val="20"/>
        </w:rPr>
        <w:t>Samaj</w:t>
      </w:r>
      <w:proofErr w:type="spellEnd"/>
      <w:r>
        <w:rPr>
          <w:b/>
          <w:bCs/>
          <w:i/>
          <w:iCs/>
          <w:sz w:val="20"/>
          <w:szCs w:val="20"/>
        </w:rPr>
        <w:t xml:space="preserve"> v. Dr D. Ram</w:t>
      </w:r>
      <w:r>
        <w:rPr>
          <w:sz w:val="20"/>
          <w:szCs w:val="20"/>
        </w:rPr>
        <w:t xml:space="preserve"> [5]. The writ was denied on the ground that writ of quo warranto cannot lie against an office of a private nature. And </w:t>
      </w:r>
      <w:proofErr w:type="gramStart"/>
      <w:r>
        <w:rPr>
          <w:sz w:val="20"/>
          <w:szCs w:val="20"/>
        </w:rPr>
        <w:t>also</w:t>
      </w:r>
      <w:proofErr w:type="gramEnd"/>
      <w:r>
        <w:rPr>
          <w:sz w:val="20"/>
          <w:szCs w:val="20"/>
        </w:rPr>
        <w:t xml:space="preserve"> it is necessary that office must be of substantive character. Whereas in the case of </w:t>
      </w:r>
      <w:r>
        <w:rPr>
          <w:b/>
          <w:bCs/>
          <w:i/>
          <w:iCs/>
          <w:sz w:val="20"/>
          <w:szCs w:val="20"/>
        </w:rPr>
        <w:t>R.V. Speyer</w:t>
      </w:r>
      <w:r>
        <w:rPr>
          <w:sz w:val="20"/>
          <w:szCs w:val="20"/>
        </w:rPr>
        <w:t xml:space="preserve"> [6] the word </w:t>
      </w:r>
      <w:r>
        <w:rPr>
          <w:sz w:val="20"/>
          <w:szCs w:val="20"/>
        </w:rPr>
        <w:t xml:space="preserve">‘substantive’ was interpreted to mean an ‘office independent to the title’. </w:t>
      </w:r>
      <w:proofErr w:type="gramStart"/>
      <w:r>
        <w:rPr>
          <w:sz w:val="20"/>
          <w:szCs w:val="20"/>
        </w:rPr>
        <w:t>Also</w:t>
      </w:r>
      <w:proofErr w:type="gramEnd"/>
      <w:r>
        <w:rPr>
          <w:sz w:val="20"/>
          <w:szCs w:val="20"/>
        </w:rPr>
        <w:t xml:space="preserve"> in </w:t>
      </w:r>
      <w:r>
        <w:rPr>
          <w:b/>
          <w:bCs/>
          <w:i/>
          <w:iCs/>
          <w:sz w:val="20"/>
          <w:szCs w:val="20"/>
        </w:rPr>
        <w:t>H.S. Verma v. T.N. Singh</w:t>
      </w:r>
      <w:r>
        <w:rPr>
          <w:sz w:val="20"/>
          <w:szCs w:val="20"/>
        </w:rPr>
        <w:t> [7], the writ was refused as the appointment of a non-member of the state legislature as C.M. was found valid in view of Article 164(4) which allow</w:t>
      </w:r>
      <w:r>
        <w:rPr>
          <w:sz w:val="20"/>
          <w:szCs w:val="20"/>
        </w:rPr>
        <w:t>s such appointment for six months.</w:t>
      </w:r>
    </w:p>
    <w:p w14:paraId="3C249829" w14:textId="77777777" w:rsidR="00F71505" w:rsidRDefault="0059288B">
      <w:pPr>
        <w:numPr>
          <w:ilvl w:val="0"/>
          <w:numId w:val="10"/>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Circumstances when the writ of Quo Warranto cannot be issued</w:t>
      </w:r>
    </w:p>
    <w:p w14:paraId="62EE3861" w14:textId="77777777" w:rsidR="00F71505" w:rsidRDefault="0059288B">
      <w:pPr>
        <w:numPr>
          <w:ilvl w:val="0"/>
          <w:numId w:val="11"/>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writ of Quo Warranto cannot be issued for any private organization or person.</w:t>
      </w:r>
    </w:p>
    <w:p w14:paraId="67F5D91F" w14:textId="77777777" w:rsidR="00F71505" w:rsidRDefault="0059288B">
      <w:pPr>
        <w:numPr>
          <w:ilvl w:val="0"/>
          <w:numId w:val="11"/>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 xml:space="preserve">The writ of Quo Warranto cannot be issued for </w:t>
      </w:r>
      <w:proofErr w:type="spellStart"/>
      <w:r>
        <w:rPr>
          <w:rFonts w:ascii="Times New Roman" w:hAnsi="Times New Roman" w:cs="Times New Roman"/>
          <w:sz w:val="20"/>
          <w:szCs w:val="20"/>
        </w:rPr>
        <w:t>any body</w:t>
      </w:r>
      <w:proofErr w:type="spellEnd"/>
      <w:r>
        <w:rPr>
          <w:rFonts w:ascii="Times New Roman" w:hAnsi="Times New Roman" w:cs="Times New Roman"/>
          <w:sz w:val="20"/>
          <w:szCs w:val="20"/>
        </w:rPr>
        <w:t xml:space="preserve"> or an </w:t>
      </w:r>
      <w:proofErr w:type="spellStart"/>
      <w:r>
        <w:rPr>
          <w:rFonts w:ascii="Times New Roman" w:hAnsi="Times New Roman" w:cs="Times New Roman"/>
          <w:sz w:val="20"/>
          <w:szCs w:val="20"/>
        </w:rPr>
        <w:t>organisation</w:t>
      </w:r>
      <w:proofErr w:type="spellEnd"/>
      <w:r>
        <w:rPr>
          <w:rFonts w:ascii="Times New Roman" w:hAnsi="Times New Roman" w:cs="Times New Roman"/>
          <w:sz w:val="20"/>
          <w:szCs w:val="20"/>
        </w:rPr>
        <w:t xml:space="preserve"> that</w:t>
      </w:r>
      <w:r>
        <w:rPr>
          <w:rFonts w:ascii="Times New Roman" w:hAnsi="Times New Roman" w:cs="Times New Roman"/>
          <w:sz w:val="20"/>
          <w:szCs w:val="20"/>
        </w:rPr>
        <w:t xml:space="preserve"> does not fall under the definition of “State” as defined under Article 12. </w:t>
      </w:r>
    </w:p>
    <w:p w14:paraId="5D976C14" w14:textId="77777777" w:rsidR="00F71505" w:rsidRDefault="0059288B">
      <w:pPr>
        <w:numPr>
          <w:ilvl w:val="0"/>
          <w:numId w:val="11"/>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Absence of alternative remedy cannot be a ground for issuing a writ of Quo Warranto. </w:t>
      </w:r>
    </w:p>
    <w:p w14:paraId="151A11BC" w14:textId="77A0B2EC" w:rsidR="00F71505" w:rsidRDefault="0059288B">
      <w:pPr>
        <w:pStyle w:val="NormalWeb"/>
        <w:shd w:val="clear" w:color="auto" w:fill="FFFFFF"/>
        <w:spacing w:before="0" w:beforeAutospacing="0" w:after="0" w:afterAutospacing="0"/>
        <w:jc w:val="both"/>
        <w:rPr>
          <w:sz w:val="20"/>
          <w:szCs w:val="20"/>
        </w:rPr>
      </w:pPr>
      <w:r>
        <w:rPr>
          <w:sz w:val="20"/>
          <w:szCs w:val="20"/>
        </w:rPr>
        <w:t>In the case of </w:t>
      </w:r>
      <w:hyperlink r:id="rId20" w:history="1">
        <w:r>
          <w:rPr>
            <w:rStyle w:val="Hyperlink"/>
            <w:rFonts w:eastAsiaTheme="majorEastAsia"/>
            <w:i/>
            <w:iCs/>
            <w:color w:val="auto"/>
            <w:sz w:val="20"/>
            <w:szCs w:val="20"/>
            <w:u w:val="none"/>
          </w:rPr>
          <w:t>Bharati Reddy v. The State</w:t>
        </w:r>
        <w:r>
          <w:rPr>
            <w:rStyle w:val="Hyperlink"/>
            <w:rFonts w:eastAsiaTheme="majorEastAsia"/>
            <w:i/>
            <w:iCs/>
            <w:color w:val="auto"/>
            <w:sz w:val="20"/>
            <w:szCs w:val="20"/>
            <w:u w:val="none"/>
          </w:rPr>
          <w:t xml:space="preserve"> </w:t>
        </w:r>
        <w:proofErr w:type="gramStart"/>
        <w:r>
          <w:rPr>
            <w:rStyle w:val="Hyperlink"/>
            <w:rFonts w:eastAsiaTheme="majorEastAsia"/>
            <w:i/>
            <w:iCs/>
            <w:color w:val="auto"/>
            <w:sz w:val="20"/>
            <w:szCs w:val="20"/>
            <w:u w:val="none"/>
          </w:rPr>
          <w:t>Of</w:t>
        </w:r>
        <w:proofErr w:type="gramEnd"/>
        <w:r>
          <w:rPr>
            <w:rStyle w:val="Hyperlink"/>
            <w:rFonts w:eastAsiaTheme="majorEastAsia"/>
            <w:i/>
            <w:iCs/>
            <w:color w:val="auto"/>
            <w:sz w:val="20"/>
            <w:szCs w:val="20"/>
            <w:u w:val="none"/>
          </w:rPr>
          <w:t xml:space="preserve"> Karnataka</w:t>
        </w:r>
      </w:hyperlink>
      <w:r>
        <w:rPr>
          <w:sz w:val="20"/>
          <w:szCs w:val="20"/>
        </w:rPr>
        <w:t xml:space="preserve"> (2018), the Hon’ble Supreme Court held </w:t>
      </w:r>
      <w:r>
        <w:rPr>
          <w:sz w:val="20"/>
          <w:szCs w:val="20"/>
        </w:rPr>
        <w:lastRenderedPageBreak/>
        <w:t xml:space="preserve">that a writ of quo warranto cannot be issued based on assumptions, inferences, or speculations concerning the fact of accomplishment of qualifying conditions. There must be an </w:t>
      </w:r>
      <w:r>
        <w:rPr>
          <w:sz w:val="20"/>
          <w:szCs w:val="20"/>
        </w:rPr>
        <w:t>establishment of the fact that a public officer is abusing lawful powers not vested to him within the public authority.</w:t>
      </w:r>
    </w:p>
    <w:p w14:paraId="6AFCF4E7" w14:textId="77777777" w:rsidR="00ED067E" w:rsidRDefault="00ED067E">
      <w:pPr>
        <w:pStyle w:val="NormalWeb"/>
        <w:shd w:val="clear" w:color="auto" w:fill="FFFFFF"/>
        <w:spacing w:before="0" w:beforeAutospacing="0" w:after="0" w:afterAutospacing="0"/>
        <w:jc w:val="both"/>
        <w:rPr>
          <w:sz w:val="20"/>
          <w:szCs w:val="20"/>
        </w:rPr>
      </w:pPr>
    </w:p>
    <w:p w14:paraId="2427244D" w14:textId="77777777" w:rsidR="00F71505" w:rsidRDefault="0059288B">
      <w:pPr>
        <w:pStyle w:val="Heading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color w:val="auto"/>
          <w:sz w:val="20"/>
          <w:szCs w:val="20"/>
        </w:rPr>
        <w:t>3. Mandamus</w:t>
      </w:r>
    </w:p>
    <w:p w14:paraId="0CA870FF" w14:textId="77777777" w:rsidR="00F71505" w:rsidRDefault="0059288B">
      <w:pPr>
        <w:numPr>
          <w:ilvl w:val="0"/>
          <w:numId w:val="12"/>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Writ of Mandamus</w:t>
      </w:r>
    </w:p>
    <w:p w14:paraId="3503A401" w14:textId="77777777" w:rsidR="00F71505" w:rsidRDefault="0059288B">
      <w:pPr>
        <w:pStyle w:val="NormalWeb"/>
        <w:shd w:val="clear" w:color="auto" w:fill="FFFFFF"/>
        <w:spacing w:before="0" w:beforeAutospacing="0" w:after="315" w:afterAutospacing="0"/>
        <w:jc w:val="both"/>
        <w:rPr>
          <w:sz w:val="20"/>
          <w:szCs w:val="20"/>
        </w:rPr>
      </w:pPr>
      <w:r>
        <w:rPr>
          <w:sz w:val="20"/>
          <w:szCs w:val="20"/>
        </w:rPr>
        <w:t xml:space="preserve">Writ of Mandamus means “We Command” in Latin. This writ is issued for the correct performance of mandatory </w:t>
      </w:r>
      <w:r>
        <w:rPr>
          <w:sz w:val="20"/>
          <w:szCs w:val="20"/>
        </w:rPr>
        <w:t>and purely ministerial duties and is issued by a superior court to a lower court or government officer. However, this writ cannot be issued against the President and the Governor. Its main purpose is to ensure that the powers or duties are not misused by t</w:t>
      </w:r>
      <w:r>
        <w:rPr>
          <w:sz w:val="20"/>
          <w:szCs w:val="20"/>
        </w:rPr>
        <w:t>he administration or the executive and are fulfilled duly. Also, it safeguards the public from the misuse of authority by administrative bodies. The </w:t>
      </w:r>
      <w:r>
        <w:rPr>
          <w:i/>
          <w:iCs/>
          <w:sz w:val="20"/>
          <w:szCs w:val="20"/>
        </w:rPr>
        <w:t>mandamus </w:t>
      </w:r>
      <w:r>
        <w:rPr>
          <w:sz w:val="20"/>
          <w:szCs w:val="20"/>
        </w:rPr>
        <w:t>is “neither a writ of course nor a writ of right but that it will be granted if the duty is in nat</w:t>
      </w:r>
      <w:r>
        <w:rPr>
          <w:sz w:val="20"/>
          <w:szCs w:val="20"/>
        </w:rPr>
        <w:t>ure of public duty and it especially affects the right of an individual, provided there is no more appropriate remedy” [8]. The person applying for mandamus must be sure that he has the legal right to compel the opponent to do or refrain from doing somethi</w:t>
      </w:r>
      <w:r>
        <w:rPr>
          <w:sz w:val="20"/>
          <w:szCs w:val="20"/>
        </w:rPr>
        <w:t>ng.</w:t>
      </w:r>
    </w:p>
    <w:p w14:paraId="67B78B22" w14:textId="77777777" w:rsidR="00F71505" w:rsidRDefault="0059288B">
      <w:pPr>
        <w:numPr>
          <w:ilvl w:val="0"/>
          <w:numId w:val="13"/>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Conditions for issue of Mandamus</w:t>
      </w:r>
    </w:p>
    <w:p w14:paraId="07619037" w14:textId="77777777" w:rsidR="00F71505" w:rsidRDefault="0059288B">
      <w:pPr>
        <w:numPr>
          <w:ilvl w:val="0"/>
          <w:numId w:val="14"/>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There must rest a legal right of the applicant for the performance of the legal duty.</w:t>
      </w:r>
    </w:p>
    <w:p w14:paraId="44E640EF" w14:textId="77777777" w:rsidR="00F71505" w:rsidRDefault="0059288B">
      <w:pPr>
        <w:numPr>
          <w:ilvl w:val="0"/>
          <w:numId w:val="14"/>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nature of the duty must be public.</w:t>
      </w:r>
    </w:p>
    <w:p w14:paraId="5055D815" w14:textId="77777777" w:rsidR="00F71505" w:rsidRDefault="0059288B">
      <w:pPr>
        <w:numPr>
          <w:ilvl w:val="0"/>
          <w:numId w:val="14"/>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 xml:space="preserve">On the date of the petition, the right which is sought to be enforced must be </w:t>
      </w:r>
      <w:r>
        <w:rPr>
          <w:rFonts w:ascii="Times New Roman" w:hAnsi="Times New Roman" w:cs="Times New Roman"/>
          <w:sz w:val="20"/>
          <w:szCs w:val="20"/>
        </w:rPr>
        <w:t>subsisting.</w:t>
      </w:r>
    </w:p>
    <w:p w14:paraId="084F6D82" w14:textId="77777777" w:rsidR="00F71505" w:rsidRDefault="0059288B">
      <w:pPr>
        <w:numPr>
          <w:ilvl w:val="0"/>
          <w:numId w:val="14"/>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writ of Mandamus is not issued for anticipatory injury.</w:t>
      </w:r>
    </w:p>
    <w:p w14:paraId="6A28B977" w14:textId="77777777" w:rsidR="00F71505" w:rsidRDefault="0059288B">
      <w:pPr>
        <w:numPr>
          <w:ilvl w:val="0"/>
          <w:numId w:val="15"/>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Limitations</w:t>
      </w:r>
    </w:p>
    <w:p w14:paraId="375FEEA3" w14:textId="77777777" w:rsidR="00F71505" w:rsidRDefault="0059288B">
      <w:pPr>
        <w:pStyle w:val="NormalWeb"/>
        <w:shd w:val="clear" w:color="auto" w:fill="FFFFFF"/>
        <w:spacing w:before="0" w:beforeAutospacing="0" w:after="0" w:afterAutospacing="0"/>
        <w:jc w:val="both"/>
        <w:rPr>
          <w:sz w:val="20"/>
          <w:szCs w:val="20"/>
        </w:rPr>
      </w:pPr>
      <w:r>
        <w:rPr>
          <w:sz w:val="20"/>
          <w:szCs w:val="20"/>
        </w:rPr>
        <w:t>The courts are unwilling to issue the writ of mandamus against high dignitaries like the President and the Governors. In the case of </w:t>
      </w:r>
      <w:r>
        <w:rPr>
          <w:b/>
          <w:bCs/>
          <w:i/>
          <w:iCs/>
          <w:sz w:val="20"/>
          <w:szCs w:val="20"/>
        </w:rPr>
        <w:t>S.P. Gupta v. Union of India</w:t>
      </w:r>
      <w:r>
        <w:rPr>
          <w:sz w:val="20"/>
          <w:szCs w:val="20"/>
        </w:rPr>
        <w:t> [9], judge</w:t>
      </w:r>
      <w:r>
        <w:rPr>
          <w:sz w:val="20"/>
          <w:szCs w:val="20"/>
        </w:rPr>
        <w:t>s were of the view that a writ cannot be issued against the President of India for fixing the number of judges in High Courts and filling vacancies. But in </w:t>
      </w:r>
      <w:r>
        <w:rPr>
          <w:b/>
          <w:bCs/>
          <w:i/>
          <w:iCs/>
          <w:sz w:val="20"/>
          <w:szCs w:val="20"/>
        </w:rPr>
        <w:t>Advocates on Records Association v. Gujarat</w:t>
      </w:r>
      <w:r>
        <w:rPr>
          <w:sz w:val="20"/>
          <w:szCs w:val="20"/>
        </w:rPr>
        <w:t xml:space="preserve"> [10], the Supreme Court ruled that the judges’ issue is </w:t>
      </w:r>
      <w:r>
        <w:rPr>
          <w:sz w:val="20"/>
          <w:szCs w:val="20"/>
        </w:rPr>
        <w:t>a justiciable issue and appropriate measures can be taken for that purpose including the issuance of mandamus. But in </w:t>
      </w:r>
      <w:r>
        <w:rPr>
          <w:b/>
          <w:bCs/>
          <w:i/>
          <w:iCs/>
          <w:sz w:val="20"/>
          <w:szCs w:val="20"/>
        </w:rPr>
        <w:t>C.G. Govindan v. State of Gujarat</w:t>
      </w:r>
      <w:r>
        <w:rPr>
          <w:sz w:val="20"/>
          <w:szCs w:val="20"/>
        </w:rPr>
        <w:t> [11], it was refused by the court to issue the writ of mandamus against the governor to approve the fixa</w:t>
      </w:r>
      <w:r>
        <w:rPr>
          <w:sz w:val="20"/>
          <w:szCs w:val="20"/>
        </w:rPr>
        <w:t xml:space="preserve">tion of salaries of the court staff by the Chief Justice of High Court under Article 229. Hence, it is submitted that the Governor or the President means the </w:t>
      </w:r>
      <w:r>
        <w:rPr>
          <w:sz w:val="20"/>
          <w:szCs w:val="20"/>
        </w:rPr>
        <w:t>state or the Union and therefore issuance of mandamus cannot take place.</w:t>
      </w:r>
    </w:p>
    <w:p w14:paraId="7652A5F9" w14:textId="77777777" w:rsidR="00F71505" w:rsidRDefault="0059288B">
      <w:pPr>
        <w:numPr>
          <w:ilvl w:val="0"/>
          <w:numId w:val="16"/>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Important Judgements</w:t>
      </w:r>
    </w:p>
    <w:p w14:paraId="5BB63B97" w14:textId="77777777" w:rsidR="00F71505" w:rsidRDefault="0059288B">
      <w:pPr>
        <w:pStyle w:val="NormalWeb"/>
        <w:shd w:val="clear" w:color="auto" w:fill="FFFFFF"/>
        <w:spacing w:before="0" w:beforeAutospacing="0" w:after="0" w:afterAutospacing="0"/>
        <w:jc w:val="both"/>
        <w:rPr>
          <w:sz w:val="20"/>
          <w:szCs w:val="20"/>
        </w:rPr>
      </w:pPr>
      <w:r>
        <w:rPr>
          <w:sz w:val="20"/>
          <w:szCs w:val="20"/>
        </w:rPr>
        <w:t>In </w:t>
      </w:r>
      <w:r>
        <w:rPr>
          <w:b/>
          <w:bCs/>
          <w:i/>
          <w:iCs/>
          <w:sz w:val="20"/>
          <w:szCs w:val="20"/>
        </w:rPr>
        <w:t>R</w:t>
      </w:r>
      <w:r>
        <w:rPr>
          <w:b/>
          <w:bCs/>
          <w:i/>
          <w:iCs/>
          <w:sz w:val="20"/>
          <w:szCs w:val="20"/>
        </w:rPr>
        <w:t>ashid Ahmad v. Municipal Board</w:t>
      </w:r>
      <w:r>
        <w:rPr>
          <w:sz w:val="20"/>
          <w:szCs w:val="20"/>
        </w:rPr>
        <w:t> [12], it was held that in relation to Fundamental Rights the availability of alternative remedy cannot be an absolute bar for the issue of writ though the fact may be taken into consideration.</w:t>
      </w:r>
    </w:p>
    <w:p w14:paraId="7918ECB0" w14:textId="77777777" w:rsidR="00F71505" w:rsidRDefault="0059288B">
      <w:pPr>
        <w:pStyle w:val="NormalWeb"/>
        <w:shd w:val="clear" w:color="auto" w:fill="FFFFFF"/>
        <w:spacing w:before="0" w:beforeAutospacing="0" w:after="0" w:afterAutospacing="0"/>
        <w:jc w:val="both"/>
        <w:rPr>
          <w:sz w:val="20"/>
          <w:szCs w:val="20"/>
        </w:rPr>
      </w:pPr>
      <w:r>
        <w:rPr>
          <w:sz w:val="20"/>
          <w:szCs w:val="20"/>
        </w:rPr>
        <w:t>Then, in the case of </w:t>
      </w:r>
      <w:r>
        <w:rPr>
          <w:b/>
          <w:bCs/>
          <w:i/>
          <w:iCs/>
          <w:sz w:val="20"/>
          <w:szCs w:val="20"/>
        </w:rPr>
        <w:t xml:space="preserve">Manjula </w:t>
      </w:r>
      <w:proofErr w:type="spellStart"/>
      <w:r>
        <w:rPr>
          <w:b/>
          <w:bCs/>
          <w:i/>
          <w:iCs/>
          <w:sz w:val="20"/>
          <w:szCs w:val="20"/>
        </w:rPr>
        <w:t>Man</w:t>
      </w:r>
      <w:r>
        <w:rPr>
          <w:b/>
          <w:bCs/>
          <w:i/>
          <w:iCs/>
          <w:sz w:val="20"/>
          <w:szCs w:val="20"/>
        </w:rPr>
        <w:t>jori</w:t>
      </w:r>
      <w:proofErr w:type="spellEnd"/>
      <w:r>
        <w:rPr>
          <w:b/>
          <w:bCs/>
          <w:i/>
          <w:iCs/>
          <w:sz w:val="20"/>
          <w:szCs w:val="20"/>
        </w:rPr>
        <w:t xml:space="preserve"> v. Director of Public Instruction</w:t>
      </w:r>
      <w:r>
        <w:rPr>
          <w:sz w:val="20"/>
          <w:szCs w:val="20"/>
        </w:rPr>
        <w:t>, the publisher of a book had applied for the writ of mandamus against the Director of Public Instruction for the inclusion of his book in the list of books which were approved as text-books in schools. But the writ wa</w:t>
      </w:r>
      <w:r>
        <w:rPr>
          <w:sz w:val="20"/>
          <w:szCs w:val="20"/>
        </w:rPr>
        <w:t>s not allowed as the matter was completely within the discretion of D.I.P and he was not bound to approve the book.</w:t>
      </w:r>
    </w:p>
    <w:p w14:paraId="4C3D1E2A" w14:textId="77777777" w:rsidR="00F71505" w:rsidRDefault="0059288B">
      <w:pPr>
        <w:pStyle w:val="NormalWeb"/>
        <w:shd w:val="clear" w:color="auto" w:fill="FFFFFF"/>
        <w:spacing w:before="0" w:beforeAutospacing="0" w:after="0" w:afterAutospacing="0"/>
        <w:jc w:val="both"/>
        <w:rPr>
          <w:sz w:val="20"/>
          <w:szCs w:val="20"/>
        </w:rPr>
      </w:pPr>
      <w:r>
        <w:rPr>
          <w:sz w:val="20"/>
          <w:szCs w:val="20"/>
        </w:rPr>
        <w:t>In the case of </w:t>
      </w:r>
      <w:hyperlink r:id="rId21" w:history="1">
        <w:r>
          <w:rPr>
            <w:rStyle w:val="Hyperlink"/>
            <w:rFonts w:eastAsiaTheme="majorEastAsia"/>
            <w:i/>
            <w:iCs/>
            <w:color w:val="auto"/>
            <w:sz w:val="20"/>
            <w:szCs w:val="20"/>
            <w:u w:val="none"/>
          </w:rPr>
          <w:t xml:space="preserve">Binny Ltd. &amp; </w:t>
        </w:r>
        <w:proofErr w:type="spellStart"/>
        <w:r>
          <w:rPr>
            <w:rStyle w:val="Hyperlink"/>
            <w:rFonts w:eastAsiaTheme="majorEastAsia"/>
            <w:i/>
            <w:iCs/>
            <w:color w:val="auto"/>
            <w:sz w:val="20"/>
            <w:szCs w:val="20"/>
            <w:u w:val="none"/>
          </w:rPr>
          <w:t>Anr</w:t>
        </w:r>
        <w:proofErr w:type="spellEnd"/>
        <w:r>
          <w:rPr>
            <w:rStyle w:val="Hyperlink"/>
            <w:rFonts w:eastAsiaTheme="majorEastAsia"/>
            <w:i/>
            <w:iCs/>
            <w:color w:val="auto"/>
            <w:sz w:val="20"/>
            <w:szCs w:val="20"/>
            <w:u w:val="none"/>
          </w:rPr>
          <w:t xml:space="preserve"> v. V. </w:t>
        </w:r>
        <w:proofErr w:type="spellStart"/>
        <w:r>
          <w:rPr>
            <w:rStyle w:val="Hyperlink"/>
            <w:rFonts w:eastAsiaTheme="majorEastAsia"/>
            <w:i/>
            <w:iCs/>
            <w:color w:val="auto"/>
            <w:sz w:val="20"/>
            <w:szCs w:val="20"/>
            <w:u w:val="none"/>
          </w:rPr>
          <w:t>Sadasivan</w:t>
        </w:r>
        <w:proofErr w:type="spellEnd"/>
        <w:r>
          <w:rPr>
            <w:rStyle w:val="Hyperlink"/>
            <w:rFonts w:eastAsiaTheme="majorEastAsia"/>
            <w:i/>
            <w:iCs/>
            <w:color w:val="auto"/>
            <w:sz w:val="20"/>
            <w:szCs w:val="20"/>
            <w:u w:val="none"/>
          </w:rPr>
          <w:t xml:space="preserve"> &amp; </w:t>
        </w:r>
        <w:proofErr w:type="spellStart"/>
        <w:r>
          <w:rPr>
            <w:rStyle w:val="Hyperlink"/>
            <w:rFonts w:eastAsiaTheme="majorEastAsia"/>
            <w:i/>
            <w:iCs/>
            <w:color w:val="auto"/>
            <w:sz w:val="20"/>
            <w:szCs w:val="20"/>
            <w:u w:val="none"/>
          </w:rPr>
          <w:t>Ors</w:t>
        </w:r>
        <w:proofErr w:type="spellEnd"/>
      </w:hyperlink>
      <w:r>
        <w:rPr>
          <w:sz w:val="20"/>
          <w:szCs w:val="20"/>
        </w:rPr>
        <w:t> (2005), the Hon’ble Supreme Court</w:t>
      </w:r>
      <w:r>
        <w:rPr>
          <w:sz w:val="20"/>
          <w:szCs w:val="20"/>
        </w:rPr>
        <w:t xml:space="preserve"> laid down the scope of mandamus. It stated that a writ of mandamus is not applicable against any private wrong. It can be issued only when any public authority exercises its duty unlawfully or refuses to perform its duty within the ambit of the law.</w:t>
      </w:r>
    </w:p>
    <w:p w14:paraId="5FBAFF68" w14:textId="77777777" w:rsidR="00F71505" w:rsidRDefault="0059288B">
      <w:pPr>
        <w:pStyle w:val="NormalWeb"/>
        <w:shd w:val="clear" w:color="auto" w:fill="FFFFFF"/>
        <w:spacing w:before="0" w:beforeAutospacing="0" w:after="0" w:afterAutospacing="0"/>
        <w:jc w:val="both"/>
        <w:rPr>
          <w:sz w:val="20"/>
          <w:szCs w:val="20"/>
        </w:rPr>
      </w:pPr>
      <w:r>
        <w:rPr>
          <w:sz w:val="20"/>
          <w:szCs w:val="20"/>
        </w:rPr>
        <w:t>In th</w:t>
      </w:r>
      <w:r>
        <w:rPr>
          <w:sz w:val="20"/>
          <w:szCs w:val="20"/>
        </w:rPr>
        <w:t>e case of </w:t>
      </w:r>
      <w:hyperlink r:id="rId22" w:history="1">
        <w:r>
          <w:rPr>
            <w:rStyle w:val="Hyperlink"/>
            <w:rFonts w:eastAsiaTheme="majorEastAsia"/>
            <w:i/>
            <w:iCs/>
            <w:color w:val="auto"/>
            <w:sz w:val="20"/>
            <w:szCs w:val="20"/>
            <w:u w:val="none"/>
          </w:rPr>
          <w:t xml:space="preserve">Ramakrishna Mission v. </w:t>
        </w:r>
        <w:proofErr w:type="spellStart"/>
        <w:r>
          <w:rPr>
            <w:rStyle w:val="Hyperlink"/>
            <w:rFonts w:eastAsiaTheme="majorEastAsia"/>
            <w:i/>
            <w:iCs/>
            <w:color w:val="auto"/>
            <w:sz w:val="20"/>
            <w:szCs w:val="20"/>
            <w:u w:val="none"/>
          </w:rPr>
          <w:t>Kago</w:t>
        </w:r>
        <w:proofErr w:type="spellEnd"/>
        <w:r>
          <w:rPr>
            <w:rStyle w:val="Hyperlink"/>
            <w:rFonts w:eastAsiaTheme="majorEastAsia"/>
            <w:i/>
            <w:iCs/>
            <w:color w:val="auto"/>
            <w:sz w:val="20"/>
            <w:szCs w:val="20"/>
            <w:u w:val="none"/>
          </w:rPr>
          <w:t xml:space="preserve"> Kunya</w:t>
        </w:r>
      </w:hyperlink>
      <w:r>
        <w:rPr>
          <w:sz w:val="20"/>
          <w:szCs w:val="20"/>
        </w:rPr>
        <w:t xml:space="preserve"> (2019), The Supreme Court ruled that where a contract is of private nature or has no connection with any public authority, it does not fall within the </w:t>
      </w:r>
      <w:r>
        <w:rPr>
          <w:sz w:val="20"/>
          <w:szCs w:val="20"/>
        </w:rPr>
        <w:t>purview of the writ of mandamus.</w:t>
      </w:r>
    </w:p>
    <w:p w14:paraId="23E523EE" w14:textId="054C34C9" w:rsidR="00F71505" w:rsidRDefault="0059288B">
      <w:pPr>
        <w:pStyle w:val="NormalWeb"/>
        <w:shd w:val="clear" w:color="auto" w:fill="FFFFFF"/>
        <w:spacing w:before="0" w:beforeAutospacing="0" w:after="0" w:afterAutospacing="0"/>
        <w:jc w:val="both"/>
        <w:rPr>
          <w:sz w:val="20"/>
          <w:szCs w:val="20"/>
        </w:rPr>
      </w:pPr>
      <w:r>
        <w:rPr>
          <w:sz w:val="20"/>
          <w:szCs w:val="20"/>
        </w:rPr>
        <w:t>In the </w:t>
      </w:r>
      <w:hyperlink r:id="rId23" w:history="1">
        <w:r>
          <w:rPr>
            <w:rStyle w:val="Hyperlink"/>
            <w:rFonts w:eastAsiaTheme="majorEastAsia"/>
            <w:i/>
            <w:iCs/>
            <w:color w:val="auto"/>
            <w:sz w:val="20"/>
            <w:szCs w:val="20"/>
            <w:u w:val="none"/>
          </w:rPr>
          <w:t xml:space="preserve">Hari Krishna Mandir Trust v. State </w:t>
        </w:r>
        <w:proofErr w:type="gramStart"/>
        <w:r>
          <w:rPr>
            <w:rStyle w:val="Hyperlink"/>
            <w:rFonts w:eastAsiaTheme="majorEastAsia"/>
            <w:i/>
            <w:iCs/>
            <w:color w:val="auto"/>
            <w:sz w:val="20"/>
            <w:szCs w:val="20"/>
            <w:u w:val="none"/>
          </w:rPr>
          <w:t>Of</w:t>
        </w:r>
        <w:proofErr w:type="gramEnd"/>
        <w:r>
          <w:rPr>
            <w:rStyle w:val="Hyperlink"/>
            <w:rFonts w:eastAsiaTheme="majorEastAsia"/>
            <w:i/>
            <w:iCs/>
            <w:color w:val="auto"/>
            <w:sz w:val="20"/>
            <w:szCs w:val="20"/>
            <w:u w:val="none"/>
          </w:rPr>
          <w:t xml:space="preserve"> Maharashtra</w:t>
        </w:r>
      </w:hyperlink>
      <w:r>
        <w:rPr>
          <w:sz w:val="20"/>
          <w:szCs w:val="20"/>
        </w:rPr>
        <w:t xml:space="preserve"> (2020), the Hon’ble Supreme Court held that the High Courts are obligated by law to issue Writs of Mandamus in </w:t>
      </w:r>
      <w:r>
        <w:rPr>
          <w:sz w:val="20"/>
          <w:szCs w:val="20"/>
        </w:rPr>
        <w:t>order to enforce a public duty.</w:t>
      </w:r>
    </w:p>
    <w:p w14:paraId="5791C807" w14:textId="77777777" w:rsidR="00ED067E" w:rsidRDefault="00ED067E">
      <w:pPr>
        <w:pStyle w:val="NormalWeb"/>
        <w:shd w:val="clear" w:color="auto" w:fill="FFFFFF"/>
        <w:spacing w:before="0" w:beforeAutospacing="0" w:after="0" w:afterAutospacing="0"/>
        <w:jc w:val="both"/>
        <w:rPr>
          <w:sz w:val="20"/>
          <w:szCs w:val="20"/>
        </w:rPr>
      </w:pPr>
    </w:p>
    <w:p w14:paraId="28A03190" w14:textId="77777777" w:rsidR="00F71505" w:rsidRDefault="0059288B">
      <w:pPr>
        <w:pStyle w:val="Heading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color w:val="auto"/>
          <w:sz w:val="20"/>
          <w:szCs w:val="20"/>
        </w:rPr>
        <w:t>4. Certiorari</w:t>
      </w:r>
    </w:p>
    <w:p w14:paraId="249A1B75" w14:textId="77777777" w:rsidR="00F71505" w:rsidRDefault="0059288B">
      <w:pPr>
        <w:numPr>
          <w:ilvl w:val="0"/>
          <w:numId w:val="17"/>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What does Writ of Certiorari mean?</w:t>
      </w:r>
    </w:p>
    <w:p w14:paraId="471C2F8B" w14:textId="77777777" w:rsidR="00F71505" w:rsidRDefault="0059288B">
      <w:pPr>
        <w:pStyle w:val="NormalWeb"/>
        <w:shd w:val="clear" w:color="auto" w:fill="FFFFFF"/>
        <w:spacing w:before="0" w:beforeAutospacing="0" w:after="0" w:afterAutospacing="0"/>
        <w:jc w:val="both"/>
        <w:rPr>
          <w:sz w:val="20"/>
          <w:szCs w:val="20"/>
        </w:rPr>
      </w:pPr>
      <w:r>
        <w:rPr>
          <w:sz w:val="20"/>
          <w:szCs w:val="20"/>
        </w:rPr>
        <w:t xml:space="preserve">Writ of Certiorari means to be certified. It is issued when there is a wrongful exercise of the jurisdiction and the decision of the case is based on it. The writ can be </w:t>
      </w:r>
      <w:r>
        <w:rPr>
          <w:sz w:val="20"/>
          <w:szCs w:val="20"/>
        </w:rPr>
        <w:t>moved to higher courts like the High Court or the Supreme Court by the affected parties.</w:t>
      </w:r>
    </w:p>
    <w:p w14:paraId="1F58D1BF" w14:textId="77777777" w:rsidR="00F71505" w:rsidRDefault="0059288B">
      <w:pPr>
        <w:pStyle w:val="NormalWeb"/>
        <w:shd w:val="clear" w:color="auto" w:fill="FFFFFF"/>
        <w:spacing w:before="0" w:beforeAutospacing="0" w:after="0" w:afterAutospacing="0"/>
        <w:jc w:val="both"/>
        <w:rPr>
          <w:sz w:val="20"/>
          <w:szCs w:val="20"/>
        </w:rPr>
      </w:pPr>
      <w:r>
        <w:rPr>
          <w:sz w:val="20"/>
          <w:szCs w:val="20"/>
        </w:rPr>
        <w:t>There are several grounds for the issue of Writ of Certiorari. Certiorari is not issued against purely administrative or ministerial orders and that it can only be iss</w:t>
      </w:r>
      <w:r>
        <w:rPr>
          <w:sz w:val="20"/>
          <w:szCs w:val="20"/>
        </w:rPr>
        <w:t>ued against judicial or quasi-judicial orders.</w:t>
      </w:r>
    </w:p>
    <w:p w14:paraId="2D735598" w14:textId="77777777" w:rsidR="00F71505" w:rsidRDefault="0059288B">
      <w:pPr>
        <w:numPr>
          <w:ilvl w:val="0"/>
          <w:numId w:val="18"/>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When is a writ of Certiorari issued?</w:t>
      </w:r>
    </w:p>
    <w:p w14:paraId="3CA76D74" w14:textId="77777777" w:rsidR="00F71505" w:rsidRDefault="0059288B">
      <w:pPr>
        <w:pStyle w:val="NormalWeb"/>
        <w:shd w:val="clear" w:color="auto" w:fill="FFFFFF"/>
        <w:spacing w:before="0" w:beforeAutospacing="0" w:after="0" w:afterAutospacing="0"/>
        <w:jc w:val="both"/>
        <w:rPr>
          <w:sz w:val="20"/>
          <w:szCs w:val="20"/>
        </w:rPr>
      </w:pPr>
      <w:r>
        <w:rPr>
          <w:sz w:val="20"/>
          <w:szCs w:val="20"/>
        </w:rPr>
        <w:t>It is issued to quasi-judicial or subordinate courts if they act in the following ways:</w:t>
      </w:r>
    </w:p>
    <w:p w14:paraId="7E1ECEAF" w14:textId="77777777" w:rsidR="00F71505" w:rsidRDefault="0059288B">
      <w:pPr>
        <w:numPr>
          <w:ilvl w:val="0"/>
          <w:numId w:val="19"/>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Either without any jurisdiction or in excess.</w:t>
      </w:r>
    </w:p>
    <w:p w14:paraId="7EEBFDB7" w14:textId="77777777" w:rsidR="00F71505" w:rsidRDefault="0059288B">
      <w:pPr>
        <w:numPr>
          <w:ilvl w:val="0"/>
          <w:numId w:val="19"/>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In violation of the principles of Natu</w:t>
      </w:r>
      <w:r>
        <w:rPr>
          <w:rFonts w:ascii="Times New Roman" w:hAnsi="Times New Roman" w:cs="Times New Roman"/>
          <w:sz w:val="20"/>
          <w:szCs w:val="20"/>
        </w:rPr>
        <w:t>ral Justice.</w:t>
      </w:r>
    </w:p>
    <w:p w14:paraId="3E715648" w14:textId="77777777" w:rsidR="00F71505" w:rsidRDefault="0059288B">
      <w:pPr>
        <w:numPr>
          <w:ilvl w:val="0"/>
          <w:numId w:val="19"/>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In opposition to the procedure established by law.</w:t>
      </w:r>
    </w:p>
    <w:p w14:paraId="1D07EB4A" w14:textId="77777777" w:rsidR="00F71505" w:rsidRDefault="0059288B">
      <w:pPr>
        <w:numPr>
          <w:ilvl w:val="0"/>
          <w:numId w:val="19"/>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If there is an error in judgement on the face of it.</w:t>
      </w:r>
    </w:p>
    <w:p w14:paraId="53DA3545" w14:textId="77777777" w:rsidR="00F71505" w:rsidRDefault="0059288B">
      <w:pPr>
        <w:pStyle w:val="NormalWeb"/>
        <w:shd w:val="clear" w:color="auto" w:fill="FFFFFF"/>
        <w:spacing w:before="0" w:beforeAutospacing="0" w:after="0" w:afterAutospacing="0"/>
        <w:jc w:val="both"/>
        <w:rPr>
          <w:sz w:val="20"/>
          <w:szCs w:val="20"/>
        </w:rPr>
      </w:pPr>
      <w:r>
        <w:rPr>
          <w:sz w:val="20"/>
          <w:szCs w:val="20"/>
        </w:rPr>
        <w:lastRenderedPageBreak/>
        <w:t>Writ of certiorari is issued after the passing of the order.</w:t>
      </w:r>
    </w:p>
    <w:p w14:paraId="753A8B87" w14:textId="77777777" w:rsidR="00F71505" w:rsidRDefault="0059288B">
      <w:pPr>
        <w:numPr>
          <w:ilvl w:val="0"/>
          <w:numId w:val="20"/>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Important Judgements on writ of Certiorari</w:t>
      </w:r>
    </w:p>
    <w:p w14:paraId="6207B6B9" w14:textId="77777777" w:rsidR="00F71505" w:rsidRDefault="0059288B">
      <w:pPr>
        <w:pStyle w:val="NormalWeb"/>
        <w:shd w:val="clear" w:color="auto" w:fill="FFFFFF"/>
        <w:spacing w:before="0" w:beforeAutospacing="0" w:after="315" w:afterAutospacing="0"/>
        <w:jc w:val="both"/>
        <w:rPr>
          <w:sz w:val="20"/>
          <w:szCs w:val="20"/>
        </w:rPr>
      </w:pPr>
      <w:r>
        <w:rPr>
          <w:sz w:val="20"/>
          <w:szCs w:val="20"/>
        </w:rPr>
        <w:t>In </w:t>
      </w:r>
      <w:r>
        <w:rPr>
          <w:b/>
          <w:bCs/>
          <w:i/>
          <w:iCs/>
          <w:sz w:val="20"/>
          <w:szCs w:val="20"/>
        </w:rPr>
        <w:t xml:space="preserve">Surya Dev Rai v. Ram </w:t>
      </w:r>
      <w:proofErr w:type="spellStart"/>
      <w:r>
        <w:rPr>
          <w:b/>
          <w:bCs/>
          <w:i/>
          <w:iCs/>
          <w:sz w:val="20"/>
          <w:szCs w:val="20"/>
        </w:rPr>
        <w:t>Chander</w:t>
      </w:r>
      <w:proofErr w:type="spellEnd"/>
      <w:r>
        <w:rPr>
          <w:b/>
          <w:bCs/>
          <w:i/>
          <w:iCs/>
          <w:sz w:val="20"/>
          <w:szCs w:val="20"/>
        </w:rPr>
        <w:t xml:space="preserve"> Rai &amp; </w:t>
      </w:r>
      <w:proofErr w:type="spellStart"/>
      <w:r>
        <w:rPr>
          <w:b/>
          <w:bCs/>
          <w:i/>
          <w:iCs/>
          <w:sz w:val="20"/>
          <w:szCs w:val="20"/>
        </w:rPr>
        <w:t>Ors</w:t>
      </w:r>
      <w:proofErr w:type="spellEnd"/>
      <w:r>
        <w:rPr>
          <w:b/>
          <w:bCs/>
          <w:i/>
          <w:iCs/>
          <w:sz w:val="20"/>
          <w:szCs w:val="20"/>
        </w:rPr>
        <w:t>.</w:t>
      </w:r>
      <w:r>
        <w:rPr>
          <w:sz w:val="20"/>
          <w:szCs w:val="20"/>
        </w:rPr>
        <w:t>, the Supreme Court has explained the meaning, ambit and scope of the writ of Certiorari. Also, in this it was explained that Certiorari is always available against inferior courts and not against equal or higher court, i.e., it cannot be</w:t>
      </w:r>
      <w:r>
        <w:rPr>
          <w:sz w:val="20"/>
          <w:szCs w:val="20"/>
        </w:rPr>
        <w:t xml:space="preserve"> issued by a High Court against any High Court or benches much less to the Supreme Court and any of its benches. Then in the case of </w:t>
      </w:r>
      <w:r>
        <w:rPr>
          <w:b/>
          <w:bCs/>
          <w:i/>
          <w:iCs/>
          <w:sz w:val="20"/>
          <w:szCs w:val="20"/>
        </w:rPr>
        <w:t xml:space="preserve">T.C. </w:t>
      </w:r>
      <w:proofErr w:type="spellStart"/>
      <w:r>
        <w:rPr>
          <w:b/>
          <w:bCs/>
          <w:i/>
          <w:iCs/>
          <w:sz w:val="20"/>
          <w:szCs w:val="20"/>
        </w:rPr>
        <w:t>Basappa</w:t>
      </w:r>
      <w:proofErr w:type="spellEnd"/>
      <w:r>
        <w:rPr>
          <w:b/>
          <w:bCs/>
          <w:i/>
          <w:iCs/>
          <w:sz w:val="20"/>
          <w:szCs w:val="20"/>
        </w:rPr>
        <w:t xml:space="preserve"> v. T. </w:t>
      </w:r>
      <w:proofErr w:type="spellStart"/>
      <w:r>
        <w:rPr>
          <w:b/>
          <w:bCs/>
          <w:i/>
          <w:iCs/>
          <w:sz w:val="20"/>
          <w:szCs w:val="20"/>
        </w:rPr>
        <w:t>Nagappa</w:t>
      </w:r>
      <w:proofErr w:type="spellEnd"/>
      <w:r>
        <w:rPr>
          <w:b/>
          <w:bCs/>
          <w:i/>
          <w:iCs/>
          <w:sz w:val="20"/>
          <w:szCs w:val="20"/>
        </w:rPr>
        <w:t xml:space="preserve"> &amp; </w:t>
      </w:r>
      <w:proofErr w:type="spellStart"/>
      <w:r>
        <w:rPr>
          <w:b/>
          <w:bCs/>
          <w:i/>
          <w:iCs/>
          <w:sz w:val="20"/>
          <w:szCs w:val="20"/>
        </w:rPr>
        <w:t>Anr</w:t>
      </w:r>
      <w:proofErr w:type="spellEnd"/>
      <w:r>
        <w:rPr>
          <w:b/>
          <w:bCs/>
          <w:i/>
          <w:iCs/>
          <w:sz w:val="20"/>
          <w:szCs w:val="20"/>
        </w:rPr>
        <w:t>. </w:t>
      </w:r>
      <w:r>
        <w:rPr>
          <w:sz w:val="20"/>
          <w:szCs w:val="20"/>
        </w:rPr>
        <w:t>[13], it was held by the constitution bench that certiorari maybe and is generally grante</w:t>
      </w:r>
      <w:r>
        <w:rPr>
          <w:sz w:val="20"/>
          <w:szCs w:val="20"/>
        </w:rPr>
        <w:t>d when a court has acted (</w:t>
      </w:r>
      <w:proofErr w:type="spellStart"/>
      <w:r>
        <w:rPr>
          <w:sz w:val="20"/>
          <w:szCs w:val="20"/>
        </w:rPr>
        <w:t>i</w:t>
      </w:r>
      <w:proofErr w:type="spellEnd"/>
      <w:r>
        <w:rPr>
          <w:sz w:val="20"/>
          <w:szCs w:val="20"/>
        </w:rPr>
        <w:t>) without jurisdiction or (ii) in excess of its jurisdiction. In </w:t>
      </w:r>
      <w:r>
        <w:rPr>
          <w:b/>
          <w:bCs/>
          <w:i/>
          <w:iCs/>
          <w:sz w:val="20"/>
          <w:szCs w:val="20"/>
        </w:rPr>
        <w:t xml:space="preserve">Hari </w:t>
      </w:r>
      <w:proofErr w:type="spellStart"/>
      <w:r>
        <w:rPr>
          <w:b/>
          <w:bCs/>
          <w:i/>
          <w:iCs/>
          <w:sz w:val="20"/>
          <w:szCs w:val="20"/>
        </w:rPr>
        <w:t>Bishnu</w:t>
      </w:r>
      <w:proofErr w:type="spellEnd"/>
      <w:r>
        <w:rPr>
          <w:b/>
          <w:bCs/>
          <w:i/>
          <w:iCs/>
          <w:sz w:val="20"/>
          <w:szCs w:val="20"/>
        </w:rPr>
        <w:t xml:space="preserve"> Kamath v. Ahmad </w:t>
      </w:r>
      <w:proofErr w:type="spellStart"/>
      <w:r>
        <w:rPr>
          <w:b/>
          <w:bCs/>
          <w:i/>
          <w:iCs/>
          <w:sz w:val="20"/>
          <w:szCs w:val="20"/>
        </w:rPr>
        <w:t>Ishaque</w:t>
      </w:r>
      <w:proofErr w:type="spellEnd"/>
      <w:r>
        <w:rPr>
          <w:sz w:val="20"/>
          <w:szCs w:val="20"/>
        </w:rPr>
        <w:t xml:space="preserve"> [14], the Supreme Court said that “the court issuing certiorari to quash, however, could not substitute its own decision on the </w:t>
      </w:r>
      <w:r>
        <w:rPr>
          <w:sz w:val="20"/>
          <w:szCs w:val="20"/>
        </w:rPr>
        <w:t>merits or give directions to be complied with by the court or tribunal. Its work was destructive, it simply wiped out the order passed without jurisdiction, and left the matter there.” In </w:t>
      </w:r>
      <w:r>
        <w:rPr>
          <w:b/>
          <w:bCs/>
          <w:i/>
          <w:iCs/>
          <w:sz w:val="20"/>
          <w:szCs w:val="20"/>
        </w:rPr>
        <w:t xml:space="preserve">Naresh S. </w:t>
      </w:r>
      <w:proofErr w:type="spellStart"/>
      <w:r>
        <w:rPr>
          <w:b/>
          <w:bCs/>
          <w:i/>
          <w:iCs/>
          <w:sz w:val="20"/>
          <w:szCs w:val="20"/>
        </w:rPr>
        <w:t>Mirajkar</w:t>
      </w:r>
      <w:proofErr w:type="spellEnd"/>
      <w:r>
        <w:rPr>
          <w:b/>
          <w:bCs/>
          <w:i/>
          <w:iCs/>
          <w:sz w:val="20"/>
          <w:szCs w:val="20"/>
        </w:rPr>
        <w:t xml:space="preserve"> v. State of Maharashtra</w:t>
      </w:r>
      <w:r>
        <w:rPr>
          <w:sz w:val="20"/>
          <w:szCs w:val="20"/>
        </w:rPr>
        <w:t> [15], it was said that Hi</w:t>
      </w:r>
      <w:r>
        <w:rPr>
          <w:sz w:val="20"/>
          <w:szCs w:val="20"/>
        </w:rPr>
        <w:t>gh Court’s judicial orders are open to being corrected by certiorari and that writ is not available against the High Court.</w:t>
      </w:r>
    </w:p>
    <w:p w14:paraId="5CF9BAA3" w14:textId="77777777" w:rsidR="00F71505" w:rsidRDefault="0059288B">
      <w:pPr>
        <w:numPr>
          <w:ilvl w:val="0"/>
          <w:numId w:val="21"/>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Circumstances when the writ of Certiorari cannot be issued:</w:t>
      </w:r>
    </w:p>
    <w:p w14:paraId="7379DA7A" w14:textId="77777777" w:rsidR="00F71505" w:rsidRDefault="0059288B">
      <w:pPr>
        <w:pStyle w:val="NormalWeb"/>
        <w:shd w:val="clear" w:color="auto" w:fill="FFFFFF"/>
        <w:spacing w:before="0" w:beforeAutospacing="0" w:after="0" w:afterAutospacing="0"/>
        <w:jc w:val="both"/>
        <w:rPr>
          <w:sz w:val="20"/>
          <w:szCs w:val="20"/>
        </w:rPr>
      </w:pPr>
      <w:r>
        <w:rPr>
          <w:sz w:val="20"/>
          <w:szCs w:val="20"/>
        </w:rPr>
        <w:t>The writ of certiorari cannot be issued against:</w:t>
      </w:r>
    </w:p>
    <w:p w14:paraId="24BF5D4D" w14:textId="77777777" w:rsidR="00F71505" w:rsidRDefault="0059288B">
      <w:pPr>
        <w:numPr>
          <w:ilvl w:val="0"/>
          <w:numId w:val="22"/>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An individual</w:t>
      </w:r>
    </w:p>
    <w:p w14:paraId="5C6B2ADD" w14:textId="77777777" w:rsidR="00F71505" w:rsidRDefault="0059288B">
      <w:pPr>
        <w:numPr>
          <w:ilvl w:val="0"/>
          <w:numId w:val="22"/>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company</w:t>
      </w:r>
    </w:p>
    <w:p w14:paraId="16583C9A" w14:textId="77777777" w:rsidR="00F71505" w:rsidRDefault="0059288B">
      <w:pPr>
        <w:numPr>
          <w:ilvl w:val="0"/>
          <w:numId w:val="22"/>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Any private authority</w:t>
      </w:r>
    </w:p>
    <w:p w14:paraId="52198B07" w14:textId="77777777" w:rsidR="00F71505" w:rsidRDefault="0059288B">
      <w:pPr>
        <w:numPr>
          <w:ilvl w:val="0"/>
          <w:numId w:val="22"/>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An association</w:t>
      </w:r>
    </w:p>
    <w:p w14:paraId="38F77664" w14:textId="77777777" w:rsidR="00F71505" w:rsidRDefault="0059288B">
      <w:pPr>
        <w:numPr>
          <w:ilvl w:val="0"/>
          <w:numId w:val="22"/>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To amend an Act or Ordinance</w:t>
      </w:r>
    </w:p>
    <w:p w14:paraId="0885B4EC" w14:textId="77777777" w:rsidR="00F71505" w:rsidRDefault="0059288B">
      <w:pPr>
        <w:numPr>
          <w:ilvl w:val="0"/>
          <w:numId w:val="22"/>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An aggrieved party who has an alternative remedy </w:t>
      </w:r>
    </w:p>
    <w:p w14:paraId="0C7A6601" w14:textId="77777777" w:rsidR="00F71505" w:rsidRDefault="0059288B">
      <w:pPr>
        <w:pStyle w:val="NormalWeb"/>
        <w:shd w:val="clear" w:color="auto" w:fill="FFFFFF"/>
        <w:spacing w:before="0" w:beforeAutospacing="0" w:after="0" w:afterAutospacing="0"/>
        <w:jc w:val="both"/>
        <w:rPr>
          <w:sz w:val="20"/>
          <w:szCs w:val="20"/>
        </w:rPr>
      </w:pPr>
      <w:r>
        <w:rPr>
          <w:sz w:val="20"/>
          <w:szCs w:val="20"/>
        </w:rPr>
        <w:t>In the case of </w:t>
      </w:r>
      <w:hyperlink r:id="rId24" w:history="1">
        <w:r>
          <w:rPr>
            <w:rStyle w:val="Hyperlink"/>
            <w:rFonts w:eastAsiaTheme="majorEastAsia"/>
            <w:i/>
            <w:iCs/>
            <w:color w:val="auto"/>
            <w:sz w:val="20"/>
            <w:szCs w:val="20"/>
            <w:u w:val="none"/>
          </w:rPr>
          <w:t>Gener</w:t>
        </w:r>
        <w:r>
          <w:rPr>
            <w:rStyle w:val="Hyperlink"/>
            <w:rFonts w:eastAsiaTheme="majorEastAsia"/>
            <w:i/>
            <w:iCs/>
            <w:color w:val="auto"/>
            <w:sz w:val="20"/>
            <w:szCs w:val="20"/>
            <w:u w:val="none"/>
          </w:rPr>
          <w:t xml:space="preserve">al Manager, Electrical </w:t>
        </w:r>
        <w:proofErr w:type="spellStart"/>
        <w:r>
          <w:rPr>
            <w:rStyle w:val="Hyperlink"/>
            <w:rFonts w:eastAsiaTheme="majorEastAsia"/>
            <w:i/>
            <w:iCs/>
            <w:color w:val="auto"/>
            <w:sz w:val="20"/>
            <w:szCs w:val="20"/>
            <w:u w:val="none"/>
          </w:rPr>
          <w:t>Rengali</w:t>
        </w:r>
        <w:proofErr w:type="spellEnd"/>
        <w:r>
          <w:rPr>
            <w:rStyle w:val="Hyperlink"/>
            <w:rFonts w:eastAsiaTheme="majorEastAsia"/>
            <w:i/>
            <w:iCs/>
            <w:color w:val="auto"/>
            <w:sz w:val="20"/>
            <w:szCs w:val="20"/>
            <w:u w:val="none"/>
          </w:rPr>
          <w:t xml:space="preserve"> Hydro Electric Project, Orissa and Others v. </w:t>
        </w:r>
        <w:proofErr w:type="spellStart"/>
        <w:r>
          <w:rPr>
            <w:rStyle w:val="Hyperlink"/>
            <w:rFonts w:eastAsiaTheme="majorEastAsia"/>
            <w:i/>
            <w:iCs/>
            <w:color w:val="auto"/>
            <w:sz w:val="20"/>
            <w:szCs w:val="20"/>
            <w:u w:val="none"/>
          </w:rPr>
          <w:t>Giridhari</w:t>
        </w:r>
        <w:proofErr w:type="spellEnd"/>
        <w:r>
          <w:rPr>
            <w:rStyle w:val="Hyperlink"/>
            <w:rFonts w:eastAsiaTheme="majorEastAsia"/>
            <w:i/>
            <w:iCs/>
            <w:color w:val="auto"/>
            <w:sz w:val="20"/>
            <w:szCs w:val="20"/>
            <w:u w:val="none"/>
          </w:rPr>
          <w:t xml:space="preserve"> </w:t>
        </w:r>
        <w:proofErr w:type="spellStart"/>
        <w:r>
          <w:rPr>
            <w:rStyle w:val="Hyperlink"/>
            <w:rFonts w:eastAsiaTheme="majorEastAsia"/>
            <w:i/>
            <w:iCs/>
            <w:color w:val="auto"/>
            <w:sz w:val="20"/>
            <w:szCs w:val="20"/>
            <w:u w:val="none"/>
          </w:rPr>
          <w:t>Sahu</w:t>
        </w:r>
        <w:proofErr w:type="spellEnd"/>
        <w:r>
          <w:rPr>
            <w:rStyle w:val="Hyperlink"/>
            <w:rFonts w:eastAsiaTheme="majorEastAsia"/>
            <w:i/>
            <w:iCs/>
            <w:color w:val="auto"/>
            <w:sz w:val="20"/>
            <w:szCs w:val="20"/>
            <w:u w:val="none"/>
          </w:rPr>
          <w:t xml:space="preserve"> and </w:t>
        </w:r>
        <w:proofErr w:type="spellStart"/>
        <w:r>
          <w:rPr>
            <w:rStyle w:val="Hyperlink"/>
            <w:rFonts w:eastAsiaTheme="majorEastAsia"/>
            <w:i/>
            <w:iCs/>
            <w:color w:val="auto"/>
            <w:sz w:val="20"/>
            <w:szCs w:val="20"/>
            <w:u w:val="none"/>
          </w:rPr>
          <w:t>Ors</w:t>
        </w:r>
        <w:proofErr w:type="spellEnd"/>
        <w:r>
          <w:rPr>
            <w:rStyle w:val="Hyperlink"/>
            <w:rFonts w:eastAsiaTheme="majorEastAsia"/>
            <w:i/>
            <w:iCs/>
            <w:color w:val="auto"/>
            <w:sz w:val="20"/>
            <w:szCs w:val="20"/>
            <w:u w:val="none"/>
          </w:rPr>
          <w:t>.</w:t>
        </w:r>
      </w:hyperlink>
      <w:r>
        <w:rPr>
          <w:sz w:val="20"/>
          <w:szCs w:val="20"/>
        </w:rPr>
        <w:t> (2019), the Hon’ble Supreme Court laid down the factors determining the validity of the writ of certiorari. </w:t>
      </w:r>
    </w:p>
    <w:p w14:paraId="4EA7E48B" w14:textId="77777777" w:rsidR="00F71505" w:rsidRDefault="0059288B">
      <w:pPr>
        <w:pStyle w:val="Heading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color w:val="auto"/>
          <w:sz w:val="20"/>
          <w:szCs w:val="20"/>
        </w:rPr>
        <w:t>5. Prohibition</w:t>
      </w:r>
    </w:p>
    <w:p w14:paraId="19F77A78" w14:textId="77777777" w:rsidR="00F71505" w:rsidRDefault="0059288B">
      <w:pPr>
        <w:numPr>
          <w:ilvl w:val="0"/>
          <w:numId w:val="23"/>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 xml:space="preserve">What does Writ of </w:t>
      </w:r>
      <w:r>
        <w:rPr>
          <w:rFonts w:ascii="Times New Roman" w:hAnsi="Times New Roman" w:cs="Times New Roman"/>
          <w:sz w:val="20"/>
          <w:szCs w:val="20"/>
        </w:rPr>
        <w:t>Prohibition mean?</w:t>
      </w:r>
    </w:p>
    <w:p w14:paraId="46221C7E" w14:textId="77777777" w:rsidR="00F71505" w:rsidRDefault="0059288B">
      <w:pPr>
        <w:pStyle w:val="NormalWeb"/>
        <w:shd w:val="clear" w:color="auto" w:fill="FFFFFF"/>
        <w:spacing w:before="0" w:beforeAutospacing="0" w:after="0" w:afterAutospacing="0"/>
        <w:jc w:val="both"/>
        <w:rPr>
          <w:sz w:val="20"/>
          <w:szCs w:val="20"/>
        </w:rPr>
      </w:pPr>
      <w:r>
        <w:rPr>
          <w:sz w:val="20"/>
          <w:szCs w:val="20"/>
        </w:rPr>
        <w:t>It is a writ directing a lower court to stop doing something which the law prohibits it from doing. Its main purpose is to prevent an inferior court from exceeding its jurisdiction or from acting contrary to the rules of Natural Justice.</w:t>
      </w:r>
    </w:p>
    <w:p w14:paraId="25ABF1E1" w14:textId="77777777" w:rsidR="00F71505" w:rsidRDefault="0059288B">
      <w:pPr>
        <w:numPr>
          <w:ilvl w:val="0"/>
          <w:numId w:val="24"/>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When is the writ of Prohibition issued?</w:t>
      </w:r>
    </w:p>
    <w:p w14:paraId="506B11FD" w14:textId="77777777" w:rsidR="00F71505" w:rsidRDefault="0059288B">
      <w:pPr>
        <w:pStyle w:val="NormalWeb"/>
        <w:shd w:val="clear" w:color="auto" w:fill="FFFFFF"/>
        <w:spacing w:before="0" w:beforeAutospacing="0" w:after="0" w:afterAutospacing="0"/>
        <w:jc w:val="both"/>
        <w:rPr>
          <w:sz w:val="20"/>
          <w:szCs w:val="20"/>
        </w:rPr>
      </w:pPr>
      <w:r>
        <w:rPr>
          <w:sz w:val="20"/>
          <w:szCs w:val="20"/>
        </w:rPr>
        <w:t>It is issued to a lower or a subordinate court by the superior courts in order to refrain it from doing something which it is not supposed to do as per law. It is usually issued when the lower courts act in excess of</w:t>
      </w:r>
      <w:r>
        <w:rPr>
          <w:sz w:val="20"/>
          <w:szCs w:val="20"/>
        </w:rPr>
        <w:t xml:space="preserve"> their jurisdiction. Also, it can be issued if the court acts outside its jurisdiction. And after the writ is </w:t>
      </w:r>
      <w:r>
        <w:rPr>
          <w:sz w:val="20"/>
          <w:szCs w:val="20"/>
        </w:rPr>
        <w:t>issued, the lower court is bound to stop its proceedings and should be issued before the lower court passes an order. Prohibition is a writ of pre</w:t>
      </w:r>
      <w:r>
        <w:rPr>
          <w:sz w:val="20"/>
          <w:szCs w:val="20"/>
        </w:rPr>
        <w:t>ventive nature. The principle of this is ‘Prevention is better than cure’.</w:t>
      </w:r>
    </w:p>
    <w:p w14:paraId="369DFB2A" w14:textId="77777777" w:rsidR="00F71505" w:rsidRDefault="0059288B">
      <w:pPr>
        <w:numPr>
          <w:ilvl w:val="0"/>
          <w:numId w:val="25"/>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Important Case Laws</w:t>
      </w:r>
    </w:p>
    <w:p w14:paraId="65B95572" w14:textId="77777777" w:rsidR="00F71505" w:rsidRDefault="0059288B">
      <w:pPr>
        <w:pStyle w:val="NormalWeb"/>
        <w:shd w:val="clear" w:color="auto" w:fill="FFFFFF"/>
        <w:spacing w:before="0" w:beforeAutospacing="0" w:after="0" w:afterAutospacing="0"/>
        <w:jc w:val="both"/>
        <w:rPr>
          <w:sz w:val="20"/>
          <w:szCs w:val="20"/>
        </w:rPr>
      </w:pPr>
      <w:r>
        <w:rPr>
          <w:sz w:val="20"/>
          <w:szCs w:val="20"/>
        </w:rPr>
        <w:t>In case of </w:t>
      </w:r>
      <w:r>
        <w:rPr>
          <w:b/>
          <w:bCs/>
          <w:i/>
          <w:iCs/>
          <w:sz w:val="20"/>
          <w:szCs w:val="20"/>
        </w:rPr>
        <w:t>East India Commercial Co. Ltd v. Collector of Customs</w:t>
      </w:r>
      <w:r>
        <w:rPr>
          <w:sz w:val="20"/>
          <w:szCs w:val="20"/>
        </w:rPr>
        <w:t> [16], a writ of prohibition was passed directing an inferior Tribunal prohibiting it from contin</w:t>
      </w:r>
      <w:r>
        <w:rPr>
          <w:sz w:val="20"/>
          <w:szCs w:val="20"/>
        </w:rPr>
        <w:t>uing with the proceeding on the ground that the proceeding is without or in excess of jurisdiction or in contradiction with the laws of the land, statutes or otherwise. Then in the case of </w:t>
      </w:r>
      <w:r>
        <w:rPr>
          <w:b/>
          <w:bCs/>
          <w:i/>
          <w:iCs/>
          <w:sz w:val="20"/>
          <w:szCs w:val="20"/>
        </w:rPr>
        <w:t>Bengal Immunity Co. Ltd</w:t>
      </w:r>
      <w:r>
        <w:rPr>
          <w:sz w:val="20"/>
          <w:szCs w:val="20"/>
        </w:rPr>
        <w:t> [17], the Supreme Court pointed out that wh</w:t>
      </w:r>
      <w:r>
        <w:rPr>
          <w:sz w:val="20"/>
          <w:szCs w:val="20"/>
        </w:rPr>
        <w:t xml:space="preserve">ere an inferior tribunal is shown to have seized jurisdiction which does not belong to it </w:t>
      </w:r>
      <w:proofErr w:type="spellStart"/>
      <w:r>
        <w:rPr>
          <w:sz w:val="20"/>
          <w:szCs w:val="20"/>
        </w:rPr>
        <w:t>then</w:t>
      </w:r>
      <w:proofErr w:type="spellEnd"/>
      <w:r>
        <w:rPr>
          <w:sz w:val="20"/>
          <w:szCs w:val="20"/>
        </w:rPr>
        <w:t xml:space="preserve"> that consideration is irrelevant and the writ of Prohibition has to be issued as a right.</w:t>
      </w:r>
    </w:p>
    <w:p w14:paraId="120FD26E" w14:textId="77777777" w:rsidR="00F71505" w:rsidRDefault="0059288B">
      <w:pPr>
        <w:numPr>
          <w:ilvl w:val="0"/>
          <w:numId w:val="26"/>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Circumstances when the writ of Prohibition cannot be issued:</w:t>
      </w:r>
    </w:p>
    <w:p w14:paraId="04087B8A" w14:textId="77777777" w:rsidR="00F71505" w:rsidRDefault="0059288B">
      <w:pPr>
        <w:numPr>
          <w:ilvl w:val="0"/>
          <w:numId w:val="27"/>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 xml:space="preserve">A writ of </w:t>
      </w:r>
      <w:r>
        <w:rPr>
          <w:rFonts w:ascii="Times New Roman" w:hAnsi="Times New Roman" w:cs="Times New Roman"/>
          <w:sz w:val="20"/>
          <w:szCs w:val="20"/>
        </w:rPr>
        <w:t>prohibition cannot be issued when a subordinate or a tribunal court is acting within the ambit of its jurisdiction. </w:t>
      </w:r>
    </w:p>
    <w:p w14:paraId="54780BBD" w14:textId="77777777" w:rsidR="00F71505" w:rsidRDefault="0059288B">
      <w:pPr>
        <w:numPr>
          <w:ilvl w:val="0"/>
          <w:numId w:val="27"/>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A writ of prohibition cannot be issued in the situation of a mistake of a fact or law. </w:t>
      </w:r>
    </w:p>
    <w:p w14:paraId="1C672AC1" w14:textId="77777777" w:rsidR="00F71505" w:rsidRDefault="0059288B">
      <w:pPr>
        <w:numPr>
          <w:ilvl w:val="0"/>
          <w:numId w:val="27"/>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 xml:space="preserve">A writ of prohibition is not allowed for </w:t>
      </w:r>
      <w:r>
        <w:rPr>
          <w:rFonts w:ascii="Times New Roman" w:hAnsi="Times New Roman" w:cs="Times New Roman"/>
          <w:sz w:val="20"/>
          <w:szCs w:val="20"/>
        </w:rPr>
        <w:t>administrative authorities discharging administrative, executive or ministerial functions.</w:t>
      </w:r>
    </w:p>
    <w:p w14:paraId="3CDFE077" w14:textId="77777777" w:rsidR="00F71505" w:rsidRDefault="0059288B">
      <w:pPr>
        <w:pStyle w:val="Heading1"/>
        <w:shd w:val="clear" w:color="auto" w:fill="FFFFFF"/>
        <w:spacing w:before="0" w:beforeAutospacing="0" w:after="0" w:afterAutospacing="0"/>
        <w:jc w:val="both"/>
        <w:rPr>
          <w:b w:val="0"/>
          <w:bCs w:val="0"/>
          <w:sz w:val="20"/>
          <w:szCs w:val="20"/>
        </w:rPr>
      </w:pPr>
      <w:r>
        <w:rPr>
          <w:b w:val="0"/>
          <w:bCs w:val="0"/>
          <w:sz w:val="20"/>
          <w:szCs w:val="20"/>
        </w:rPr>
        <w:t>When can the Supreme Court dismiss a writ petition under Article 32 of Indian Constitution</w:t>
      </w:r>
    </w:p>
    <w:p w14:paraId="73B31177" w14:textId="77777777" w:rsidR="00F71505" w:rsidRDefault="0059288B">
      <w:pPr>
        <w:pStyle w:val="NormalWeb"/>
        <w:shd w:val="clear" w:color="auto" w:fill="FFFFFF"/>
        <w:spacing w:before="0" w:beforeAutospacing="0" w:after="0" w:afterAutospacing="0"/>
        <w:jc w:val="both"/>
        <w:rPr>
          <w:sz w:val="20"/>
          <w:szCs w:val="20"/>
        </w:rPr>
      </w:pPr>
      <w:r>
        <w:rPr>
          <w:sz w:val="20"/>
          <w:szCs w:val="20"/>
        </w:rPr>
        <w:t xml:space="preserve">Under Article 32, the Supreme Court can dismiss a writ petition in the </w:t>
      </w:r>
      <w:r>
        <w:rPr>
          <w:sz w:val="20"/>
          <w:szCs w:val="20"/>
        </w:rPr>
        <w:t>following circumstances:</w:t>
      </w:r>
    </w:p>
    <w:p w14:paraId="37B1F313" w14:textId="77777777" w:rsidR="00F71505" w:rsidRDefault="0059288B">
      <w:pPr>
        <w:pStyle w:val="Heading2"/>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Non-filing of the writ in compliance with the court hierarchy</w:t>
      </w:r>
    </w:p>
    <w:p w14:paraId="40C6E8A8" w14:textId="77777777" w:rsidR="00F71505" w:rsidRDefault="0059288B">
      <w:pPr>
        <w:pStyle w:val="NormalWeb"/>
        <w:shd w:val="clear" w:color="auto" w:fill="FFFFFF"/>
        <w:spacing w:before="0" w:beforeAutospacing="0" w:after="0" w:afterAutospacing="0"/>
        <w:jc w:val="both"/>
        <w:rPr>
          <w:sz w:val="20"/>
          <w:szCs w:val="20"/>
        </w:rPr>
      </w:pPr>
      <w:r>
        <w:rPr>
          <w:sz w:val="20"/>
          <w:szCs w:val="20"/>
        </w:rPr>
        <w:t>If a person files a writ petition in the Apex Court and the court dismisses his writ, the individual cannot file the writ petition again in another Court.  But if a pers</w:t>
      </w:r>
      <w:r>
        <w:rPr>
          <w:sz w:val="20"/>
          <w:szCs w:val="20"/>
        </w:rPr>
        <w:t>on files a writ petition in the high court and the court refuses his petition, he has the right to appeal against the decision of the Supreme Court under the principle of Natural Justice. </w:t>
      </w:r>
    </w:p>
    <w:p w14:paraId="29D85D2F" w14:textId="77777777" w:rsidR="00F71505" w:rsidRDefault="0059288B">
      <w:pPr>
        <w:pStyle w:val="Heading2"/>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Principle of res judicata</w:t>
      </w:r>
    </w:p>
    <w:p w14:paraId="6C7B99FB" w14:textId="77777777" w:rsidR="00F71505" w:rsidRDefault="0059288B">
      <w:pPr>
        <w:pStyle w:val="NormalWeb"/>
        <w:shd w:val="clear" w:color="auto" w:fill="FFFFFF"/>
        <w:spacing w:before="0" w:beforeAutospacing="0" w:after="0" w:afterAutospacing="0"/>
        <w:jc w:val="both"/>
        <w:rPr>
          <w:sz w:val="20"/>
          <w:szCs w:val="20"/>
        </w:rPr>
      </w:pPr>
      <w:r>
        <w:rPr>
          <w:i/>
          <w:iCs/>
          <w:sz w:val="20"/>
          <w:szCs w:val="20"/>
        </w:rPr>
        <w:t>Res Judicata</w:t>
      </w:r>
      <w:r>
        <w:rPr>
          <w:sz w:val="20"/>
          <w:szCs w:val="20"/>
        </w:rPr>
        <w:t> is defined under </w:t>
      </w:r>
      <w:hyperlink r:id="rId25" w:history="1">
        <w:r>
          <w:rPr>
            <w:rStyle w:val="Hyperlink"/>
            <w:rFonts w:eastAsiaTheme="majorEastAsia"/>
            <w:color w:val="auto"/>
            <w:sz w:val="20"/>
            <w:szCs w:val="20"/>
            <w:u w:val="none"/>
          </w:rPr>
          <w:t>Section 11</w:t>
        </w:r>
      </w:hyperlink>
      <w:r>
        <w:rPr>
          <w:sz w:val="20"/>
          <w:szCs w:val="20"/>
        </w:rPr>
        <w:t> of the Civil Procedure Code, 1908. It is the Latin phrase for “a matter decided.” It means that a subsequent suit ca</w:t>
      </w:r>
      <w:r>
        <w:rPr>
          <w:sz w:val="20"/>
          <w:szCs w:val="20"/>
        </w:rPr>
        <w:t>nnot be filed on the same cause of action and the same dispute by the parties to the suit. The principle of Res Judicata is based on three maxims: </w:t>
      </w:r>
    </w:p>
    <w:p w14:paraId="5CCF1E14" w14:textId="77777777" w:rsidR="00F71505" w:rsidRDefault="0059288B">
      <w:pPr>
        <w:numPr>
          <w:ilvl w:val="0"/>
          <w:numId w:val="28"/>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i/>
          <w:iCs/>
          <w:sz w:val="20"/>
          <w:szCs w:val="20"/>
        </w:rPr>
        <w:t xml:space="preserve">Nemo </w:t>
      </w:r>
      <w:proofErr w:type="spellStart"/>
      <w:r>
        <w:rPr>
          <w:rFonts w:ascii="Times New Roman" w:hAnsi="Times New Roman" w:cs="Times New Roman"/>
          <w:i/>
          <w:iCs/>
          <w:sz w:val="20"/>
          <w:szCs w:val="20"/>
        </w:rPr>
        <w:t>debet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lis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vaxari</w:t>
      </w:r>
      <w:proofErr w:type="spellEnd"/>
      <w:r>
        <w:rPr>
          <w:rFonts w:ascii="Times New Roman" w:hAnsi="Times New Roman" w:cs="Times New Roman"/>
          <w:i/>
          <w:iCs/>
          <w:sz w:val="20"/>
          <w:szCs w:val="20"/>
        </w:rPr>
        <w:t xml:space="preserve"> pro </w:t>
      </w:r>
      <w:proofErr w:type="spellStart"/>
      <w:r>
        <w:rPr>
          <w:rFonts w:ascii="Times New Roman" w:hAnsi="Times New Roman" w:cs="Times New Roman"/>
          <w:i/>
          <w:iCs/>
          <w:sz w:val="20"/>
          <w:szCs w:val="20"/>
        </w:rPr>
        <w:t>eadem</w:t>
      </w:r>
      <w:proofErr w:type="spellEnd"/>
      <w:r>
        <w:rPr>
          <w:rFonts w:ascii="Times New Roman" w:hAnsi="Times New Roman" w:cs="Times New Roman"/>
          <w:i/>
          <w:iCs/>
          <w:sz w:val="20"/>
          <w:szCs w:val="20"/>
        </w:rPr>
        <w:t xml:space="preserve"> causa</w:t>
      </w:r>
      <w:r>
        <w:rPr>
          <w:rFonts w:ascii="Times New Roman" w:hAnsi="Times New Roman" w:cs="Times New Roman"/>
          <w:sz w:val="20"/>
          <w:szCs w:val="20"/>
        </w:rPr>
        <w:t> (no man should be vexed twice for the same cause)</w:t>
      </w:r>
    </w:p>
    <w:p w14:paraId="10C1D4B0" w14:textId="77777777" w:rsidR="00F71505" w:rsidRDefault="0059288B">
      <w:pPr>
        <w:numPr>
          <w:ilvl w:val="0"/>
          <w:numId w:val="28"/>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i/>
          <w:iCs/>
          <w:sz w:val="20"/>
          <w:szCs w:val="20"/>
        </w:rPr>
        <w:t xml:space="preserve">Interest </w:t>
      </w:r>
      <w:proofErr w:type="spellStart"/>
      <w:r>
        <w:rPr>
          <w:rFonts w:ascii="Times New Roman" w:hAnsi="Times New Roman" w:cs="Times New Roman"/>
          <w:i/>
          <w:iCs/>
          <w:sz w:val="20"/>
          <w:szCs w:val="20"/>
        </w:rPr>
        <w:t>republicae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ut</w:t>
      </w:r>
      <w:proofErr w:type="spellEnd"/>
      <w:r>
        <w:rPr>
          <w:rFonts w:ascii="Times New Roman" w:hAnsi="Times New Roman" w:cs="Times New Roman"/>
          <w:i/>
          <w:iCs/>
          <w:sz w:val="20"/>
          <w:szCs w:val="20"/>
        </w:rPr>
        <w:t xml:space="preserve"> sit </w:t>
      </w:r>
      <w:proofErr w:type="spellStart"/>
      <w:r>
        <w:rPr>
          <w:rFonts w:ascii="Times New Roman" w:hAnsi="Times New Roman" w:cs="Times New Roman"/>
          <w:i/>
          <w:iCs/>
          <w:sz w:val="20"/>
          <w:szCs w:val="20"/>
        </w:rPr>
        <w:t>finis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litium</w:t>
      </w:r>
      <w:proofErr w:type="spellEnd"/>
      <w:r>
        <w:rPr>
          <w:rFonts w:ascii="Times New Roman" w:hAnsi="Times New Roman" w:cs="Times New Roman"/>
          <w:sz w:val="20"/>
          <w:szCs w:val="20"/>
        </w:rPr>
        <w:t> (it is in the interest of the state that there should be an end to litigation)</w:t>
      </w:r>
    </w:p>
    <w:p w14:paraId="77091B3B" w14:textId="77777777" w:rsidR="00F71505" w:rsidRDefault="0059288B">
      <w:pPr>
        <w:numPr>
          <w:ilvl w:val="0"/>
          <w:numId w:val="28"/>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i/>
          <w:iCs/>
          <w:sz w:val="20"/>
          <w:szCs w:val="20"/>
        </w:rPr>
        <w:lastRenderedPageBreak/>
        <w:t xml:space="preserve">Res judicata pro </w:t>
      </w:r>
      <w:proofErr w:type="spellStart"/>
      <w:r>
        <w:rPr>
          <w:rFonts w:ascii="Times New Roman" w:hAnsi="Times New Roman" w:cs="Times New Roman"/>
          <w:i/>
          <w:iCs/>
          <w:sz w:val="20"/>
          <w:szCs w:val="20"/>
        </w:rPr>
        <w:t>veritate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occipitur</w:t>
      </w:r>
      <w:proofErr w:type="spellEnd"/>
      <w:r>
        <w:rPr>
          <w:rFonts w:ascii="Times New Roman" w:hAnsi="Times New Roman" w:cs="Times New Roman"/>
          <w:sz w:val="20"/>
          <w:szCs w:val="20"/>
        </w:rPr>
        <w:t> (a judicial decision must be accepted as correct)</w:t>
      </w:r>
    </w:p>
    <w:p w14:paraId="3366A896" w14:textId="77777777" w:rsidR="00F71505" w:rsidRDefault="0059288B">
      <w:pPr>
        <w:pStyle w:val="NormalWeb"/>
        <w:shd w:val="clear" w:color="auto" w:fill="FFFFFF"/>
        <w:spacing w:before="0" w:beforeAutospacing="0" w:after="0" w:afterAutospacing="0"/>
        <w:jc w:val="both"/>
        <w:rPr>
          <w:sz w:val="20"/>
          <w:szCs w:val="20"/>
        </w:rPr>
      </w:pPr>
      <w:r>
        <w:rPr>
          <w:sz w:val="20"/>
          <w:szCs w:val="20"/>
        </w:rPr>
        <w:t>In the case of </w:t>
      </w:r>
      <w:proofErr w:type="spellStart"/>
      <w:r>
        <w:fldChar w:fldCharType="begin"/>
      </w:r>
      <w:r>
        <w:instrText xml:space="preserve"> HYPERLINK "https://indiankanoon.org/doc/414792/" </w:instrText>
      </w:r>
      <w:r>
        <w:fldChar w:fldCharType="separate"/>
      </w:r>
      <w:r>
        <w:rPr>
          <w:rStyle w:val="Hyperlink"/>
          <w:rFonts w:eastAsiaTheme="majorEastAsia"/>
          <w:i/>
          <w:iCs/>
          <w:color w:val="auto"/>
          <w:sz w:val="20"/>
          <w:szCs w:val="20"/>
          <w:u w:val="none"/>
        </w:rPr>
        <w:t>Daryao</w:t>
      </w:r>
      <w:proofErr w:type="spellEnd"/>
      <w:r>
        <w:rPr>
          <w:rStyle w:val="Hyperlink"/>
          <w:rFonts w:eastAsiaTheme="majorEastAsia"/>
          <w:i/>
          <w:iCs/>
          <w:color w:val="auto"/>
          <w:sz w:val="20"/>
          <w:szCs w:val="20"/>
          <w:u w:val="none"/>
        </w:rPr>
        <w:t xml:space="preserve"> </w:t>
      </w:r>
      <w:proofErr w:type="gramStart"/>
      <w:r>
        <w:rPr>
          <w:rStyle w:val="Hyperlink"/>
          <w:rFonts w:eastAsiaTheme="majorEastAsia"/>
          <w:i/>
          <w:iCs/>
          <w:color w:val="auto"/>
          <w:sz w:val="20"/>
          <w:szCs w:val="20"/>
          <w:u w:val="none"/>
        </w:rPr>
        <w:t>And</w:t>
      </w:r>
      <w:proofErr w:type="gramEnd"/>
      <w:r>
        <w:rPr>
          <w:rStyle w:val="Hyperlink"/>
          <w:rFonts w:eastAsiaTheme="majorEastAsia"/>
          <w:i/>
          <w:iCs/>
          <w:color w:val="auto"/>
          <w:sz w:val="20"/>
          <w:szCs w:val="20"/>
          <w:u w:val="none"/>
        </w:rPr>
        <w:t xml:space="preserve"> Others vs The State Of U. P. And Others</w:t>
      </w:r>
      <w:r>
        <w:rPr>
          <w:rStyle w:val="Hyperlink"/>
          <w:rFonts w:eastAsiaTheme="majorEastAsia"/>
          <w:i/>
          <w:iCs/>
          <w:color w:val="auto"/>
          <w:sz w:val="20"/>
          <w:szCs w:val="20"/>
          <w:u w:val="none"/>
        </w:rPr>
        <w:fldChar w:fldCharType="end"/>
      </w:r>
      <w:r>
        <w:rPr>
          <w:sz w:val="20"/>
          <w:szCs w:val="20"/>
        </w:rPr>
        <w:t> (1961), the Supreme Court ruled that the principle of res judicata will be applicable and even though article 32 is a fundamental right, any legal provision that overrides any fundamental right or any provisi</w:t>
      </w:r>
      <w:r>
        <w:rPr>
          <w:sz w:val="20"/>
          <w:szCs w:val="20"/>
        </w:rPr>
        <w:t>on under law shall be found unconstitutional. </w:t>
      </w:r>
    </w:p>
    <w:p w14:paraId="045E499A" w14:textId="77777777" w:rsidR="00F71505" w:rsidRDefault="0059288B">
      <w:pPr>
        <w:pStyle w:val="NormalWeb"/>
        <w:shd w:val="clear" w:color="auto" w:fill="FFFFFF"/>
        <w:spacing w:before="0" w:beforeAutospacing="0" w:after="0" w:afterAutospacing="0"/>
        <w:jc w:val="both"/>
        <w:rPr>
          <w:sz w:val="20"/>
          <w:szCs w:val="20"/>
        </w:rPr>
      </w:pPr>
      <w:r>
        <w:rPr>
          <w:sz w:val="20"/>
          <w:szCs w:val="20"/>
        </w:rPr>
        <w:t>Habeas Corpus is an exception to the principle of Res Judicata as held in the case of </w:t>
      </w:r>
      <w:hyperlink r:id="rId26" w:history="1">
        <w:r>
          <w:rPr>
            <w:rStyle w:val="Hyperlink"/>
            <w:rFonts w:eastAsiaTheme="majorEastAsia"/>
            <w:i/>
            <w:iCs/>
            <w:color w:val="auto"/>
            <w:sz w:val="20"/>
            <w:szCs w:val="20"/>
            <w:u w:val="none"/>
          </w:rPr>
          <w:t>Ghulam Sarwar v. Union of India</w:t>
        </w:r>
      </w:hyperlink>
      <w:r>
        <w:rPr>
          <w:sz w:val="20"/>
          <w:szCs w:val="20"/>
        </w:rPr>
        <w:t> (1966)</w:t>
      </w:r>
    </w:p>
    <w:p w14:paraId="303A5AE2" w14:textId="77777777" w:rsidR="00F71505" w:rsidRDefault="0059288B">
      <w:pPr>
        <w:pStyle w:val="Heading2"/>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Misrepresentation of facts</w:t>
      </w:r>
    </w:p>
    <w:p w14:paraId="49BD63F2" w14:textId="77777777" w:rsidR="00F71505" w:rsidRDefault="0059288B">
      <w:pPr>
        <w:pStyle w:val="NormalWeb"/>
        <w:shd w:val="clear" w:color="auto" w:fill="FFFFFF"/>
        <w:spacing w:before="0" w:beforeAutospacing="0" w:after="0" w:afterAutospacing="0"/>
        <w:jc w:val="both"/>
        <w:rPr>
          <w:sz w:val="20"/>
          <w:szCs w:val="20"/>
        </w:rPr>
      </w:pPr>
      <w:r>
        <w:rPr>
          <w:sz w:val="20"/>
          <w:szCs w:val="20"/>
        </w:rPr>
        <w:t>If the petitioner is found to have committed a substantial misrepresentation of key facts, the Supreme Court may dismiss the petition at any stage.   </w:t>
      </w:r>
    </w:p>
    <w:p w14:paraId="01B01E93" w14:textId="77777777" w:rsidR="00F71505" w:rsidRDefault="0059288B">
      <w:pPr>
        <w:pStyle w:val="NormalWeb"/>
        <w:shd w:val="clear" w:color="auto" w:fill="FFFFFF"/>
        <w:spacing w:before="0" w:beforeAutospacing="0" w:after="0" w:afterAutospacing="0"/>
        <w:jc w:val="both"/>
        <w:rPr>
          <w:sz w:val="20"/>
          <w:szCs w:val="20"/>
        </w:rPr>
      </w:pPr>
      <w:r>
        <w:rPr>
          <w:sz w:val="20"/>
          <w:szCs w:val="20"/>
        </w:rPr>
        <w:t>In the case of </w:t>
      </w:r>
      <w:hyperlink r:id="rId27" w:history="1">
        <w:r>
          <w:rPr>
            <w:rStyle w:val="Hyperlink"/>
            <w:rFonts w:eastAsiaTheme="majorEastAsia"/>
            <w:i/>
            <w:iCs/>
            <w:color w:val="auto"/>
            <w:sz w:val="20"/>
            <w:szCs w:val="20"/>
            <w:u w:val="none"/>
          </w:rPr>
          <w:t>Shri K. Jayaram &amp; Others v. Bangalore Development Authority &amp; Others </w:t>
        </w:r>
      </w:hyperlink>
      <w:r>
        <w:rPr>
          <w:sz w:val="20"/>
          <w:szCs w:val="20"/>
        </w:rPr>
        <w:t>(2021), the Supreme Court held that the concealment of key information is a misuse of the legal process, depriving the appellant from t</w:t>
      </w:r>
      <w:r>
        <w:rPr>
          <w:sz w:val="20"/>
          <w:szCs w:val="20"/>
        </w:rPr>
        <w:t>he exceptional, equitable, and discretionary relief from Writ Courts.        </w:t>
      </w:r>
    </w:p>
    <w:p w14:paraId="5C9190D8" w14:textId="77777777" w:rsidR="00F71505" w:rsidRDefault="0059288B">
      <w:pPr>
        <w:pStyle w:val="Heading2"/>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Availability of alternative remedy </w:t>
      </w:r>
    </w:p>
    <w:p w14:paraId="576E8516" w14:textId="77777777" w:rsidR="00F71505" w:rsidRDefault="0059288B">
      <w:pPr>
        <w:pStyle w:val="NormalWeb"/>
        <w:shd w:val="clear" w:color="auto" w:fill="FFFFFF"/>
        <w:spacing w:before="0" w:beforeAutospacing="0" w:after="0" w:afterAutospacing="0"/>
        <w:jc w:val="both"/>
        <w:rPr>
          <w:sz w:val="20"/>
          <w:szCs w:val="20"/>
        </w:rPr>
      </w:pPr>
      <w:r>
        <w:rPr>
          <w:sz w:val="20"/>
          <w:szCs w:val="20"/>
        </w:rPr>
        <w:t>If the petitioner has another remedy, he must seek it rather than filing a writ petition. In the case of </w:t>
      </w:r>
      <w:hyperlink r:id="rId28" w:history="1">
        <w:r>
          <w:rPr>
            <w:rStyle w:val="Hyperlink"/>
            <w:rFonts w:eastAsiaTheme="majorEastAsia"/>
            <w:i/>
            <w:iCs/>
            <w:color w:val="auto"/>
            <w:sz w:val="20"/>
            <w:szCs w:val="20"/>
            <w:u w:val="none"/>
          </w:rPr>
          <w:t xml:space="preserve">State of U.P. &amp; </w:t>
        </w:r>
        <w:proofErr w:type="spellStart"/>
        <w:r>
          <w:rPr>
            <w:rStyle w:val="Hyperlink"/>
            <w:rFonts w:eastAsiaTheme="majorEastAsia"/>
            <w:i/>
            <w:iCs/>
            <w:color w:val="auto"/>
            <w:sz w:val="20"/>
            <w:szCs w:val="20"/>
            <w:u w:val="none"/>
          </w:rPr>
          <w:t>Anr</w:t>
        </w:r>
        <w:proofErr w:type="spellEnd"/>
        <w:r>
          <w:rPr>
            <w:rStyle w:val="Hyperlink"/>
            <w:rFonts w:eastAsiaTheme="majorEastAsia"/>
            <w:i/>
            <w:iCs/>
            <w:color w:val="auto"/>
            <w:sz w:val="20"/>
            <w:szCs w:val="20"/>
            <w:u w:val="none"/>
          </w:rPr>
          <w:t xml:space="preserve"> v. U.P. Rajya </w:t>
        </w:r>
        <w:proofErr w:type="spellStart"/>
        <w:r>
          <w:rPr>
            <w:rStyle w:val="Hyperlink"/>
            <w:rFonts w:eastAsiaTheme="majorEastAsia"/>
            <w:i/>
            <w:iCs/>
            <w:color w:val="auto"/>
            <w:sz w:val="20"/>
            <w:szCs w:val="20"/>
            <w:u w:val="none"/>
          </w:rPr>
          <w:t>Khanij</w:t>
        </w:r>
        <w:proofErr w:type="spellEnd"/>
        <w:r>
          <w:rPr>
            <w:rStyle w:val="Hyperlink"/>
            <w:rFonts w:eastAsiaTheme="majorEastAsia"/>
            <w:i/>
            <w:iCs/>
            <w:color w:val="auto"/>
            <w:sz w:val="20"/>
            <w:szCs w:val="20"/>
            <w:u w:val="none"/>
          </w:rPr>
          <w:t xml:space="preserve"> Vikas Nigam S.S and </w:t>
        </w:r>
        <w:proofErr w:type="spellStart"/>
        <w:r>
          <w:rPr>
            <w:rStyle w:val="Hyperlink"/>
            <w:rFonts w:eastAsiaTheme="majorEastAsia"/>
            <w:i/>
            <w:iCs/>
            <w:color w:val="auto"/>
            <w:sz w:val="20"/>
            <w:szCs w:val="20"/>
            <w:u w:val="none"/>
          </w:rPr>
          <w:t>Ors</w:t>
        </w:r>
        <w:proofErr w:type="spellEnd"/>
      </w:hyperlink>
      <w:r>
        <w:rPr>
          <w:sz w:val="20"/>
          <w:szCs w:val="20"/>
        </w:rPr>
        <w:t> (2008), The Hon’ble Supreme Court ruled that the petitioners must seek a suitable alternative remedy before filing a writ case.</w:t>
      </w:r>
    </w:p>
    <w:p w14:paraId="45F48CEF" w14:textId="77777777" w:rsidR="00F71505" w:rsidRDefault="0059288B">
      <w:pPr>
        <w:pStyle w:val="Heading2"/>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Inordinate delay</w:t>
      </w:r>
    </w:p>
    <w:p w14:paraId="51CF94E6" w14:textId="77777777" w:rsidR="00F71505" w:rsidRDefault="0059288B">
      <w:pPr>
        <w:pStyle w:val="NormalWeb"/>
        <w:shd w:val="clear" w:color="auto" w:fill="FFFFFF"/>
        <w:spacing w:before="0" w:beforeAutospacing="0" w:after="0" w:afterAutospacing="0"/>
        <w:jc w:val="both"/>
        <w:rPr>
          <w:sz w:val="20"/>
          <w:szCs w:val="20"/>
        </w:rPr>
      </w:pPr>
      <w:r>
        <w:rPr>
          <w:sz w:val="20"/>
          <w:szCs w:val="20"/>
        </w:rPr>
        <w:t>In the case of </w:t>
      </w:r>
      <w:hyperlink r:id="rId29" w:history="1">
        <w:r>
          <w:rPr>
            <w:rStyle w:val="Hyperlink"/>
            <w:rFonts w:eastAsiaTheme="majorEastAsia"/>
            <w:i/>
            <w:iCs/>
            <w:color w:val="auto"/>
            <w:sz w:val="20"/>
            <w:szCs w:val="20"/>
            <w:u w:val="none"/>
          </w:rPr>
          <w:t xml:space="preserve">D. </w:t>
        </w:r>
        <w:proofErr w:type="spellStart"/>
        <w:r>
          <w:rPr>
            <w:rStyle w:val="Hyperlink"/>
            <w:rFonts w:eastAsiaTheme="majorEastAsia"/>
            <w:i/>
            <w:iCs/>
            <w:color w:val="auto"/>
            <w:sz w:val="20"/>
            <w:szCs w:val="20"/>
            <w:u w:val="none"/>
          </w:rPr>
          <w:t>Gopinathan</w:t>
        </w:r>
        <w:proofErr w:type="spellEnd"/>
        <w:r>
          <w:rPr>
            <w:rStyle w:val="Hyperlink"/>
            <w:rFonts w:eastAsiaTheme="majorEastAsia"/>
            <w:i/>
            <w:iCs/>
            <w:color w:val="auto"/>
            <w:sz w:val="20"/>
            <w:szCs w:val="20"/>
            <w:u w:val="none"/>
          </w:rPr>
          <w:t xml:space="preserve"> Pillai v. State </w:t>
        </w:r>
        <w:proofErr w:type="gramStart"/>
        <w:r>
          <w:rPr>
            <w:rStyle w:val="Hyperlink"/>
            <w:rFonts w:eastAsiaTheme="majorEastAsia"/>
            <w:i/>
            <w:iCs/>
            <w:color w:val="auto"/>
            <w:sz w:val="20"/>
            <w:szCs w:val="20"/>
            <w:u w:val="none"/>
          </w:rPr>
          <w:t>Of</w:t>
        </w:r>
        <w:proofErr w:type="gramEnd"/>
        <w:r>
          <w:rPr>
            <w:rStyle w:val="Hyperlink"/>
            <w:rFonts w:eastAsiaTheme="majorEastAsia"/>
            <w:i/>
            <w:iCs/>
            <w:color w:val="auto"/>
            <w:sz w:val="20"/>
            <w:szCs w:val="20"/>
            <w:u w:val="none"/>
          </w:rPr>
          <w:t xml:space="preserve"> Kerala &amp; </w:t>
        </w:r>
        <w:proofErr w:type="spellStart"/>
        <w:r>
          <w:rPr>
            <w:rStyle w:val="Hyperlink"/>
            <w:rFonts w:eastAsiaTheme="majorEastAsia"/>
            <w:i/>
            <w:iCs/>
            <w:color w:val="auto"/>
            <w:sz w:val="20"/>
            <w:szCs w:val="20"/>
            <w:u w:val="none"/>
          </w:rPr>
          <w:t>Anr</w:t>
        </w:r>
        <w:proofErr w:type="spellEnd"/>
      </w:hyperlink>
      <w:r>
        <w:rPr>
          <w:sz w:val="20"/>
          <w:szCs w:val="20"/>
        </w:rPr>
        <w:t> (2007), the Hon’ble Supreme Court held that inordinate delays cannot be accepted unless they are justified with reasonable, satisfactory, adequate, and suitable reason.</w:t>
      </w:r>
    </w:p>
    <w:p w14:paraId="239020DC" w14:textId="77777777" w:rsidR="00F71505" w:rsidRDefault="0059288B">
      <w:pPr>
        <w:pStyle w:val="Heading2"/>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Ma</w:t>
      </w:r>
      <w:r>
        <w:rPr>
          <w:rFonts w:ascii="Times New Roman" w:hAnsi="Times New Roman" w:cs="Times New Roman"/>
          <w:b w:val="0"/>
          <w:bCs w:val="0"/>
          <w:color w:val="auto"/>
          <w:sz w:val="20"/>
          <w:szCs w:val="20"/>
        </w:rPr>
        <w:t>licious petition</w:t>
      </w:r>
    </w:p>
    <w:p w14:paraId="6B496193" w14:textId="77777777" w:rsidR="00F71505" w:rsidRDefault="0059288B">
      <w:pPr>
        <w:pStyle w:val="NormalWeb"/>
        <w:shd w:val="clear" w:color="auto" w:fill="FFFFFF"/>
        <w:spacing w:before="0" w:beforeAutospacing="0" w:after="0" w:afterAutospacing="0"/>
        <w:jc w:val="both"/>
        <w:rPr>
          <w:sz w:val="20"/>
          <w:szCs w:val="20"/>
        </w:rPr>
      </w:pPr>
      <w:r>
        <w:rPr>
          <w:sz w:val="20"/>
          <w:szCs w:val="20"/>
        </w:rPr>
        <w:t>If the petition submitted to the Supreme Court is found to be malicious or futile, the Supreme Court may dismiss it under Article 32.</w:t>
      </w:r>
    </w:p>
    <w:p w14:paraId="79313371" w14:textId="77777777" w:rsidR="00F71505" w:rsidRDefault="0059288B">
      <w:pPr>
        <w:pStyle w:val="NormalWeb"/>
        <w:shd w:val="clear" w:color="auto" w:fill="FFFFFF"/>
        <w:spacing w:before="0" w:beforeAutospacing="0" w:after="0" w:afterAutospacing="0"/>
        <w:jc w:val="both"/>
        <w:rPr>
          <w:sz w:val="20"/>
          <w:szCs w:val="20"/>
        </w:rPr>
      </w:pPr>
      <w:r>
        <w:rPr>
          <w:sz w:val="20"/>
          <w:szCs w:val="20"/>
        </w:rPr>
        <w:t>The Hon’ble Supreme Court rejected the writ petition in  </w:t>
      </w:r>
      <w:proofErr w:type="spellStart"/>
      <w:r>
        <w:fldChar w:fldCharType="begin"/>
      </w:r>
      <w:r>
        <w:instrText xml:space="preserve"> HYPERLINK "https://indiankanoon.org/doc/1343323</w:instrText>
      </w:r>
      <w:r>
        <w:instrText xml:space="preserve">/" </w:instrText>
      </w:r>
      <w:r>
        <w:fldChar w:fldCharType="separate"/>
      </w:r>
      <w:r>
        <w:rPr>
          <w:rStyle w:val="Hyperlink"/>
          <w:rFonts w:eastAsiaTheme="majorEastAsia"/>
          <w:i/>
          <w:iCs/>
          <w:color w:val="auto"/>
          <w:sz w:val="20"/>
          <w:szCs w:val="20"/>
          <w:u w:val="none"/>
        </w:rPr>
        <w:t>Shoukat</w:t>
      </w:r>
      <w:proofErr w:type="spellEnd"/>
      <w:r>
        <w:rPr>
          <w:rStyle w:val="Hyperlink"/>
          <w:rFonts w:eastAsiaTheme="majorEastAsia"/>
          <w:i/>
          <w:iCs/>
          <w:color w:val="auto"/>
          <w:sz w:val="20"/>
          <w:szCs w:val="20"/>
          <w:u w:val="none"/>
        </w:rPr>
        <w:t xml:space="preserve"> Hussain Guru vs State (</w:t>
      </w:r>
      <w:proofErr w:type="spellStart"/>
      <w:r>
        <w:rPr>
          <w:rStyle w:val="Hyperlink"/>
          <w:rFonts w:eastAsiaTheme="majorEastAsia"/>
          <w:i/>
          <w:iCs/>
          <w:color w:val="auto"/>
          <w:sz w:val="20"/>
          <w:szCs w:val="20"/>
          <w:u w:val="none"/>
        </w:rPr>
        <w:t>Nct</w:t>
      </w:r>
      <w:proofErr w:type="spellEnd"/>
      <w:r>
        <w:rPr>
          <w:rStyle w:val="Hyperlink"/>
          <w:rFonts w:eastAsiaTheme="majorEastAsia"/>
          <w:i/>
          <w:iCs/>
          <w:color w:val="auto"/>
          <w:sz w:val="20"/>
          <w:szCs w:val="20"/>
          <w:u w:val="none"/>
        </w:rPr>
        <w:t xml:space="preserve">) Delhi &amp; </w:t>
      </w:r>
      <w:proofErr w:type="spellStart"/>
      <w:r>
        <w:rPr>
          <w:rStyle w:val="Hyperlink"/>
          <w:rFonts w:eastAsiaTheme="majorEastAsia"/>
          <w:i/>
          <w:iCs/>
          <w:color w:val="auto"/>
          <w:sz w:val="20"/>
          <w:szCs w:val="20"/>
          <w:u w:val="none"/>
        </w:rPr>
        <w:t>Anr</w:t>
      </w:r>
      <w:proofErr w:type="spellEnd"/>
      <w:r>
        <w:rPr>
          <w:rStyle w:val="Hyperlink"/>
          <w:rFonts w:eastAsiaTheme="majorEastAsia"/>
          <w:i/>
          <w:iCs/>
          <w:color w:val="auto"/>
          <w:sz w:val="20"/>
          <w:szCs w:val="20"/>
          <w:u w:val="none"/>
        </w:rPr>
        <w:fldChar w:fldCharType="end"/>
      </w:r>
      <w:r>
        <w:rPr>
          <w:sz w:val="20"/>
          <w:szCs w:val="20"/>
        </w:rPr>
        <w:t> (2008) because it lacked any rational grounds for it to be issued.</w:t>
      </w:r>
    </w:p>
    <w:p w14:paraId="6F8F7DBE" w14:textId="77777777" w:rsidR="00F71505" w:rsidRDefault="0059288B">
      <w:pPr>
        <w:pStyle w:val="Heading1"/>
        <w:shd w:val="clear" w:color="auto" w:fill="FFFFFF"/>
        <w:spacing w:before="0" w:beforeAutospacing="0" w:after="0" w:afterAutospacing="0"/>
        <w:jc w:val="both"/>
        <w:rPr>
          <w:b w:val="0"/>
          <w:bCs w:val="0"/>
          <w:sz w:val="20"/>
          <w:szCs w:val="20"/>
        </w:rPr>
      </w:pPr>
      <w:r>
        <w:rPr>
          <w:b w:val="0"/>
          <w:bCs w:val="0"/>
          <w:sz w:val="20"/>
          <w:szCs w:val="20"/>
        </w:rPr>
        <w:t>Against whom a writ can be issued</w:t>
      </w:r>
    </w:p>
    <w:p w14:paraId="6ED7E06D" w14:textId="77777777" w:rsidR="00F71505" w:rsidRDefault="0059288B">
      <w:pPr>
        <w:pStyle w:val="NormalWeb"/>
        <w:shd w:val="clear" w:color="auto" w:fill="FFFFFF"/>
        <w:spacing w:before="0" w:beforeAutospacing="0" w:after="0" w:afterAutospacing="0"/>
        <w:jc w:val="both"/>
        <w:rPr>
          <w:sz w:val="20"/>
          <w:szCs w:val="20"/>
        </w:rPr>
      </w:pPr>
      <w:r>
        <w:rPr>
          <w:sz w:val="20"/>
          <w:szCs w:val="20"/>
        </w:rPr>
        <w:t xml:space="preserve">Part III of the Indian Constitution deals with fundamental rights. Article 32 is a fundamental right </w:t>
      </w:r>
      <w:r>
        <w:rPr>
          <w:sz w:val="20"/>
          <w:szCs w:val="20"/>
        </w:rPr>
        <w:t>in itself. Violation of fundamental rights can be relieved by the filing of a writ petition under Article 32 to the Supreme Court or under Article 226 to the High Court.  Writs are public law remedies. The rights granted to citizens through fundamental rig</w:t>
      </w:r>
      <w:r>
        <w:rPr>
          <w:sz w:val="20"/>
          <w:szCs w:val="20"/>
        </w:rPr>
        <w:t>hts as outlined in Part III of the Constitution are a safeguard against state misconduct. Article 12 defines the word “State,” which includes the following: </w:t>
      </w:r>
    </w:p>
    <w:p w14:paraId="6AC99FEB" w14:textId="77777777" w:rsidR="00F71505" w:rsidRDefault="0059288B">
      <w:pPr>
        <w:numPr>
          <w:ilvl w:val="0"/>
          <w:numId w:val="29"/>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 xml:space="preserve">The Government and Parliament of India,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the Union’s Executive and Legislature. </w:t>
      </w:r>
    </w:p>
    <w:p w14:paraId="5408F0FB" w14:textId="77777777" w:rsidR="00F71505" w:rsidRDefault="0059288B">
      <w:pPr>
        <w:numPr>
          <w:ilvl w:val="0"/>
          <w:numId w:val="29"/>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 xml:space="preserve">Each state’s </w:t>
      </w:r>
      <w:r>
        <w:rPr>
          <w:rFonts w:ascii="Times New Roman" w:hAnsi="Times New Roman" w:cs="Times New Roman"/>
          <w:sz w:val="20"/>
          <w:szCs w:val="20"/>
        </w:rPr>
        <w:t>government and legislature, i.e., the executive and legislative branches of government. </w:t>
      </w:r>
    </w:p>
    <w:p w14:paraId="7611BBB3" w14:textId="77777777" w:rsidR="00F71505" w:rsidRDefault="0059288B">
      <w:pPr>
        <w:numPr>
          <w:ilvl w:val="0"/>
          <w:numId w:val="29"/>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All local or other authorities in Indian territory. </w:t>
      </w:r>
    </w:p>
    <w:p w14:paraId="215ABF29" w14:textId="77777777" w:rsidR="00F71505" w:rsidRDefault="0059288B">
      <w:pPr>
        <w:numPr>
          <w:ilvl w:val="0"/>
          <w:numId w:val="29"/>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All local and other authorities controlled by the Government of India.</w:t>
      </w:r>
    </w:p>
    <w:p w14:paraId="3164488F" w14:textId="77777777" w:rsidR="00F71505" w:rsidRDefault="0059288B">
      <w:pPr>
        <w:pStyle w:val="NormalWeb"/>
        <w:shd w:val="clear" w:color="auto" w:fill="FFFFFF"/>
        <w:spacing w:before="0" w:beforeAutospacing="0" w:after="0" w:afterAutospacing="0"/>
        <w:jc w:val="both"/>
        <w:rPr>
          <w:sz w:val="20"/>
          <w:szCs w:val="20"/>
        </w:rPr>
      </w:pPr>
      <w:r>
        <w:rPr>
          <w:sz w:val="20"/>
          <w:szCs w:val="20"/>
        </w:rPr>
        <w:t>In the case of </w:t>
      </w:r>
      <w:hyperlink r:id="rId30" w:history="1">
        <w:r>
          <w:rPr>
            <w:rStyle w:val="Hyperlink"/>
            <w:rFonts w:eastAsiaTheme="majorEastAsia"/>
            <w:i/>
            <w:iCs/>
            <w:color w:val="auto"/>
            <w:sz w:val="20"/>
            <w:szCs w:val="20"/>
            <w:u w:val="none"/>
          </w:rPr>
          <w:t xml:space="preserve">Ajay </w:t>
        </w:r>
        <w:proofErr w:type="spellStart"/>
        <w:r>
          <w:rPr>
            <w:rStyle w:val="Hyperlink"/>
            <w:rFonts w:eastAsiaTheme="majorEastAsia"/>
            <w:i/>
            <w:iCs/>
            <w:color w:val="auto"/>
            <w:sz w:val="20"/>
            <w:szCs w:val="20"/>
            <w:u w:val="none"/>
          </w:rPr>
          <w:t>Hasia</w:t>
        </w:r>
        <w:proofErr w:type="spellEnd"/>
        <w:r>
          <w:rPr>
            <w:rStyle w:val="Hyperlink"/>
            <w:rFonts w:eastAsiaTheme="majorEastAsia"/>
            <w:i/>
            <w:iCs/>
            <w:color w:val="auto"/>
            <w:sz w:val="20"/>
            <w:szCs w:val="20"/>
            <w:u w:val="none"/>
          </w:rPr>
          <w:t xml:space="preserve"> v. Khalid Mujib</w:t>
        </w:r>
      </w:hyperlink>
      <w:r>
        <w:rPr>
          <w:sz w:val="20"/>
          <w:szCs w:val="20"/>
        </w:rPr>
        <w:t> (1981), under Article 12, the term “</w:t>
      </w:r>
      <w:r>
        <w:rPr>
          <w:i/>
          <w:iCs/>
          <w:sz w:val="20"/>
          <w:szCs w:val="20"/>
        </w:rPr>
        <w:t>local authority</w:t>
      </w:r>
      <w:r>
        <w:rPr>
          <w:sz w:val="20"/>
          <w:szCs w:val="20"/>
        </w:rPr>
        <w:t>” refers to a unit of local self-government such as a municipal committee or a village panchayat.</w:t>
      </w:r>
    </w:p>
    <w:p w14:paraId="6F40666B" w14:textId="77777777" w:rsidR="00F71505" w:rsidRDefault="0059288B">
      <w:pPr>
        <w:pStyle w:val="NormalWeb"/>
        <w:shd w:val="clear" w:color="auto" w:fill="FFFFFF"/>
        <w:spacing w:before="0" w:beforeAutospacing="0" w:after="0" w:afterAutospacing="0"/>
        <w:jc w:val="both"/>
        <w:rPr>
          <w:sz w:val="20"/>
          <w:szCs w:val="20"/>
        </w:rPr>
      </w:pPr>
      <w:r>
        <w:rPr>
          <w:sz w:val="20"/>
          <w:szCs w:val="20"/>
        </w:rPr>
        <w:t>In the case of </w:t>
      </w:r>
      <w:hyperlink r:id="rId31" w:history="1">
        <w:r>
          <w:rPr>
            <w:rStyle w:val="Hyperlink"/>
            <w:rFonts w:eastAsiaTheme="majorEastAsia"/>
            <w:i/>
            <w:iCs/>
            <w:color w:val="auto"/>
            <w:sz w:val="20"/>
            <w:szCs w:val="20"/>
            <w:u w:val="none"/>
          </w:rPr>
          <w:t xml:space="preserve">Kishor Madhukar </w:t>
        </w:r>
        <w:proofErr w:type="spellStart"/>
        <w:r>
          <w:rPr>
            <w:rStyle w:val="Hyperlink"/>
            <w:rFonts w:eastAsiaTheme="majorEastAsia"/>
            <w:i/>
            <w:iCs/>
            <w:color w:val="auto"/>
            <w:sz w:val="20"/>
            <w:szCs w:val="20"/>
            <w:u w:val="none"/>
          </w:rPr>
          <w:t>Pinglikar</w:t>
        </w:r>
        <w:proofErr w:type="spellEnd"/>
        <w:r>
          <w:rPr>
            <w:rStyle w:val="Hyperlink"/>
            <w:rFonts w:eastAsiaTheme="majorEastAsia"/>
            <w:i/>
            <w:iCs/>
            <w:color w:val="auto"/>
            <w:sz w:val="20"/>
            <w:szCs w:val="20"/>
            <w:u w:val="none"/>
          </w:rPr>
          <w:t xml:space="preserve"> vs Automotive Research Association</w:t>
        </w:r>
      </w:hyperlink>
      <w:r>
        <w:rPr>
          <w:sz w:val="20"/>
          <w:szCs w:val="20"/>
        </w:rPr>
        <w:t> (2022), the Hon’ble Supreme Court held that the presence of some aspect of public duty or function does not automatically constitute a body as a “stat</w:t>
      </w:r>
      <w:r>
        <w:rPr>
          <w:sz w:val="20"/>
          <w:szCs w:val="20"/>
        </w:rPr>
        <w:t>e” under Article 12.</w:t>
      </w:r>
    </w:p>
    <w:p w14:paraId="14A61A39" w14:textId="77777777" w:rsidR="00F71505" w:rsidRDefault="0059288B">
      <w:pPr>
        <w:pStyle w:val="Heading1"/>
        <w:shd w:val="clear" w:color="auto" w:fill="FFFFFF"/>
        <w:spacing w:before="0" w:beforeAutospacing="0" w:after="0" w:afterAutospacing="0"/>
        <w:jc w:val="both"/>
        <w:rPr>
          <w:b w:val="0"/>
          <w:bCs w:val="0"/>
          <w:sz w:val="20"/>
          <w:szCs w:val="20"/>
        </w:rPr>
      </w:pPr>
      <w:r>
        <w:rPr>
          <w:b w:val="0"/>
          <w:bCs w:val="0"/>
          <w:sz w:val="20"/>
          <w:szCs w:val="20"/>
        </w:rPr>
        <w:t>Suspension of fundamental rights</w:t>
      </w:r>
    </w:p>
    <w:p w14:paraId="4348C038" w14:textId="77777777" w:rsidR="00F71505" w:rsidRDefault="0059288B">
      <w:pPr>
        <w:pStyle w:val="NormalWeb"/>
        <w:shd w:val="clear" w:color="auto" w:fill="FFFFFF"/>
        <w:spacing w:before="0" w:beforeAutospacing="0" w:after="0" w:afterAutospacing="0"/>
        <w:jc w:val="both"/>
        <w:rPr>
          <w:sz w:val="20"/>
          <w:szCs w:val="20"/>
        </w:rPr>
      </w:pPr>
      <w:r>
        <w:rPr>
          <w:sz w:val="20"/>
          <w:szCs w:val="20"/>
        </w:rPr>
        <w:t>The six Fundamental Rights outlined in Article 19 are immediately suspended when a declaration of national emergency is made, in accordance with </w:t>
      </w:r>
      <w:hyperlink r:id="rId32" w:history="1">
        <w:r>
          <w:rPr>
            <w:rStyle w:val="Hyperlink"/>
            <w:color w:val="auto"/>
            <w:sz w:val="20"/>
            <w:szCs w:val="20"/>
            <w:u w:val="none"/>
          </w:rPr>
          <w:t>Article 358</w:t>
        </w:r>
      </w:hyperlink>
      <w:r>
        <w:rPr>
          <w:sz w:val="20"/>
          <w:szCs w:val="20"/>
        </w:rPr>
        <w:t>. The 44th Amendment Act of 1978 included two restrictions on the application of Article 358, namely: </w:t>
      </w:r>
    </w:p>
    <w:p w14:paraId="5902F112" w14:textId="77777777" w:rsidR="00F71505" w:rsidRDefault="0059288B">
      <w:pPr>
        <w:numPr>
          <w:ilvl w:val="0"/>
          <w:numId w:val="30"/>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When the national emergency is proclaimed owing to war or foreign invasion, rather than a</w:t>
      </w:r>
      <w:r>
        <w:rPr>
          <w:rFonts w:ascii="Times New Roman" w:hAnsi="Times New Roman" w:cs="Times New Roman"/>
          <w:sz w:val="20"/>
          <w:szCs w:val="20"/>
        </w:rPr>
        <w:t>n armed rebellion and the six fundamental rights outlined in Article 19 be suspended. </w:t>
      </w:r>
    </w:p>
    <w:p w14:paraId="60E71960" w14:textId="77777777" w:rsidR="00F71505" w:rsidRDefault="0059288B">
      <w:pPr>
        <w:numPr>
          <w:ilvl w:val="0"/>
          <w:numId w:val="30"/>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At the times of emergency, Article 32 will be suspended. </w:t>
      </w:r>
    </w:p>
    <w:p w14:paraId="787FDD67" w14:textId="77777777" w:rsidR="004A2CE8" w:rsidRDefault="004A2CE8" w:rsidP="004A2CE8">
      <w:pPr>
        <w:pStyle w:val="NormalWeb"/>
        <w:shd w:val="clear" w:color="auto" w:fill="FFFFFF"/>
        <w:spacing w:before="0" w:beforeAutospacing="0" w:after="0" w:afterAutospacing="0"/>
        <w:ind w:firstLine="720"/>
        <w:jc w:val="both"/>
        <w:rPr>
          <w:sz w:val="20"/>
          <w:szCs w:val="20"/>
        </w:rPr>
      </w:pPr>
    </w:p>
    <w:p w14:paraId="1CC56FEA" w14:textId="4FE7539F" w:rsidR="00F71505" w:rsidRDefault="0059288B" w:rsidP="004A2CE8">
      <w:pPr>
        <w:pStyle w:val="NormalWeb"/>
        <w:shd w:val="clear" w:color="auto" w:fill="FFFFFF"/>
        <w:spacing w:before="0" w:beforeAutospacing="0" w:after="0" w:afterAutospacing="0"/>
        <w:ind w:firstLine="720"/>
        <w:jc w:val="both"/>
        <w:rPr>
          <w:sz w:val="20"/>
          <w:szCs w:val="20"/>
        </w:rPr>
      </w:pPr>
      <w:r>
        <w:rPr>
          <w:sz w:val="20"/>
          <w:szCs w:val="20"/>
        </w:rPr>
        <w:t>The fundamental rights are merely suspended in their enforcement under </w:t>
      </w:r>
      <w:hyperlink r:id="rId33" w:history="1">
        <w:r>
          <w:rPr>
            <w:rStyle w:val="Hyperlink"/>
            <w:color w:val="auto"/>
            <w:sz w:val="20"/>
            <w:szCs w:val="20"/>
            <w:u w:val="none"/>
          </w:rPr>
          <w:t>Article 359</w:t>
        </w:r>
      </w:hyperlink>
      <w:r>
        <w:rPr>
          <w:sz w:val="20"/>
          <w:szCs w:val="20"/>
        </w:rPr>
        <w:t>, not their totality.</w:t>
      </w:r>
      <w:r w:rsidR="004A2CE8">
        <w:rPr>
          <w:sz w:val="20"/>
          <w:szCs w:val="20"/>
        </w:rPr>
        <w:t xml:space="preserve"> </w:t>
      </w:r>
      <w:r>
        <w:rPr>
          <w:sz w:val="20"/>
          <w:szCs w:val="20"/>
        </w:rPr>
        <w:t>During the emergency, the rights outlined in Articles 20 and 21 cannot be suspended.</w:t>
      </w:r>
    </w:p>
    <w:p w14:paraId="5D631708" w14:textId="77777777" w:rsidR="00F71505" w:rsidRDefault="0059288B" w:rsidP="004A2CE8">
      <w:pPr>
        <w:pStyle w:val="Heading1"/>
        <w:shd w:val="clear" w:color="auto" w:fill="FFFFFF"/>
        <w:spacing w:before="0" w:beforeAutospacing="0" w:after="0" w:afterAutospacing="0"/>
        <w:ind w:firstLine="720"/>
        <w:jc w:val="both"/>
        <w:rPr>
          <w:b w:val="0"/>
          <w:bCs w:val="0"/>
          <w:sz w:val="20"/>
          <w:szCs w:val="20"/>
        </w:rPr>
      </w:pPr>
      <w:r>
        <w:rPr>
          <w:b w:val="0"/>
          <w:bCs w:val="0"/>
          <w:sz w:val="20"/>
          <w:szCs w:val="20"/>
        </w:rPr>
        <w:t>Recent developments under Article 32 of Indian Constitution</w:t>
      </w:r>
    </w:p>
    <w:p w14:paraId="3D77827F" w14:textId="77777777" w:rsidR="00F71505" w:rsidRDefault="0059288B" w:rsidP="004A2CE8">
      <w:pPr>
        <w:pStyle w:val="NormalWeb"/>
        <w:shd w:val="clear" w:color="auto" w:fill="FFFFFF"/>
        <w:spacing w:before="0" w:beforeAutospacing="0" w:after="0" w:afterAutospacing="0"/>
        <w:ind w:firstLine="720"/>
        <w:jc w:val="both"/>
        <w:rPr>
          <w:sz w:val="20"/>
          <w:szCs w:val="20"/>
        </w:rPr>
      </w:pPr>
      <w:r>
        <w:rPr>
          <w:sz w:val="20"/>
          <w:szCs w:val="20"/>
        </w:rPr>
        <w:t>The Supreme Court ruled in </w:t>
      </w:r>
      <w:hyperlink r:id="rId34" w:history="1">
        <w:r>
          <w:rPr>
            <w:rStyle w:val="Hyperlink"/>
            <w:i/>
            <w:iCs/>
            <w:color w:val="auto"/>
            <w:sz w:val="20"/>
            <w:szCs w:val="20"/>
            <w:u w:val="none"/>
          </w:rPr>
          <w:t>Shashidhar M. v. Poornima C</w:t>
        </w:r>
      </w:hyperlink>
      <w:r>
        <w:rPr>
          <w:sz w:val="20"/>
          <w:szCs w:val="20"/>
        </w:rPr>
        <w:t> (2019) that writ petitions for recalling directives in Special Leave Petition (SLP) are not maintainable.</w:t>
      </w:r>
    </w:p>
    <w:p w14:paraId="2CD60DE4" w14:textId="77777777" w:rsidR="00F71505" w:rsidRDefault="0059288B" w:rsidP="004A2CE8">
      <w:pPr>
        <w:pStyle w:val="NormalWeb"/>
        <w:shd w:val="clear" w:color="auto" w:fill="FFFFFF"/>
        <w:spacing w:before="0" w:beforeAutospacing="0" w:after="0" w:afterAutospacing="0"/>
        <w:ind w:firstLine="720"/>
        <w:jc w:val="both"/>
        <w:rPr>
          <w:sz w:val="20"/>
          <w:szCs w:val="20"/>
        </w:rPr>
      </w:pPr>
      <w:r>
        <w:rPr>
          <w:sz w:val="20"/>
          <w:szCs w:val="20"/>
        </w:rPr>
        <w:t>In the case of </w:t>
      </w:r>
      <w:hyperlink r:id="rId35" w:history="1">
        <w:r>
          <w:rPr>
            <w:rStyle w:val="Hyperlink"/>
            <w:i/>
            <w:iCs/>
            <w:color w:val="auto"/>
            <w:sz w:val="20"/>
            <w:szCs w:val="20"/>
            <w:u w:val="none"/>
          </w:rPr>
          <w:t xml:space="preserve">Skill Lotto Solutions Pvt Ltd. v. Union </w:t>
        </w:r>
        <w:proofErr w:type="gramStart"/>
        <w:r>
          <w:rPr>
            <w:rStyle w:val="Hyperlink"/>
            <w:i/>
            <w:iCs/>
            <w:color w:val="auto"/>
            <w:sz w:val="20"/>
            <w:szCs w:val="20"/>
            <w:u w:val="none"/>
          </w:rPr>
          <w:t>Of</w:t>
        </w:r>
        <w:proofErr w:type="gramEnd"/>
        <w:r>
          <w:rPr>
            <w:rStyle w:val="Hyperlink"/>
            <w:i/>
            <w:iCs/>
            <w:color w:val="auto"/>
            <w:sz w:val="20"/>
            <w:szCs w:val="20"/>
            <w:u w:val="none"/>
          </w:rPr>
          <w:t xml:space="preserve"> India</w:t>
        </w:r>
      </w:hyperlink>
      <w:r>
        <w:rPr>
          <w:sz w:val="20"/>
          <w:szCs w:val="20"/>
        </w:rPr>
        <w:t> (2020), the Hon’ble Supreme Court held that “</w:t>
      </w:r>
      <w:r>
        <w:rPr>
          <w:i/>
          <w:iCs/>
          <w:sz w:val="20"/>
          <w:szCs w:val="20"/>
        </w:rPr>
        <w:t>Article 32 is an important and integral part of the basic structure of the Constitution. Article 32 is mea</w:t>
      </w:r>
      <w:r>
        <w:rPr>
          <w:i/>
          <w:iCs/>
          <w:sz w:val="20"/>
          <w:szCs w:val="20"/>
        </w:rPr>
        <w:t>nt to ensure observance of rule of law. Article 32 provides for the enforcement of fundamental rights, which is the most potent weapon.”</w:t>
      </w:r>
    </w:p>
    <w:p w14:paraId="2ADFAFCF" w14:textId="77777777" w:rsidR="00F71505" w:rsidRDefault="0059288B" w:rsidP="004A2CE8">
      <w:pPr>
        <w:pStyle w:val="NormalWeb"/>
        <w:shd w:val="clear" w:color="auto" w:fill="FFFFFF"/>
        <w:spacing w:before="0" w:beforeAutospacing="0" w:after="0" w:afterAutospacing="0"/>
        <w:ind w:firstLine="720"/>
        <w:jc w:val="both"/>
        <w:rPr>
          <w:sz w:val="20"/>
          <w:szCs w:val="20"/>
        </w:rPr>
      </w:pPr>
      <w:r>
        <w:rPr>
          <w:sz w:val="20"/>
          <w:szCs w:val="20"/>
        </w:rPr>
        <w:t>In the case of </w:t>
      </w:r>
      <w:hyperlink r:id="rId36" w:history="1">
        <w:r>
          <w:rPr>
            <w:rStyle w:val="Hyperlink"/>
            <w:i/>
            <w:iCs/>
            <w:color w:val="auto"/>
            <w:sz w:val="20"/>
            <w:szCs w:val="20"/>
            <w:u w:val="none"/>
          </w:rPr>
          <w:t xml:space="preserve">Mohammad </w:t>
        </w:r>
        <w:proofErr w:type="spellStart"/>
        <w:r>
          <w:rPr>
            <w:rStyle w:val="Hyperlink"/>
            <w:i/>
            <w:iCs/>
            <w:color w:val="auto"/>
            <w:sz w:val="20"/>
            <w:szCs w:val="20"/>
            <w:u w:val="none"/>
          </w:rPr>
          <w:t>Moin</w:t>
        </w:r>
        <w:proofErr w:type="spellEnd"/>
        <w:r>
          <w:rPr>
            <w:rStyle w:val="Hyperlink"/>
            <w:i/>
            <w:iCs/>
            <w:color w:val="auto"/>
            <w:sz w:val="20"/>
            <w:szCs w:val="20"/>
            <w:u w:val="none"/>
          </w:rPr>
          <w:t xml:space="preserve"> </w:t>
        </w:r>
        <w:proofErr w:type="spellStart"/>
        <w:r>
          <w:rPr>
            <w:rStyle w:val="Hyperlink"/>
            <w:i/>
            <w:iCs/>
            <w:color w:val="auto"/>
            <w:sz w:val="20"/>
            <w:szCs w:val="20"/>
            <w:u w:val="none"/>
          </w:rPr>
          <w:t>Faridullah</w:t>
        </w:r>
        <w:proofErr w:type="spellEnd"/>
        <w:r>
          <w:rPr>
            <w:rStyle w:val="Hyperlink"/>
            <w:i/>
            <w:iCs/>
            <w:color w:val="auto"/>
            <w:sz w:val="20"/>
            <w:szCs w:val="20"/>
            <w:u w:val="none"/>
          </w:rPr>
          <w:t xml:space="preserve"> Qureshi v. The State </w:t>
        </w:r>
        <w:proofErr w:type="gramStart"/>
        <w:r>
          <w:rPr>
            <w:rStyle w:val="Hyperlink"/>
            <w:i/>
            <w:iCs/>
            <w:color w:val="auto"/>
            <w:sz w:val="20"/>
            <w:szCs w:val="20"/>
            <w:u w:val="none"/>
          </w:rPr>
          <w:t>Of</w:t>
        </w:r>
        <w:proofErr w:type="gramEnd"/>
        <w:r>
          <w:rPr>
            <w:rStyle w:val="Hyperlink"/>
            <w:i/>
            <w:iCs/>
            <w:color w:val="auto"/>
            <w:sz w:val="20"/>
            <w:szCs w:val="20"/>
            <w:u w:val="none"/>
          </w:rPr>
          <w:t xml:space="preserve"> Maha</w:t>
        </w:r>
        <w:r>
          <w:rPr>
            <w:rStyle w:val="Hyperlink"/>
            <w:i/>
            <w:iCs/>
            <w:color w:val="auto"/>
            <w:sz w:val="20"/>
            <w:szCs w:val="20"/>
            <w:u w:val="none"/>
          </w:rPr>
          <w:t>rashtra</w:t>
        </w:r>
      </w:hyperlink>
      <w:r>
        <w:rPr>
          <w:sz w:val="20"/>
          <w:szCs w:val="20"/>
        </w:rPr>
        <w:t> (2020), the Hon’ble Supreme Court held that when a judgement is declared final under Article 32, it cannot be disputed.</w:t>
      </w:r>
    </w:p>
    <w:p w14:paraId="626852B7" w14:textId="77777777" w:rsidR="00F71505" w:rsidRDefault="0059288B" w:rsidP="004A2CE8">
      <w:pPr>
        <w:pStyle w:val="NormalWeb"/>
        <w:shd w:val="clear" w:color="auto" w:fill="FFFFFF"/>
        <w:spacing w:before="0" w:beforeAutospacing="0" w:after="0" w:afterAutospacing="0"/>
        <w:ind w:firstLine="720"/>
        <w:jc w:val="both"/>
        <w:rPr>
          <w:sz w:val="20"/>
          <w:szCs w:val="20"/>
        </w:rPr>
      </w:pPr>
      <w:r>
        <w:rPr>
          <w:sz w:val="20"/>
          <w:szCs w:val="20"/>
        </w:rPr>
        <w:t>In the case of </w:t>
      </w:r>
      <w:hyperlink r:id="rId37" w:history="1">
        <w:r>
          <w:rPr>
            <w:rStyle w:val="Hyperlink"/>
            <w:i/>
            <w:iCs/>
            <w:color w:val="auto"/>
            <w:sz w:val="20"/>
            <w:szCs w:val="20"/>
            <w:u w:val="none"/>
          </w:rPr>
          <w:t>Gayatri Prasad Prajapati v. State of Uttar Pradesh and Ot</w:t>
        </w:r>
        <w:r>
          <w:rPr>
            <w:rStyle w:val="Hyperlink"/>
            <w:i/>
            <w:iCs/>
            <w:color w:val="auto"/>
            <w:sz w:val="20"/>
            <w:szCs w:val="20"/>
            <w:u w:val="none"/>
          </w:rPr>
          <w:t>hers</w:t>
        </w:r>
      </w:hyperlink>
      <w:r>
        <w:rPr>
          <w:sz w:val="20"/>
          <w:szCs w:val="20"/>
        </w:rPr>
        <w:t xml:space="preserve"> (2022), the Hon’ble </w:t>
      </w:r>
      <w:r>
        <w:rPr>
          <w:sz w:val="20"/>
          <w:szCs w:val="20"/>
        </w:rPr>
        <w:lastRenderedPageBreak/>
        <w:t>Supreme Court held that writ petitions cannot be filed for quashing a criminal proceeding or a First Information Report (FIR).</w:t>
      </w:r>
    </w:p>
    <w:p w14:paraId="573A315D" w14:textId="77777777" w:rsidR="00F71505" w:rsidRDefault="0059288B" w:rsidP="004A2CE8">
      <w:pPr>
        <w:pStyle w:val="NormalWeb"/>
        <w:shd w:val="clear" w:color="auto" w:fill="FFFFFF"/>
        <w:spacing w:before="0" w:beforeAutospacing="0" w:after="315" w:afterAutospacing="0"/>
        <w:ind w:firstLine="720"/>
        <w:jc w:val="both"/>
        <w:rPr>
          <w:sz w:val="20"/>
          <w:szCs w:val="20"/>
        </w:rPr>
      </w:pPr>
      <w:r>
        <w:rPr>
          <w:sz w:val="20"/>
          <w:szCs w:val="20"/>
        </w:rPr>
        <w:t>In the case of </w:t>
      </w:r>
      <w:hyperlink r:id="rId38" w:history="1">
        <w:r>
          <w:rPr>
            <w:rStyle w:val="Hyperlink"/>
            <w:i/>
            <w:iCs/>
            <w:color w:val="auto"/>
            <w:sz w:val="20"/>
            <w:szCs w:val="20"/>
            <w:u w:val="none"/>
          </w:rPr>
          <w:t xml:space="preserve">Sharad Zaveri vs Union </w:t>
        </w:r>
        <w:proofErr w:type="gramStart"/>
        <w:r>
          <w:rPr>
            <w:rStyle w:val="Hyperlink"/>
            <w:i/>
            <w:iCs/>
            <w:color w:val="auto"/>
            <w:sz w:val="20"/>
            <w:szCs w:val="20"/>
            <w:u w:val="none"/>
          </w:rPr>
          <w:t>Of</w:t>
        </w:r>
        <w:proofErr w:type="gramEnd"/>
        <w:r>
          <w:rPr>
            <w:rStyle w:val="Hyperlink"/>
            <w:i/>
            <w:iCs/>
            <w:color w:val="auto"/>
            <w:sz w:val="20"/>
            <w:szCs w:val="20"/>
            <w:u w:val="none"/>
          </w:rPr>
          <w:t xml:space="preserve"> India</w:t>
        </w:r>
      </w:hyperlink>
      <w:r>
        <w:rPr>
          <w:sz w:val="20"/>
          <w:szCs w:val="20"/>
        </w:rPr>
        <w:t> (2022), the Hon’ble Supreme Court ruled that not all conflicts involving places of worship may be taken before the Supreme Court under Article 32.</w:t>
      </w:r>
    </w:p>
    <w:p w14:paraId="6E84926D" w14:textId="77777777" w:rsidR="00F71505" w:rsidRDefault="0059288B" w:rsidP="004A2CE8">
      <w:pPr>
        <w:pStyle w:val="NormalWeb"/>
        <w:shd w:val="clear" w:color="auto" w:fill="FFFFFF"/>
        <w:spacing w:before="0" w:beforeAutospacing="0" w:after="0" w:afterAutospacing="0"/>
        <w:ind w:firstLine="720"/>
        <w:jc w:val="both"/>
        <w:rPr>
          <w:sz w:val="20"/>
          <w:szCs w:val="20"/>
        </w:rPr>
      </w:pPr>
      <w:r>
        <w:rPr>
          <w:sz w:val="20"/>
          <w:szCs w:val="20"/>
        </w:rPr>
        <w:t>In the case of </w:t>
      </w:r>
      <w:proofErr w:type="spellStart"/>
      <w:r>
        <w:fldChar w:fldCharType="begin"/>
      </w:r>
      <w:r>
        <w:instrText xml:space="preserve"> HYPERLINK "https://indiankanoon.org/doc/31768727/" </w:instrText>
      </w:r>
      <w:r>
        <w:fldChar w:fldCharType="separate"/>
      </w:r>
      <w:r>
        <w:rPr>
          <w:rStyle w:val="Hyperlink"/>
          <w:i/>
          <w:iCs/>
          <w:color w:val="auto"/>
          <w:sz w:val="20"/>
          <w:szCs w:val="20"/>
          <w:u w:val="none"/>
        </w:rPr>
        <w:t>Dharmraj</w:t>
      </w:r>
      <w:proofErr w:type="spellEnd"/>
      <w:r>
        <w:rPr>
          <w:rStyle w:val="Hyperlink"/>
          <w:i/>
          <w:iCs/>
          <w:color w:val="auto"/>
          <w:sz w:val="20"/>
          <w:szCs w:val="20"/>
          <w:u w:val="none"/>
        </w:rPr>
        <w:t xml:space="preserve"> Singh vs The State Of Bihar</w:t>
      </w:r>
      <w:r>
        <w:rPr>
          <w:rStyle w:val="Hyperlink"/>
          <w:i/>
          <w:iCs/>
          <w:color w:val="auto"/>
          <w:sz w:val="20"/>
          <w:szCs w:val="20"/>
          <w:u w:val="none"/>
        </w:rPr>
        <w:fldChar w:fldCharType="end"/>
      </w:r>
      <w:r>
        <w:rPr>
          <w:sz w:val="20"/>
          <w:szCs w:val="20"/>
        </w:rPr>
        <w:t> </w:t>
      </w:r>
      <w:r>
        <w:rPr>
          <w:sz w:val="20"/>
          <w:szCs w:val="20"/>
        </w:rPr>
        <w:t>(2022), the Hon’ble Supreme Court warned against submitting petitions pertaining to </w:t>
      </w:r>
      <w:hyperlink r:id="rId39" w:history="1">
        <w:r>
          <w:rPr>
            <w:rStyle w:val="Hyperlink"/>
            <w:color w:val="auto"/>
            <w:sz w:val="20"/>
            <w:szCs w:val="20"/>
            <w:u w:val="none"/>
          </w:rPr>
          <w:t>Section 482</w:t>
        </w:r>
      </w:hyperlink>
      <w:r>
        <w:rPr>
          <w:sz w:val="20"/>
          <w:szCs w:val="20"/>
        </w:rPr>
        <w:t> of the </w:t>
      </w:r>
      <w:hyperlink r:id="rId40" w:history="1">
        <w:r>
          <w:rPr>
            <w:rStyle w:val="Hyperlink"/>
            <w:color w:val="auto"/>
            <w:sz w:val="20"/>
            <w:szCs w:val="20"/>
            <w:u w:val="none"/>
          </w:rPr>
          <w:t>Criminal Procedure Code, 1</w:t>
        </w:r>
        <w:r>
          <w:rPr>
            <w:rStyle w:val="Hyperlink"/>
            <w:color w:val="auto"/>
            <w:sz w:val="20"/>
            <w:szCs w:val="20"/>
            <w:u w:val="none"/>
          </w:rPr>
          <w:t>973 </w:t>
        </w:r>
      </w:hyperlink>
      <w:r>
        <w:rPr>
          <w:sz w:val="20"/>
          <w:szCs w:val="20"/>
        </w:rPr>
        <w:t>under the guise of Article 32.</w:t>
      </w:r>
    </w:p>
    <w:p w14:paraId="6EF25109" w14:textId="77777777" w:rsidR="00F71505" w:rsidRDefault="0059288B" w:rsidP="004A2CE8">
      <w:pPr>
        <w:pStyle w:val="Heading1"/>
        <w:shd w:val="clear" w:color="auto" w:fill="FFFFFF"/>
        <w:spacing w:before="0" w:beforeAutospacing="0" w:after="0" w:afterAutospacing="0"/>
        <w:ind w:firstLine="720"/>
        <w:jc w:val="both"/>
        <w:rPr>
          <w:b w:val="0"/>
          <w:bCs w:val="0"/>
          <w:sz w:val="20"/>
          <w:szCs w:val="20"/>
        </w:rPr>
      </w:pPr>
      <w:r>
        <w:rPr>
          <w:b w:val="0"/>
          <w:bCs w:val="0"/>
          <w:sz w:val="20"/>
          <w:szCs w:val="20"/>
        </w:rPr>
        <w:t xml:space="preserve">Key differences between Article 32 and Article </w:t>
      </w:r>
      <w:proofErr w:type="gramStart"/>
      <w:r>
        <w:rPr>
          <w:b w:val="0"/>
          <w:bCs w:val="0"/>
          <w:sz w:val="20"/>
          <w:szCs w:val="20"/>
        </w:rPr>
        <w:t>226 :</w:t>
      </w:r>
      <w:proofErr w:type="gramEnd"/>
      <w:r>
        <w:rPr>
          <w:b w:val="0"/>
          <w:bCs w:val="0"/>
          <w:sz w:val="20"/>
          <w:szCs w:val="20"/>
        </w:rPr>
        <w:t xml:space="preserve"> a tabular representation </w:t>
      </w:r>
    </w:p>
    <w:p w14:paraId="611BC6C5" w14:textId="77777777" w:rsidR="00F71505" w:rsidRDefault="00F71505">
      <w:pPr>
        <w:spacing w:after="254" w:line="240" w:lineRule="auto"/>
        <w:jc w:val="both"/>
        <w:rPr>
          <w:rStyle w:val="Strong"/>
          <w:rFonts w:ascii="Times New Roman" w:hAnsi="Times New Roman" w:cs="Times New Roman"/>
          <w:sz w:val="20"/>
          <w:szCs w:val="20"/>
        </w:rPr>
        <w:sectPr w:rsidR="00F71505">
          <w:type w:val="continuous"/>
          <w:pgSz w:w="12240" w:h="15840"/>
          <w:pgMar w:top="1440" w:right="1440" w:bottom="1440" w:left="1440" w:header="720" w:footer="720" w:gutter="0"/>
          <w:cols w:num="2" w:space="720"/>
          <w:docGrid w:linePitch="360"/>
        </w:sectPr>
      </w:pP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80"/>
        <w:gridCol w:w="4539"/>
      </w:tblGrid>
      <w:tr w:rsidR="00F71505" w14:paraId="2BF94EAB" w14:textId="77777777">
        <w:trPr>
          <w:trHeight w:val="311"/>
          <w:jc w:val="center"/>
        </w:trPr>
        <w:tc>
          <w:tcPr>
            <w:tcW w:w="4780" w:type="dxa"/>
            <w:shd w:val="clear" w:color="auto" w:fill="FFFFFF"/>
            <w:tcMar>
              <w:top w:w="24" w:type="dxa"/>
              <w:left w:w="97" w:type="dxa"/>
              <w:bottom w:w="24" w:type="dxa"/>
              <w:right w:w="97" w:type="dxa"/>
            </w:tcMar>
            <w:vAlign w:val="center"/>
          </w:tcPr>
          <w:p w14:paraId="01A56131" w14:textId="77777777" w:rsidR="00F71505" w:rsidRDefault="0059288B">
            <w:pPr>
              <w:spacing w:after="254" w:line="240" w:lineRule="auto"/>
              <w:jc w:val="both"/>
              <w:rPr>
                <w:rFonts w:ascii="Times New Roman" w:hAnsi="Times New Roman" w:cs="Times New Roman"/>
                <w:sz w:val="20"/>
                <w:szCs w:val="20"/>
              </w:rPr>
            </w:pPr>
            <w:r>
              <w:rPr>
                <w:rStyle w:val="Strong"/>
                <w:rFonts w:ascii="Times New Roman" w:hAnsi="Times New Roman" w:cs="Times New Roman"/>
                <w:sz w:val="20"/>
                <w:szCs w:val="20"/>
              </w:rPr>
              <w:t>Article 32</w:t>
            </w:r>
          </w:p>
        </w:tc>
        <w:tc>
          <w:tcPr>
            <w:tcW w:w="4539" w:type="dxa"/>
            <w:shd w:val="clear" w:color="auto" w:fill="FFFFFF"/>
            <w:tcMar>
              <w:top w:w="24" w:type="dxa"/>
              <w:left w:w="97" w:type="dxa"/>
              <w:bottom w:w="24" w:type="dxa"/>
              <w:right w:w="97" w:type="dxa"/>
            </w:tcMar>
            <w:vAlign w:val="center"/>
          </w:tcPr>
          <w:p w14:paraId="408E3E50" w14:textId="77777777" w:rsidR="00F71505" w:rsidRDefault="0059288B">
            <w:pPr>
              <w:spacing w:after="254" w:line="240" w:lineRule="auto"/>
              <w:jc w:val="both"/>
              <w:rPr>
                <w:rFonts w:ascii="Times New Roman" w:hAnsi="Times New Roman" w:cs="Times New Roman"/>
                <w:sz w:val="20"/>
                <w:szCs w:val="20"/>
              </w:rPr>
            </w:pPr>
            <w:r>
              <w:rPr>
                <w:rStyle w:val="Strong"/>
                <w:rFonts w:ascii="Times New Roman" w:hAnsi="Times New Roman" w:cs="Times New Roman"/>
                <w:sz w:val="20"/>
                <w:szCs w:val="20"/>
              </w:rPr>
              <w:t>Article 226</w:t>
            </w:r>
          </w:p>
        </w:tc>
      </w:tr>
      <w:tr w:rsidR="00F71505" w14:paraId="5E7746DB" w14:textId="77777777">
        <w:trPr>
          <w:trHeight w:val="1006"/>
          <w:jc w:val="center"/>
        </w:trPr>
        <w:tc>
          <w:tcPr>
            <w:tcW w:w="4780" w:type="dxa"/>
            <w:shd w:val="clear" w:color="auto" w:fill="FFFFFF"/>
            <w:tcMar>
              <w:top w:w="24" w:type="dxa"/>
              <w:left w:w="97" w:type="dxa"/>
              <w:bottom w:w="24" w:type="dxa"/>
              <w:right w:w="97" w:type="dxa"/>
            </w:tcMar>
            <w:vAlign w:val="center"/>
          </w:tcPr>
          <w:p w14:paraId="164BBFA1" w14:textId="77777777" w:rsidR="00F71505" w:rsidRDefault="0059288B">
            <w:pPr>
              <w:pStyle w:val="NormalWeb"/>
              <w:spacing w:before="0" w:beforeAutospacing="0" w:after="315" w:afterAutospacing="0"/>
              <w:jc w:val="both"/>
              <w:rPr>
                <w:sz w:val="20"/>
                <w:szCs w:val="20"/>
              </w:rPr>
            </w:pPr>
            <w:r>
              <w:rPr>
                <w:sz w:val="20"/>
                <w:szCs w:val="20"/>
              </w:rPr>
              <w:t xml:space="preserve">1.     Article 32 is a fundamental right in itself. The Supreme Court cannot refuse to consider any </w:t>
            </w:r>
            <w:r>
              <w:rPr>
                <w:sz w:val="20"/>
                <w:szCs w:val="20"/>
              </w:rPr>
              <w:t>petition under Article 32.</w:t>
            </w:r>
          </w:p>
        </w:tc>
        <w:tc>
          <w:tcPr>
            <w:tcW w:w="4539" w:type="dxa"/>
            <w:shd w:val="clear" w:color="auto" w:fill="FFFFFF"/>
            <w:tcMar>
              <w:top w:w="24" w:type="dxa"/>
              <w:left w:w="97" w:type="dxa"/>
              <w:bottom w:w="24" w:type="dxa"/>
              <w:right w:w="97" w:type="dxa"/>
            </w:tcMar>
            <w:vAlign w:val="center"/>
          </w:tcPr>
          <w:p w14:paraId="73033E3B" w14:textId="77777777" w:rsidR="00F71505" w:rsidRDefault="0059288B">
            <w:pPr>
              <w:pStyle w:val="NormalWeb"/>
              <w:spacing w:before="0" w:beforeAutospacing="0" w:after="315" w:afterAutospacing="0"/>
              <w:jc w:val="both"/>
              <w:rPr>
                <w:sz w:val="20"/>
                <w:szCs w:val="20"/>
              </w:rPr>
            </w:pPr>
            <w:r>
              <w:rPr>
                <w:sz w:val="20"/>
                <w:szCs w:val="20"/>
              </w:rPr>
              <w:t>1. Article 226 has discretionary powers to High Court within judicial principles to consider any petition.</w:t>
            </w:r>
          </w:p>
        </w:tc>
      </w:tr>
      <w:tr w:rsidR="00F71505" w14:paraId="44A99409" w14:textId="77777777">
        <w:trPr>
          <w:trHeight w:val="882"/>
          <w:jc w:val="center"/>
        </w:trPr>
        <w:tc>
          <w:tcPr>
            <w:tcW w:w="4780" w:type="dxa"/>
            <w:shd w:val="clear" w:color="auto" w:fill="FFFFFF"/>
            <w:tcMar>
              <w:top w:w="24" w:type="dxa"/>
              <w:left w:w="97" w:type="dxa"/>
              <w:bottom w:w="24" w:type="dxa"/>
              <w:right w:w="97" w:type="dxa"/>
            </w:tcMar>
            <w:vAlign w:val="center"/>
          </w:tcPr>
          <w:p w14:paraId="20E62F47" w14:textId="77777777" w:rsidR="00F71505" w:rsidRDefault="0059288B">
            <w:pPr>
              <w:pStyle w:val="NormalWeb"/>
              <w:spacing w:before="0" w:beforeAutospacing="0" w:after="315" w:afterAutospacing="0"/>
              <w:jc w:val="both"/>
              <w:rPr>
                <w:sz w:val="20"/>
                <w:szCs w:val="20"/>
              </w:rPr>
            </w:pPr>
            <w:r>
              <w:rPr>
                <w:sz w:val="20"/>
                <w:szCs w:val="20"/>
              </w:rPr>
              <w:t>2. Under Article 32, writ petitions are issued to enforce fundamental rights.</w:t>
            </w:r>
          </w:p>
        </w:tc>
        <w:tc>
          <w:tcPr>
            <w:tcW w:w="4539" w:type="dxa"/>
            <w:shd w:val="clear" w:color="auto" w:fill="FFFFFF"/>
            <w:tcMar>
              <w:top w:w="24" w:type="dxa"/>
              <w:left w:w="97" w:type="dxa"/>
              <w:bottom w:w="24" w:type="dxa"/>
              <w:right w:w="97" w:type="dxa"/>
            </w:tcMar>
            <w:vAlign w:val="center"/>
          </w:tcPr>
          <w:p w14:paraId="39B089F7" w14:textId="77777777" w:rsidR="00F71505" w:rsidRDefault="0059288B">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2. Under Article 226, writ </w:t>
            </w:r>
            <w:r>
              <w:rPr>
                <w:rFonts w:ascii="Times New Roman" w:hAnsi="Times New Roman" w:cs="Times New Roman"/>
                <w:sz w:val="20"/>
                <w:szCs w:val="20"/>
              </w:rPr>
              <w:t>petitions can be issued to enforce fundamental rights or for any other purpose.</w:t>
            </w:r>
          </w:p>
        </w:tc>
      </w:tr>
      <w:tr w:rsidR="00F71505" w14:paraId="0B00B11E" w14:textId="77777777">
        <w:trPr>
          <w:trHeight w:val="602"/>
          <w:jc w:val="center"/>
        </w:trPr>
        <w:tc>
          <w:tcPr>
            <w:tcW w:w="4780" w:type="dxa"/>
            <w:shd w:val="clear" w:color="auto" w:fill="FFFFFF"/>
            <w:tcMar>
              <w:top w:w="24" w:type="dxa"/>
              <w:left w:w="97" w:type="dxa"/>
              <w:bottom w:w="24" w:type="dxa"/>
              <w:right w:w="97" w:type="dxa"/>
            </w:tcMar>
            <w:vAlign w:val="center"/>
          </w:tcPr>
          <w:p w14:paraId="38A0E5CD" w14:textId="77777777" w:rsidR="00F71505" w:rsidRDefault="0059288B">
            <w:pPr>
              <w:pStyle w:val="NormalWeb"/>
              <w:spacing w:before="0" w:beforeAutospacing="0" w:after="315" w:afterAutospacing="0"/>
              <w:jc w:val="both"/>
              <w:rPr>
                <w:sz w:val="20"/>
                <w:szCs w:val="20"/>
              </w:rPr>
            </w:pPr>
            <w:r>
              <w:rPr>
                <w:sz w:val="20"/>
                <w:szCs w:val="20"/>
              </w:rPr>
              <w:t>3.  During the time of emergency, Article 32 is suspended.      </w:t>
            </w:r>
          </w:p>
        </w:tc>
        <w:tc>
          <w:tcPr>
            <w:tcW w:w="4539" w:type="dxa"/>
            <w:shd w:val="clear" w:color="auto" w:fill="FFFFFF"/>
            <w:tcMar>
              <w:top w:w="24" w:type="dxa"/>
              <w:left w:w="97" w:type="dxa"/>
              <w:bottom w:w="24" w:type="dxa"/>
              <w:right w:w="97" w:type="dxa"/>
            </w:tcMar>
            <w:vAlign w:val="center"/>
          </w:tcPr>
          <w:p w14:paraId="0F9CBCB9" w14:textId="77777777" w:rsidR="00F71505" w:rsidRDefault="0059288B">
            <w:pPr>
              <w:spacing w:line="240" w:lineRule="auto"/>
              <w:jc w:val="both"/>
              <w:rPr>
                <w:rFonts w:ascii="Times New Roman" w:hAnsi="Times New Roman" w:cs="Times New Roman"/>
                <w:sz w:val="20"/>
                <w:szCs w:val="20"/>
              </w:rPr>
            </w:pPr>
            <w:r>
              <w:rPr>
                <w:rFonts w:ascii="Times New Roman" w:hAnsi="Times New Roman" w:cs="Times New Roman"/>
                <w:sz w:val="20"/>
                <w:szCs w:val="20"/>
              </w:rPr>
              <w:t>3.  During the time of emergency, Article 226 cannot be suspended. </w:t>
            </w:r>
          </w:p>
        </w:tc>
      </w:tr>
      <w:tr w:rsidR="00F71505" w14:paraId="3C9AEA8A" w14:textId="77777777">
        <w:trPr>
          <w:trHeight w:val="543"/>
          <w:jc w:val="center"/>
        </w:trPr>
        <w:tc>
          <w:tcPr>
            <w:tcW w:w="4780" w:type="dxa"/>
            <w:shd w:val="clear" w:color="auto" w:fill="FFFFFF"/>
            <w:tcMar>
              <w:top w:w="24" w:type="dxa"/>
              <w:left w:w="97" w:type="dxa"/>
              <w:bottom w:w="24" w:type="dxa"/>
              <w:right w:w="97" w:type="dxa"/>
            </w:tcMar>
            <w:vAlign w:val="center"/>
          </w:tcPr>
          <w:p w14:paraId="3497904F" w14:textId="77777777" w:rsidR="00F71505" w:rsidRDefault="0059288B">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4. Orders passed under Article 32 </w:t>
            </w:r>
            <w:r>
              <w:rPr>
                <w:rFonts w:ascii="Times New Roman" w:hAnsi="Times New Roman" w:cs="Times New Roman"/>
                <w:sz w:val="20"/>
                <w:szCs w:val="20"/>
              </w:rPr>
              <w:t>will supplant orders passed under Article 226. </w:t>
            </w:r>
          </w:p>
        </w:tc>
        <w:tc>
          <w:tcPr>
            <w:tcW w:w="4539" w:type="dxa"/>
            <w:shd w:val="clear" w:color="auto" w:fill="FFFFFF"/>
            <w:tcMar>
              <w:top w:w="24" w:type="dxa"/>
              <w:left w:w="97" w:type="dxa"/>
              <w:bottom w:w="24" w:type="dxa"/>
              <w:right w:w="97" w:type="dxa"/>
            </w:tcMar>
            <w:vAlign w:val="center"/>
          </w:tcPr>
          <w:p w14:paraId="3587FA52" w14:textId="77777777" w:rsidR="00F71505" w:rsidRDefault="0059288B">
            <w:pPr>
              <w:spacing w:line="240" w:lineRule="auto"/>
              <w:jc w:val="both"/>
              <w:rPr>
                <w:rFonts w:ascii="Times New Roman" w:hAnsi="Times New Roman" w:cs="Times New Roman"/>
                <w:sz w:val="20"/>
                <w:szCs w:val="20"/>
              </w:rPr>
            </w:pPr>
            <w:r>
              <w:rPr>
                <w:rFonts w:ascii="Times New Roman" w:hAnsi="Times New Roman" w:cs="Times New Roman"/>
                <w:sz w:val="20"/>
                <w:szCs w:val="20"/>
              </w:rPr>
              <w:t>4. The orders passed under Article 226 cannot supplant orders under Article 32.</w:t>
            </w:r>
          </w:p>
        </w:tc>
      </w:tr>
      <w:tr w:rsidR="00F71505" w14:paraId="2CAE71BD" w14:textId="77777777">
        <w:trPr>
          <w:trHeight w:val="710"/>
          <w:jc w:val="center"/>
        </w:trPr>
        <w:tc>
          <w:tcPr>
            <w:tcW w:w="4780" w:type="dxa"/>
            <w:shd w:val="clear" w:color="auto" w:fill="FFFFFF"/>
            <w:tcMar>
              <w:top w:w="24" w:type="dxa"/>
              <w:left w:w="97" w:type="dxa"/>
              <w:bottom w:w="24" w:type="dxa"/>
              <w:right w:w="97" w:type="dxa"/>
            </w:tcMar>
            <w:vAlign w:val="center"/>
          </w:tcPr>
          <w:p w14:paraId="1E24864E" w14:textId="77777777" w:rsidR="00F71505" w:rsidRDefault="0059288B">
            <w:pPr>
              <w:spacing w:line="240" w:lineRule="auto"/>
              <w:jc w:val="both"/>
              <w:rPr>
                <w:rFonts w:ascii="Times New Roman" w:hAnsi="Times New Roman" w:cs="Times New Roman"/>
                <w:sz w:val="20"/>
                <w:szCs w:val="20"/>
              </w:rPr>
            </w:pPr>
            <w:r>
              <w:rPr>
                <w:rFonts w:ascii="Times New Roman" w:hAnsi="Times New Roman" w:cs="Times New Roman"/>
                <w:sz w:val="20"/>
                <w:szCs w:val="20"/>
              </w:rPr>
              <w:t>5. Article 32 has territorial jurisdiction over the entire country of India.</w:t>
            </w:r>
          </w:p>
        </w:tc>
        <w:tc>
          <w:tcPr>
            <w:tcW w:w="4539" w:type="dxa"/>
            <w:shd w:val="clear" w:color="auto" w:fill="FFFFFF"/>
            <w:tcMar>
              <w:top w:w="24" w:type="dxa"/>
              <w:left w:w="97" w:type="dxa"/>
              <w:bottom w:w="24" w:type="dxa"/>
              <w:right w:w="97" w:type="dxa"/>
            </w:tcMar>
            <w:vAlign w:val="center"/>
          </w:tcPr>
          <w:p w14:paraId="7A410D76" w14:textId="77777777" w:rsidR="00F71505" w:rsidRDefault="0059288B">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5. Article 226 has limited territorial </w:t>
            </w:r>
            <w:r>
              <w:rPr>
                <w:rFonts w:ascii="Times New Roman" w:hAnsi="Times New Roman" w:cs="Times New Roman"/>
                <w:sz w:val="20"/>
                <w:szCs w:val="20"/>
              </w:rPr>
              <w:t>jurisdiction. </w:t>
            </w:r>
          </w:p>
        </w:tc>
      </w:tr>
    </w:tbl>
    <w:p w14:paraId="3B4E1B87" w14:textId="77777777" w:rsidR="00F71505" w:rsidRDefault="0059288B">
      <w:pPr>
        <w:pStyle w:val="Heading1"/>
        <w:shd w:val="clear" w:color="auto" w:fill="FFFFFF"/>
        <w:spacing w:before="0" w:beforeAutospacing="0" w:after="0" w:afterAutospacing="0"/>
        <w:jc w:val="both"/>
        <w:rPr>
          <w:b w:val="0"/>
          <w:bCs w:val="0"/>
          <w:sz w:val="20"/>
          <w:szCs w:val="20"/>
        </w:rPr>
      </w:pPr>
      <w:r>
        <w:rPr>
          <w:b w:val="0"/>
          <w:bCs w:val="0"/>
          <w:sz w:val="20"/>
          <w:szCs w:val="20"/>
        </w:rPr>
        <w:t>Status of writs in other countries</w:t>
      </w:r>
    </w:p>
    <w:p w14:paraId="72A4B172" w14:textId="77777777" w:rsidR="00F71505" w:rsidRDefault="00F71505">
      <w:pPr>
        <w:pStyle w:val="Heading2"/>
        <w:shd w:val="clear" w:color="auto" w:fill="FFFFFF"/>
        <w:spacing w:before="0" w:line="240" w:lineRule="auto"/>
        <w:jc w:val="both"/>
        <w:rPr>
          <w:rFonts w:ascii="Times New Roman" w:hAnsi="Times New Roman" w:cs="Times New Roman"/>
          <w:b w:val="0"/>
          <w:bCs w:val="0"/>
          <w:color w:val="auto"/>
          <w:sz w:val="20"/>
          <w:szCs w:val="20"/>
        </w:rPr>
      </w:pPr>
    </w:p>
    <w:p w14:paraId="3E82E8E7" w14:textId="3E76E7BA" w:rsidR="00ED067E" w:rsidRPr="00ED067E" w:rsidRDefault="00ED067E" w:rsidP="00ED067E">
      <w:pPr>
        <w:sectPr w:rsidR="00ED067E" w:rsidRPr="00ED067E">
          <w:type w:val="continuous"/>
          <w:pgSz w:w="12240" w:h="15840"/>
          <w:pgMar w:top="1440" w:right="1440" w:bottom="1440" w:left="1440" w:header="720" w:footer="720" w:gutter="0"/>
          <w:cols w:space="720"/>
          <w:docGrid w:linePitch="360"/>
        </w:sectPr>
      </w:pPr>
    </w:p>
    <w:p w14:paraId="3F2DBE1C" w14:textId="77777777" w:rsidR="00F71505" w:rsidRDefault="0059288B">
      <w:pPr>
        <w:pStyle w:val="Heading2"/>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United States </w:t>
      </w:r>
    </w:p>
    <w:p w14:paraId="58E309FE" w14:textId="77777777" w:rsidR="00F71505" w:rsidRDefault="0059288B" w:rsidP="00ED067E">
      <w:pPr>
        <w:pStyle w:val="NormalWeb"/>
        <w:shd w:val="clear" w:color="auto" w:fill="FFFFFF"/>
        <w:spacing w:before="0" w:beforeAutospacing="0" w:after="0" w:afterAutospacing="0"/>
        <w:ind w:firstLine="720"/>
        <w:jc w:val="both"/>
        <w:rPr>
          <w:sz w:val="20"/>
          <w:szCs w:val="20"/>
        </w:rPr>
      </w:pPr>
      <w:r>
        <w:rPr>
          <w:sz w:val="20"/>
          <w:szCs w:val="20"/>
        </w:rPr>
        <w:t xml:space="preserve">Writs are a residue of the English common law system in the United States. All Writs Act, a United States federal legislation that was first codified in the Judiciary Act of </w:t>
      </w:r>
      <w:r>
        <w:rPr>
          <w:sz w:val="20"/>
          <w:szCs w:val="20"/>
        </w:rPr>
        <w:t xml:space="preserve">1789 extends subject matter jurisdiction to U.S. federal courts as long as their issuance is necessary or appropriate in aid of the court’s respective jurisdictions and agreeable to the usages and principles of law. In the modern era, the </w:t>
      </w:r>
      <w:proofErr w:type="gramStart"/>
      <w:r>
        <w:rPr>
          <w:sz w:val="20"/>
          <w:szCs w:val="20"/>
        </w:rPr>
        <w:t>All Writs</w:t>
      </w:r>
      <w:proofErr w:type="gramEnd"/>
      <w:r>
        <w:rPr>
          <w:sz w:val="20"/>
          <w:szCs w:val="20"/>
        </w:rPr>
        <w:t xml:space="preserve"> Act is </w:t>
      </w:r>
      <w:r>
        <w:rPr>
          <w:sz w:val="20"/>
          <w:szCs w:val="20"/>
        </w:rPr>
        <w:t xml:space="preserve">applied when a legislative scheme is incomplete or ambiguous, casus </w:t>
      </w:r>
      <w:proofErr w:type="spellStart"/>
      <w:r>
        <w:rPr>
          <w:sz w:val="20"/>
          <w:szCs w:val="20"/>
        </w:rPr>
        <w:t>omissus</w:t>
      </w:r>
      <w:proofErr w:type="spellEnd"/>
      <w:r>
        <w:rPr>
          <w:sz w:val="20"/>
          <w:szCs w:val="20"/>
        </w:rPr>
        <w:t>. Prerogative writs also called extraordinary writs or extraordinary remedies are issued by a judge exercising uncommon or discretionary power.  The writs of habeas corpus, certiora</w:t>
      </w:r>
      <w:r>
        <w:rPr>
          <w:sz w:val="20"/>
          <w:szCs w:val="20"/>
        </w:rPr>
        <w:t>ri, mandamus, quo warranto, and procedendo are forms of prerogative writs. There are several further types of writs, including writs of execution and body attachment. Writs, however, are no longer vital in criminal cases because there are other ways to get</w:t>
      </w:r>
      <w:r>
        <w:rPr>
          <w:sz w:val="20"/>
          <w:szCs w:val="20"/>
        </w:rPr>
        <w:t xml:space="preserve"> the same relief under the </w:t>
      </w:r>
      <w:hyperlink r:id="rId41" w:anchor=":~:text=The%20Federal%20Rules%20of%20Appellate,Rules%20have%20been%20amended%20Mar." w:history="1">
        <w:r>
          <w:rPr>
            <w:rStyle w:val="Hyperlink"/>
            <w:color w:val="auto"/>
            <w:sz w:val="20"/>
            <w:szCs w:val="20"/>
            <w:u w:val="none"/>
          </w:rPr>
          <w:t>Federal Rules of Appellate Procedure</w:t>
        </w:r>
      </w:hyperlink>
      <w:r>
        <w:rPr>
          <w:sz w:val="20"/>
          <w:szCs w:val="20"/>
        </w:rPr>
        <w:t>. The</w:t>
      </w:r>
      <w:hyperlink r:id="rId42" w:history="1">
        <w:r>
          <w:rPr>
            <w:rStyle w:val="Hyperlink"/>
            <w:color w:val="auto"/>
            <w:sz w:val="20"/>
            <w:szCs w:val="20"/>
            <w:u w:val="none"/>
          </w:rPr>
          <w:t> Federal Rules of Civil Procedure</w:t>
        </w:r>
      </w:hyperlink>
      <w:r>
        <w:rPr>
          <w:sz w:val="20"/>
          <w:szCs w:val="20"/>
        </w:rPr>
        <w:t> have also abolished a number of writs, including the writ of error, in civil matters.</w:t>
      </w:r>
    </w:p>
    <w:p w14:paraId="19033C9A" w14:textId="77777777" w:rsidR="00F71505" w:rsidRDefault="0059288B">
      <w:pPr>
        <w:pStyle w:val="Heading2"/>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England and Wales</w:t>
      </w:r>
    </w:p>
    <w:p w14:paraId="2C38A5EE" w14:textId="33384B51" w:rsidR="00F71505" w:rsidRDefault="0059288B">
      <w:pPr>
        <w:pStyle w:val="NormalWeb"/>
        <w:shd w:val="clear" w:color="auto" w:fill="FFFFFF"/>
        <w:spacing w:before="0" w:beforeAutospacing="0" w:after="0" w:afterAutospacing="0"/>
        <w:jc w:val="both"/>
        <w:rPr>
          <w:sz w:val="20"/>
          <w:szCs w:val="20"/>
        </w:rPr>
      </w:pPr>
      <w:r>
        <w:rPr>
          <w:sz w:val="20"/>
          <w:szCs w:val="20"/>
        </w:rPr>
        <w:t xml:space="preserve">The writs are issued on behalf of the </w:t>
      </w:r>
      <w:r>
        <w:rPr>
          <w:sz w:val="20"/>
          <w:szCs w:val="20"/>
        </w:rPr>
        <w:t xml:space="preserve">applicant in the name of the Crown, who is the nominal plaintiff. Besides from habeas corpus, prerogative writs are discretionary remedies that have been </w:t>
      </w:r>
      <w:proofErr w:type="spellStart"/>
      <w:r>
        <w:rPr>
          <w:sz w:val="20"/>
          <w:szCs w:val="20"/>
        </w:rPr>
        <w:t>recognised</w:t>
      </w:r>
      <w:proofErr w:type="spellEnd"/>
      <w:r>
        <w:rPr>
          <w:sz w:val="20"/>
          <w:szCs w:val="20"/>
        </w:rPr>
        <w:t xml:space="preserve"> in England and Wales since 1938. The amended Civil Procedure Rules of 1998 abolished the wr</w:t>
      </w:r>
      <w:r>
        <w:rPr>
          <w:sz w:val="20"/>
          <w:szCs w:val="20"/>
        </w:rPr>
        <w:t>its of quo warranto and procedendo and renamed the certiorari as quashing orders, mandamus as mandatory orders, and prohibition as prohibiting orders.</w:t>
      </w:r>
    </w:p>
    <w:p w14:paraId="11AE214B" w14:textId="77777777" w:rsidR="00ED067E" w:rsidRDefault="00ED067E">
      <w:pPr>
        <w:pStyle w:val="NormalWeb"/>
        <w:shd w:val="clear" w:color="auto" w:fill="FFFFFF"/>
        <w:spacing w:before="0" w:beforeAutospacing="0" w:after="0" w:afterAutospacing="0"/>
        <w:jc w:val="both"/>
        <w:rPr>
          <w:sz w:val="20"/>
          <w:szCs w:val="20"/>
        </w:rPr>
      </w:pPr>
    </w:p>
    <w:p w14:paraId="144267F7" w14:textId="77777777" w:rsidR="00F71505" w:rsidRDefault="0059288B">
      <w:pPr>
        <w:pStyle w:val="Heading2"/>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color w:val="auto"/>
          <w:sz w:val="20"/>
          <w:szCs w:val="20"/>
        </w:rPr>
        <w:t>Conclusion</w:t>
      </w:r>
    </w:p>
    <w:p w14:paraId="529B33AA" w14:textId="603FFCEE" w:rsidR="00F71505" w:rsidRDefault="0059288B" w:rsidP="00ED067E">
      <w:pPr>
        <w:pStyle w:val="NormalWeb"/>
        <w:shd w:val="clear" w:color="auto" w:fill="FFFFFF"/>
        <w:spacing w:before="0" w:beforeAutospacing="0" w:after="0" w:afterAutospacing="0"/>
        <w:ind w:firstLine="720"/>
        <w:jc w:val="both"/>
        <w:rPr>
          <w:sz w:val="20"/>
          <w:szCs w:val="20"/>
        </w:rPr>
      </w:pPr>
      <w:r>
        <w:rPr>
          <w:sz w:val="20"/>
          <w:szCs w:val="20"/>
        </w:rPr>
        <w:t>The constitutional remedies provided to the citizens are the powerful orders with immediate ef</w:t>
      </w:r>
      <w:r>
        <w:rPr>
          <w:sz w:val="20"/>
          <w:szCs w:val="20"/>
        </w:rPr>
        <w:t>fect. And the writs are mostly invoked against the state and are issued when PILs are filed. The Writ Jurisdictions which are conferred by the Constitution though have prerogative powers and are discretionary in nature and yet they are unbounded in its lim</w:t>
      </w:r>
      <w:r>
        <w:rPr>
          <w:sz w:val="20"/>
          <w:szCs w:val="20"/>
        </w:rPr>
        <w:t>its. The discretion, however, is exercised on legal principles. Therefore, the first essential on which the constitutional system is based in the absence of arbitrary power. Hence, the decision must be taken on the basis of sound principles and rules and s</w:t>
      </w:r>
      <w:r>
        <w:rPr>
          <w:sz w:val="20"/>
          <w:szCs w:val="20"/>
        </w:rPr>
        <w:t xml:space="preserve">hould not be based on whims, fancies </w:t>
      </w:r>
      <w:r>
        <w:rPr>
          <w:sz w:val="20"/>
          <w:szCs w:val="20"/>
        </w:rPr>
        <w:lastRenderedPageBreak/>
        <w:t xml:space="preserve">or </w:t>
      </w:r>
      <w:proofErr w:type="spellStart"/>
      <w:r>
        <w:rPr>
          <w:sz w:val="20"/>
          <w:szCs w:val="20"/>
        </w:rPr>
        <w:t>humour</w:t>
      </w:r>
      <w:proofErr w:type="spellEnd"/>
      <w:r>
        <w:rPr>
          <w:sz w:val="20"/>
          <w:szCs w:val="20"/>
        </w:rPr>
        <w:t>. And if a decision is not backed by any principles or rules, then such a decision is considered arbitrary and is taken not in accordance with the rule of law.</w:t>
      </w:r>
    </w:p>
    <w:p w14:paraId="11D729A1" w14:textId="77777777" w:rsidR="00ED067E" w:rsidRDefault="00ED067E" w:rsidP="00ED067E">
      <w:pPr>
        <w:pStyle w:val="NormalWeb"/>
        <w:shd w:val="clear" w:color="auto" w:fill="FFFFFF"/>
        <w:spacing w:before="0" w:beforeAutospacing="0" w:after="0" w:afterAutospacing="0"/>
        <w:ind w:firstLine="720"/>
        <w:jc w:val="both"/>
        <w:rPr>
          <w:sz w:val="20"/>
          <w:szCs w:val="20"/>
        </w:rPr>
      </w:pPr>
    </w:p>
    <w:p w14:paraId="2719DECB" w14:textId="77777777" w:rsidR="00F71505" w:rsidRDefault="0059288B">
      <w:pPr>
        <w:pStyle w:val="NormalWeb"/>
        <w:shd w:val="clear" w:color="auto" w:fill="FFFFFF"/>
        <w:spacing w:before="0" w:beforeAutospacing="0" w:after="0" w:afterAutospacing="0"/>
        <w:jc w:val="both"/>
        <w:textAlignment w:val="baseline"/>
        <w:rPr>
          <w:b/>
          <w:bCs/>
          <w:sz w:val="20"/>
          <w:szCs w:val="20"/>
        </w:rPr>
      </w:pPr>
      <w:r>
        <w:rPr>
          <w:b/>
          <w:bCs/>
          <w:sz w:val="20"/>
          <w:szCs w:val="20"/>
        </w:rPr>
        <w:t>References:</w:t>
      </w:r>
    </w:p>
    <w:p w14:paraId="2684EA03" w14:textId="77777777" w:rsidR="00F71505" w:rsidRDefault="0059288B">
      <w:pPr>
        <w:pStyle w:val="NormalWeb"/>
        <w:shd w:val="clear" w:color="auto" w:fill="FFFFFF"/>
        <w:spacing w:before="0" w:beforeAutospacing="0" w:after="0" w:afterAutospacing="0"/>
        <w:jc w:val="both"/>
        <w:rPr>
          <w:sz w:val="20"/>
          <w:szCs w:val="20"/>
        </w:rPr>
      </w:pPr>
      <w:hyperlink r:id="rId43" w:anchor="_ftnref1" w:history="1">
        <w:r>
          <w:rPr>
            <w:rStyle w:val="Hyperlink"/>
            <w:color w:val="auto"/>
            <w:sz w:val="20"/>
            <w:szCs w:val="20"/>
            <w:u w:val="none"/>
          </w:rPr>
          <w:t>[1]</w:t>
        </w:r>
      </w:hyperlink>
      <w:r>
        <w:rPr>
          <w:sz w:val="20"/>
          <w:szCs w:val="20"/>
        </w:rPr>
        <w:t> </w:t>
      </w:r>
      <w:hyperlink r:id="rId44" w:history="1">
        <w:r>
          <w:rPr>
            <w:rStyle w:val="Hyperlink"/>
            <w:color w:val="auto"/>
            <w:sz w:val="20"/>
            <w:szCs w:val="20"/>
            <w:u w:val="none"/>
          </w:rPr>
          <w:t>https://libertatem.in/articles/why-is-article-32-of-the-constitution-of-india-regarded-as-the-heart-and-soul-of-the-indian-constitution/</w:t>
        </w:r>
      </w:hyperlink>
    </w:p>
    <w:p w14:paraId="54124DE1" w14:textId="77777777" w:rsidR="00F71505" w:rsidRDefault="0059288B">
      <w:pPr>
        <w:pStyle w:val="NormalWeb"/>
        <w:shd w:val="clear" w:color="auto" w:fill="FFFFFF"/>
        <w:spacing w:before="0" w:beforeAutospacing="0" w:after="0" w:afterAutospacing="0"/>
        <w:jc w:val="both"/>
        <w:rPr>
          <w:sz w:val="20"/>
          <w:szCs w:val="20"/>
        </w:rPr>
      </w:pPr>
      <w:hyperlink r:id="rId45" w:anchor="_ftnref2" w:history="1">
        <w:r>
          <w:rPr>
            <w:rStyle w:val="Hyperlink"/>
            <w:color w:val="auto"/>
            <w:sz w:val="20"/>
            <w:szCs w:val="20"/>
            <w:u w:val="none"/>
          </w:rPr>
          <w:t>[2]</w:t>
        </w:r>
      </w:hyperlink>
      <w:r>
        <w:rPr>
          <w:sz w:val="20"/>
          <w:szCs w:val="20"/>
        </w:rPr>
        <w:t xml:space="preserve"> Dr. J.N. Pandey, Constitutional Law </w:t>
      </w:r>
      <w:proofErr w:type="gramStart"/>
      <w:r>
        <w:rPr>
          <w:sz w:val="20"/>
          <w:szCs w:val="20"/>
        </w:rPr>
        <w:t>Of</w:t>
      </w:r>
      <w:proofErr w:type="gramEnd"/>
      <w:r>
        <w:rPr>
          <w:sz w:val="20"/>
          <w:szCs w:val="20"/>
        </w:rPr>
        <w:t xml:space="preserve"> India, Central Law Agency, Allahabad, 52</w:t>
      </w:r>
      <w:r>
        <w:rPr>
          <w:sz w:val="20"/>
          <w:szCs w:val="20"/>
          <w:vertAlign w:val="superscript"/>
        </w:rPr>
        <w:t>nd</w:t>
      </w:r>
      <w:r>
        <w:rPr>
          <w:sz w:val="20"/>
          <w:szCs w:val="20"/>
        </w:rPr>
        <w:t> edition, 2015</w:t>
      </w:r>
    </w:p>
    <w:p w14:paraId="5D4293F1" w14:textId="77777777" w:rsidR="00F71505" w:rsidRDefault="0059288B">
      <w:pPr>
        <w:pStyle w:val="NormalWeb"/>
        <w:shd w:val="clear" w:color="auto" w:fill="FFFFFF"/>
        <w:spacing w:before="0" w:beforeAutospacing="0" w:after="0" w:afterAutospacing="0"/>
        <w:jc w:val="both"/>
        <w:rPr>
          <w:sz w:val="20"/>
          <w:szCs w:val="20"/>
        </w:rPr>
      </w:pPr>
      <w:hyperlink r:id="rId46" w:anchor="_ftnref3" w:history="1">
        <w:r>
          <w:rPr>
            <w:rStyle w:val="Hyperlink"/>
            <w:color w:val="auto"/>
            <w:sz w:val="20"/>
            <w:szCs w:val="20"/>
            <w:u w:val="none"/>
          </w:rPr>
          <w:t>[3]</w:t>
        </w:r>
      </w:hyperlink>
      <w:r>
        <w:rPr>
          <w:sz w:val="20"/>
          <w:szCs w:val="20"/>
        </w:rPr>
        <w:t xml:space="preserve"> Dr. J.N. Pandey, Constitutional Law </w:t>
      </w:r>
      <w:proofErr w:type="gramStart"/>
      <w:r>
        <w:rPr>
          <w:sz w:val="20"/>
          <w:szCs w:val="20"/>
        </w:rPr>
        <w:t>Of</w:t>
      </w:r>
      <w:proofErr w:type="gramEnd"/>
      <w:r>
        <w:rPr>
          <w:sz w:val="20"/>
          <w:szCs w:val="20"/>
        </w:rPr>
        <w:t xml:space="preserve"> India, Central Law Agency, Allahabad, 52</w:t>
      </w:r>
      <w:r>
        <w:rPr>
          <w:sz w:val="20"/>
          <w:szCs w:val="20"/>
          <w:vertAlign w:val="superscript"/>
        </w:rPr>
        <w:t>nd</w:t>
      </w:r>
      <w:r>
        <w:rPr>
          <w:sz w:val="20"/>
          <w:szCs w:val="20"/>
        </w:rPr>
        <w:t> edition, 2015</w:t>
      </w:r>
    </w:p>
    <w:p w14:paraId="5E327145" w14:textId="77777777" w:rsidR="00F71505" w:rsidRDefault="0059288B">
      <w:pPr>
        <w:pStyle w:val="NormalWeb"/>
        <w:shd w:val="clear" w:color="auto" w:fill="FFFFFF"/>
        <w:spacing w:before="0" w:beforeAutospacing="0" w:after="0" w:afterAutospacing="0"/>
        <w:jc w:val="both"/>
        <w:rPr>
          <w:sz w:val="20"/>
          <w:szCs w:val="20"/>
        </w:rPr>
      </w:pPr>
      <w:hyperlink r:id="rId47" w:anchor="_ftnref4" w:history="1">
        <w:r>
          <w:rPr>
            <w:rStyle w:val="Hyperlink"/>
            <w:color w:val="auto"/>
            <w:sz w:val="20"/>
            <w:szCs w:val="20"/>
            <w:u w:val="none"/>
          </w:rPr>
          <w:t>[4]</w:t>
        </w:r>
      </w:hyperlink>
      <w:r>
        <w:rPr>
          <w:sz w:val="20"/>
          <w:szCs w:val="20"/>
        </w:rPr>
        <w:t> </w:t>
      </w:r>
      <w:hyperlink r:id="rId48" w:history="1">
        <w:r>
          <w:rPr>
            <w:rStyle w:val="Hyperlink"/>
            <w:color w:val="auto"/>
            <w:sz w:val="20"/>
            <w:szCs w:val="20"/>
            <w:u w:val="none"/>
          </w:rPr>
          <w:t>https://blog.ipleaders.in/difference-article-32-article-226/</w:t>
        </w:r>
      </w:hyperlink>
    </w:p>
    <w:p w14:paraId="50305369" w14:textId="77777777" w:rsidR="00F71505" w:rsidRDefault="0059288B">
      <w:pPr>
        <w:pStyle w:val="NormalWeb"/>
        <w:shd w:val="clear" w:color="auto" w:fill="FFFFFF"/>
        <w:spacing w:before="0" w:beforeAutospacing="0" w:after="0" w:afterAutospacing="0"/>
        <w:jc w:val="both"/>
        <w:rPr>
          <w:sz w:val="20"/>
          <w:szCs w:val="20"/>
        </w:rPr>
      </w:pPr>
      <w:hyperlink r:id="rId49" w:anchor="_ftnref5" w:history="1">
        <w:r>
          <w:rPr>
            <w:rStyle w:val="Hyperlink"/>
            <w:color w:val="auto"/>
            <w:sz w:val="20"/>
            <w:szCs w:val="20"/>
            <w:u w:val="none"/>
          </w:rPr>
          <w:t>[5]</w:t>
        </w:r>
      </w:hyperlink>
      <w:r>
        <w:rPr>
          <w:sz w:val="20"/>
          <w:szCs w:val="20"/>
        </w:rPr>
        <w:t xml:space="preserve"> Dr. J.N. Pandey, Constitutional Law </w:t>
      </w:r>
      <w:proofErr w:type="gramStart"/>
      <w:r>
        <w:rPr>
          <w:sz w:val="20"/>
          <w:szCs w:val="20"/>
        </w:rPr>
        <w:t>Of</w:t>
      </w:r>
      <w:proofErr w:type="gramEnd"/>
      <w:r>
        <w:rPr>
          <w:sz w:val="20"/>
          <w:szCs w:val="20"/>
        </w:rPr>
        <w:t xml:space="preserve"> India, Central Law Agency, Allahabad, 52</w:t>
      </w:r>
      <w:r>
        <w:rPr>
          <w:sz w:val="20"/>
          <w:szCs w:val="20"/>
          <w:vertAlign w:val="superscript"/>
        </w:rPr>
        <w:t>nd</w:t>
      </w:r>
      <w:r>
        <w:rPr>
          <w:sz w:val="20"/>
          <w:szCs w:val="20"/>
        </w:rPr>
        <w:t> edition, 2015</w:t>
      </w:r>
    </w:p>
    <w:p w14:paraId="68FCB9D6" w14:textId="77777777" w:rsidR="00F71505" w:rsidRDefault="0059288B">
      <w:pPr>
        <w:pStyle w:val="NormalWeb"/>
        <w:shd w:val="clear" w:color="auto" w:fill="FFFFFF"/>
        <w:spacing w:before="0" w:beforeAutospacing="0" w:after="0" w:afterAutospacing="0"/>
        <w:jc w:val="both"/>
        <w:rPr>
          <w:sz w:val="20"/>
          <w:szCs w:val="20"/>
        </w:rPr>
      </w:pPr>
      <w:hyperlink r:id="rId50" w:anchor="_ftnref6" w:history="1">
        <w:r>
          <w:rPr>
            <w:rStyle w:val="Hyperlink"/>
            <w:color w:val="auto"/>
            <w:sz w:val="20"/>
            <w:szCs w:val="20"/>
            <w:u w:val="none"/>
          </w:rPr>
          <w:t>[6]</w:t>
        </w:r>
      </w:hyperlink>
      <w:r>
        <w:rPr>
          <w:sz w:val="20"/>
          <w:szCs w:val="20"/>
        </w:rPr>
        <w:t> </w:t>
      </w:r>
      <w:hyperlink r:id="rId51" w:history="1">
        <w:r>
          <w:rPr>
            <w:rStyle w:val="Hyperlink"/>
            <w:color w:val="auto"/>
            <w:sz w:val="20"/>
            <w:szCs w:val="20"/>
            <w:u w:val="none"/>
          </w:rPr>
          <w:t>https://blog.ipleaders.in/difference-article-32-article-226/</w:t>
        </w:r>
      </w:hyperlink>
    </w:p>
    <w:p w14:paraId="427226A7" w14:textId="77777777" w:rsidR="00F71505" w:rsidRDefault="0059288B">
      <w:pPr>
        <w:pStyle w:val="NormalWeb"/>
        <w:shd w:val="clear" w:color="auto" w:fill="FFFFFF"/>
        <w:spacing w:before="0" w:beforeAutospacing="0" w:after="0" w:afterAutospacing="0"/>
        <w:jc w:val="both"/>
        <w:rPr>
          <w:sz w:val="20"/>
          <w:szCs w:val="20"/>
        </w:rPr>
      </w:pPr>
      <w:hyperlink r:id="rId52" w:anchor="_ftnref7" w:history="1">
        <w:r>
          <w:rPr>
            <w:rStyle w:val="Hyperlink"/>
            <w:color w:val="auto"/>
            <w:sz w:val="20"/>
            <w:szCs w:val="20"/>
            <w:u w:val="none"/>
          </w:rPr>
          <w:t>[7]</w:t>
        </w:r>
      </w:hyperlink>
      <w:r>
        <w:rPr>
          <w:sz w:val="20"/>
          <w:szCs w:val="20"/>
        </w:rPr>
        <w:t> </w:t>
      </w:r>
      <w:hyperlink r:id="rId53" w:history="1">
        <w:r>
          <w:rPr>
            <w:rStyle w:val="Hyperlink"/>
            <w:color w:val="auto"/>
            <w:sz w:val="20"/>
            <w:szCs w:val="20"/>
            <w:u w:val="none"/>
          </w:rPr>
          <w:t>https://www.legalservicesindia.com/law/article/1731/10/Article-32-Is-An-Important-And-Integral-Part-Of-Basic-Structure-Of-Constitution-SC?id=1731&amp;u=10</w:t>
        </w:r>
      </w:hyperlink>
    </w:p>
    <w:p w14:paraId="30419B54" w14:textId="77777777" w:rsidR="00F71505" w:rsidRDefault="0059288B">
      <w:pPr>
        <w:pStyle w:val="NormalWeb"/>
        <w:shd w:val="clear" w:color="auto" w:fill="FFFFFF"/>
        <w:spacing w:before="0" w:beforeAutospacing="0" w:after="0" w:afterAutospacing="0"/>
        <w:jc w:val="both"/>
        <w:rPr>
          <w:rStyle w:val="Hyperlink"/>
          <w:color w:val="auto"/>
          <w:sz w:val="20"/>
          <w:szCs w:val="20"/>
          <w:u w:val="none"/>
        </w:rPr>
      </w:pPr>
      <w:hyperlink r:id="rId54" w:anchor="_ftnref8" w:history="1">
        <w:r>
          <w:rPr>
            <w:rStyle w:val="Hyperlink"/>
            <w:color w:val="auto"/>
            <w:sz w:val="20"/>
            <w:szCs w:val="20"/>
            <w:u w:val="none"/>
          </w:rPr>
          <w:t>[8]</w:t>
        </w:r>
      </w:hyperlink>
      <w:r>
        <w:rPr>
          <w:sz w:val="20"/>
          <w:szCs w:val="20"/>
        </w:rPr>
        <w:t> </w:t>
      </w:r>
      <w:hyperlink r:id="rId55" w:history="1">
        <w:r>
          <w:rPr>
            <w:rStyle w:val="Hyperlink"/>
            <w:color w:val="auto"/>
            <w:sz w:val="20"/>
            <w:szCs w:val="20"/>
            <w:u w:val="none"/>
          </w:rPr>
          <w:t>https://blog.ipleaders.in/article-32-constitution-india</w:t>
        </w:r>
      </w:hyperlink>
      <w:r>
        <w:rPr>
          <w:rStyle w:val="Hyperlink"/>
          <w:color w:val="auto"/>
          <w:sz w:val="20"/>
          <w:szCs w:val="20"/>
          <w:u w:val="none"/>
        </w:rPr>
        <w:t>.</w:t>
      </w:r>
    </w:p>
    <w:p w14:paraId="5FF0A401" w14:textId="77777777" w:rsidR="00F71505" w:rsidRDefault="00F71505">
      <w:pPr>
        <w:pStyle w:val="NormalWeb"/>
        <w:shd w:val="clear" w:color="auto" w:fill="FFFFFF"/>
        <w:spacing w:before="0" w:beforeAutospacing="0" w:after="0" w:afterAutospacing="0"/>
        <w:jc w:val="both"/>
        <w:rPr>
          <w:rStyle w:val="Hyperlink"/>
          <w:color w:val="auto"/>
          <w:sz w:val="20"/>
          <w:szCs w:val="20"/>
          <w:u w:val="none"/>
        </w:rPr>
      </w:pPr>
    </w:p>
    <w:p w14:paraId="2DD0A6F0" w14:textId="77777777" w:rsidR="00F71505" w:rsidRDefault="00F71505">
      <w:pPr>
        <w:pStyle w:val="NormalWeb"/>
        <w:shd w:val="clear" w:color="auto" w:fill="FFFFFF"/>
        <w:spacing w:before="0" w:beforeAutospacing="0" w:after="0" w:afterAutospacing="0"/>
        <w:jc w:val="both"/>
        <w:rPr>
          <w:rStyle w:val="Hyperlink"/>
          <w:color w:val="auto"/>
          <w:sz w:val="20"/>
          <w:szCs w:val="20"/>
          <w:u w:val="none"/>
        </w:rPr>
      </w:pPr>
    </w:p>
    <w:p w14:paraId="38A1003B" w14:textId="77777777" w:rsidR="00F71505" w:rsidRDefault="00F71505">
      <w:pPr>
        <w:pStyle w:val="NormalWeb"/>
        <w:shd w:val="clear" w:color="auto" w:fill="FFFFFF"/>
        <w:spacing w:before="0" w:beforeAutospacing="0" w:after="0" w:afterAutospacing="0"/>
        <w:jc w:val="both"/>
        <w:rPr>
          <w:rStyle w:val="Hyperlink"/>
          <w:color w:val="auto"/>
          <w:sz w:val="20"/>
          <w:szCs w:val="20"/>
          <w:u w:val="none"/>
        </w:rPr>
      </w:pPr>
    </w:p>
    <w:p w14:paraId="1392B65F" w14:textId="77777777" w:rsidR="00F71505" w:rsidRDefault="0059288B">
      <w:pPr>
        <w:pStyle w:val="NormalWeb"/>
        <w:shd w:val="clear" w:color="auto" w:fill="FFFFFF"/>
        <w:spacing w:before="0" w:beforeAutospacing="0" w:after="0" w:afterAutospacing="0"/>
        <w:jc w:val="right"/>
        <w:rPr>
          <w:sz w:val="20"/>
          <w:szCs w:val="20"/>
        </w:rPr>
      </w:pPr>
      <w:r>
        <w:rPr>
          <w:rStyle w:val="Hyperlink"/>
          <w:color w:val="auto"/>
          <w:sz w:val="20"/>
          <w:szCs w:val="20"/>
          <w:u w:val="none"/>
        </w:rPr>
        <w:t>3/22/2023</w:t>
      </w:r>
    </w:p>
    <w:p w14:paraId="7E6B134E" w14:textId="77777777" w:rsidR="00F71505" w:rsidRDefault="00F71505">
      <w:pPr>
        <w:pStyle w:val="NormalWeb"/>
        <w:shd w:val="clear" w:color="auto" w:fill="FFFFFF"/>
        <w:spacing w:before="0" w:beforeAutospacing="0" w:after="0" w:afterAutospacing="0"/>
        <w:jc w:val="both"/>
        <w:textAlignment w:val="baseline"/>
        <w:rPr>
          <w:sz w:val="20"/>
          <w:szCs w:val="20"/>
        </w:rPr>
      </w:pPr>
    </w:p>
    <w:sectPr w:rsidR="00F7150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E93FF" w14:textId="77777777" w:rsidR="0059288B" w:rsidRDefault="0059288B">
      <w:pPr>
        <w:spacing w:line="240" w:lineRule="auto"/>
      </w:pPr>
      <w:r>
        <w:separator/>
      </w:r>
    </w:p>
  </w:endnote>
  <w:endnote w:type="continuationSeparator" w:id="0">
    <w:p w14:paraId="0AC0F8BF" w14:textId="77777777" w:rsidR="0059288B" w:rsidRDefault="005928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8862" w14:textId="77777777" w:rsidR="00F71505" w:rsidRDefault="0059288B">
    <w:pPr>
      <w:pStyle w:val="Footer"/>
      <w:ind w:firstLineChars="300" w:firstLine="600"/>
    </w:pPr>
    <w:r>
      <w:rPr>
        <w:noProof/>
        <w:sz w:val="20"/>
      </w:rPr>
      <mc:AlternateContent>
        <mc:Choice Requires="wps">
          <w:drawing>
            <wp:anchor distT="0" distB="0" distL="114300" distR="114300" simplePos="0" relativeHeight="251661312" behindDoc="0" locked="0" layoutInCell="1" allowOverlap="1" wp14:anchorId="6CAC347A" wp14:editId="398A7F67">
              <wp:simplePos x="0" y="0"/>
              <wp:positionH relativeFrom="margin">
                <wp:posOffset>2905125</wp:posOffset>
              </wp:positionH>
              <wp:positionV relativeFrom="paragraph">
                <wp:posOffset>2540</wp:posOffset>
              </wp:positionV>
              <wp:extent cx="828675" cy="104775"/>
              <wp:effectExtent l="0" t="0" r="9525" b="9525"/>
              <wp:wrapNone/>
              <wp:docPr id="4" name="文本框 4"/>
              <wp:cNvGraphicFramePr/>
              <a:graphic xmlns:a="http://schemas.openxmlformats.org/drawingml/2006/main">
                <a:graphicData uri="http://schemas.microsoft.com/office/word/2010/wordprocessingShape">
                  <wps:wsp>
                    <wps:cNvSpPr txBox="1"/>
                    <wps:spPr>
                      <a:xfrm>
                        <a:off x="0" y="0"/>
                        <a:ext cx="828675" cy="1047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489E56" w14:textId="77777777" w:rsidR="00F71505" w:rsidRDefault="0059288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CAC347A" id="_x0000_t202" coordsize="21600,21600" o:spt="202" path="m,l,21600r21600,l21600,xe">
              <v:stroke joinstyle="miter"/>
              <v:path gradientshapeok="t" o:connecttype="rect"/>
            </v:shapetype>
            <v:shape id="文本框 4" o:spid="_x0000_s1026" type="#_x0000_t202" style="position:absolute;left:0;text-align:left;margin-left:228.75pt;margin-top:.2pt;width:65.25pt;height: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LraQIAAAoFAAAOAAAAZHJzL2Uyb0RvYy54bWysVM2O0zAQviPxDpbvNO3S7VZV01Xpqgip&#10;YlcUxNl17DbC9hjbbVIegH0DTly481x9DsZO0kULl0VcnInn9/tmxtPrWityEM6XYHI66PUpEYZD&#10;UZptTj+8X74YU+IDMwVTYEROj8LT69nzZ9PKTsQF7EAVwhEMYvyksjndhWAnWeb5Tmjme2CFQaUE&#10;p1nAX7fNCscqjK5VdtHvj7IKXGEdcOE93t40SjpL8aUUPNxK6UUgKqdYW0inS+cmntlsyiZbx+yu&#10;5G0Z7B+q0Kw0mPQc6oYFRvau/COULrkDDzL0OOgMpCy5SBgQzaD/CM16x6xIWJAcb880+f8Xlr89&#10;3DlSFjkdUmKYxhadvt2fvv88/fhKhpGeyvoJWq0t2oX6FdTY5u7e42VEXUun4xfxENQj0cczuaIO&#10;hOPl+GI8urqkhKNq0B9eoYzRswdn63x4LUCTKOTUYe8Speyw8qEx7UxiLgPLUqnUP2VIldPRy8t+&#10;cjhrMLgymCNCaEpNUjgqESMo805IxJ4qjhdp6sRCOXJgOC+Mc2FCApsioXW0kpj2KY6tfXQVaSKf&#10;4nz2SJnBhLOzLg24hPdR2cWnrmTZ2HcMNLgjBaHe1G1rN1AcsbMOmtXwli9L5H/FfLhjDncBm4n7&#10;HW7xkAqQZ2glSnbgvvztPtrjiKKWkgp3K6f+8545QYl6Y3B44yJ2guuETSeYvV4A0j/Al8PyJKKD&#10;C6oTpQP9Edd+HrOgihmOuXIaOnERmg3HZ4OL+TwZ4bpZFlZmbXkMHek0MN8HkGUarkhLw0VLFy5c&#10;Gs/2cYgb/ft/snp4wma/AAAA//8DAFBLAwQUAAYACAAAACEA5LZoz90AAAAHAQAADwAAAGRycy9k&#10;b3ducmV2LnhtbEyPwU7DMAyG70i8Q2QkbizdREdXmk4ICZC4dQMkbmlj0mqNUzVZW94ec4Kbrf/T&#10;78/FfnG9mHAMnScF61UCAqnxpiOr4O34dJOBCFGT0b0nVPCNAfbl5UWhc+NnqnA6RCu4hEKuFbQx&#10;DrmUoWnR6bDyAxJnX350OvI6WmlGPXO56+UmSbbS6Y74QqsHfGyxOR3OTsGxnW39WW1emufwOnlb&#10;rU8fu3elrq+Wh3sQEZf4B8OvPqtDyU61P5MJoldwm96ljPIAguM0y/i1mrntDmRZyP/+5Q8AAAD/&#10;/wMAUEsBAi0AFAAGAAgAAAAhALaDOJL+AAAA4QEAABMAAAAAAAAAAAAAAAAAAAAAAFtDb250ZW50&#10;X1R5cGVzXS54bWxQSwECLQAUAAYACAAAACEAOP0h/9YAAACUAQAACwAAAAAAAAAAAAAAAAAvAQAA&#10;X3JlbHMvLnJlbHNQSwECLQAUAAYACAAAACEAT7nC62kCAAAKBQAADgAAAAAAAAAAAAAAAAAuAgAA&#10;ZHJzL2Uyb0RvYy54bWxQSwECLQAUAAYACAAAACEA5LZoz90AAAAHAQAADwAAAAAAAAAAAAAAAADD&#10;BAAAZHJzL2Rvd25yZXYueG1sUEsFBgAAAAAEAAQA8wAAAM0FAAAAAA==&#10;" filled="f" fillcolor="white [3201]" stroked="f" strokeweight=".5pt">
              <v:textbox inset="0,0,0,0">
                <w:txbxContent>
                  <w:p w14:paraId="74489E56" w14:textId="77777777" w:rsidR="00F71505" w:rsidRDefault="0059288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60288" behindDoc="0" locked="0" layoutInCell="1" allowOverlap="1" wp14:anchorId="584EAA76" wp14:editId="5CEE5F9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39CF1B9" w14:textId="77777777" w:rsidR="00F71505" w:rsidRDefault="00F71505"/>
                      </w:txbxContent>
                    </wps:txbx>
                    <wps:bodyPr wrap="none" lIns="0" tIns="0" rIns="0" bIns="0">
                      <a:spAutoFit/>
                    </wps:bodyPr>
                  </wps:wsp>
                </a:graphicData>
              </a:graphic>
            </wp:anchor>
          </w:drawing>
        </mc:Choice>
        <mc:Fallback>
          <w:pict>
            <v:shape w14:anchorId="584EAA76"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5HuQEAAE8DAAAOAAAAZHJzL2Uyb0RvYy54bWysU0tu2zAQ3RfoHQjuayk2GhiC6SBBkKJA&#10;kRZIcwCaIi0C/IHDWPIF0ht01U33PZfP0SFtKUGyC7KhZjjDN+/NjFYXgzVkJyNo7xg9m9WUSCd8&#10;q92W0fufN5+WlEDiruXGO8noXgK9WH/8sOpDI+e+86aVkSCIg6YPjHYphaaqQHTScpj5IB0GlY+W&#10;J3Tjtmoj7xHdmmpe1+dV72MbohcSAG+vj0G6LvhKSZG+KwUyEcMockvljOXc5LNar3izjTx0Wpxo&#10;8DewsFw7LDpBXfPEyUPUr6CsFtGDV2kmvK28UlrIogHVnNUv1Nx1PMiiBZsDYWoTvB+suN39iES3&#10;jC4ocdziiA6/fx3+/Dv8fSSL3J4+QINZdwHz0nDlBxzzeA94mVUPKtr8RT0E49jo/dRcOSQi8qPl&#10;fLmsMSQwNjqIXz09DxHSF+ktyQajEadXmsp33yAdU8eUXM35G21MmaBxpGf0fPG5Lg+mCIIbhzWy&#10;iCPZbKVhMxTNk5CNb/eor8dFYNThplJivjrsc96Z0YijsTkZmQSEy4eERAq/DH6EOtXEqRWFpw3L&#10;a/HcL1lP/8H6P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N6fke5AQAATwMAAA4AAAAAAAAAAAAAAAAALgIAAGRycy9lMm9Eb2Mu&#10;eG1sUEsBAi0AFAAGAAgAAAAhAHGq0bnXAAAABQEAAA8AAAAAAAAAAAAAAAAAEwQAAGRycy9kb3du&#10;cmV2LnhtbFBLBQYAAAAABAAEAPMAAAAXBQAAAAA=&#10;" filled="f" stroked="f" strokeweight=".5pt">
              <v:textbox style="mso-fit-shape-to-text:t" inset="0,0,0,0">
                <w:txbxContent>
                  <w:p w14:paraId="139CF1B9" w14:textId="77777777" w:rsidR="00F71505" w:rsidRDefault="00F71505"/>
                </w:txbxContent>
              </v:textbox>
              <w10:wrap anchorx="margin"/>
            </v:shape>
          </w:pict>
        </mc:Fallback>
      </mc:AlternateContent>
    </w:r>
  </w:p>
  <w:p w14:paraId="5660D677" w14:textId="77777777" w:rsidR="00F71505" w:rsidRDefault="00F71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061D" w14:textId="77777777" w:rsidR="00F71505" w:rsidRDefault="0059288B">
    <w:pPr>
      <w:pStyle w:val="Footer"/>
      <w:ind w:firstLineChars="300" w:firstLine="600"/>
    </w:pPr>
    <w:r>
      <w:rPr>
        <w:noProof/>
        <w:sz w:val="20"/>
      </w:rPr>
      <mc:AlternateContent>
        <mc:Choice Requires="wps">
          <w:drawing>
            <wp:anchor distT="0" distB="0" distL="114300" distR="114300" simplePos="0" relativeHeight="251662336" behindDoc="0" locked="0" layoutInCell="1" allowOverlap="1" wp14:anchorId="788C81B4" wp14:editId="4158D76B">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AC7296" w14:textId="77777777" w:rsidR="00F71505" w:rsidRDefault="0059288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8C81B4"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Ck2D2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04AC7296" w14:textId="77777777" w:rsidR="00F71505" w:rsidRDefault="0059288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59264" behindDoc="0" locked="0" layoutInCell="1" allowOverlap="1" wp14:anchorId="084CF59F" wp14:editId="0B778EC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728CE6F" w14:textId="77777777" w:rsidR="00F71505" w:rsidRDefault="00F71505"/>
                      </w:txbxContent>
                    </wps:txbx>
                    <wps:bodyPr wrap="none" lIns="0" tIns="0" rIns="0" bIns="0">
                      <a:spAutoFit/>
                    </wps:bodyPr>
                  </wps:wsp>
                </a:graphicData>
              </a:graphic>
            </wp:anchor>
          </w:drawing>
        </mc:Choice>
        <mc:Fallback>
          <w:pict>
            <v:shape w14:anchorId="084CF59F" id="文本框 2"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XTuQEAAE8DAAAOAAAAZHJzL2Uyb0RvYy54bWysU8Fu2zAMvQ/oPwi6N3ZdtAiMKMWGokWB&#10;ohvQ7QMUWYoFSKIgqbHzA90f7LTL7v2ufEcpJU6H9jbsIpMi9fgeSS+uRmvIRoaowTF6NqspkU5A&#10;p92a0R/fb07nlMTEXccNOMnoVkZ6tTz5tBh8KxvowXQyEARxsR08o31Kvq2qKHppeZyBlw6DCoLl&#10;Cd2wrrrAB0S3pmrq+rIaIHQ+gJAx4u31PkiXBV8pKdJXpaJMxDCK3FI5QzlX+ayWC96uA/e9Fgca&#10;/B9YWK4dFj1CXfPEyVPQH6CsFgEiqDQTYCtQSgtZNKCas/qdmseee1m0YHOiP7Yp/j9Y8bD5Foju&#10;GG0ocdziiHa/fu5+v+z+PJMmt2fwscWsR495afwCI455uo94mVWPKtj8RT0E49jo7bG5ckxE5Efz&#10;Zj6vMSQwNjmIX7099yGmWwmWZIPRgNMrTeWb+5j2qVNKrubgRhtTJmgcGRi9PL+oy4NjBMGNwxpZ&#10;xJ5sttK4Govm80nICrot6htwERh1uKmUmDuHfc47MxlhMlYHI5OI/vNTQiKFXwbfQx1q4tSKwsOG&#10;5bX42y9Zb//B8h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xeFdO5AQAATwMAAA4AAAAAAAAAAAAAAAAALgIAAGRycy9lMm9Eb2Mu&#10;eG1sUEsBAi0AFAAGAAgAAAAhAHGq0bnXAAAABQEAAA8AAAAAAAAAAAAAAAAAEwQAAGRycy9kb3du&#10;cmV2LnhtbFBLBQYAAAAABAAEAPMAAAAXBQAAAAA=&#10;" filled="f" stroked="f" strokeweight=".5pt">
              <v:textbox style="mso-fit-shape-to-text:t" inset="0,0,0,0">
                <w:txbxContent>
                  <w:p w14:paraId="3728CE6F" w14:textId="77777777" w:rsidR="00F71505" w:rsidRDefault="00F71505"/>
                </w:txbxContent>
              </v:textbox>
              <w10:wrap anchorx="margin"/>
            </v:shape>
          </w:pict>
        </mc:Fallback>
      </mc:AlternateContent>
    </w:r>
  </w:p>
  <w:p w14:paraId="026A6061" w14:textId="77777777" w:rsidR="00F71505" w:rsidRDefault="00F71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5249" w14:textId="77777777" w:rsidR="0059288B" w:rsidRDefault="0059288B">
      <w:pPr>
        <w:spacing w:after="0"/>
      </w:pPr>
      <w:r>
        <w:separator/>
      </w:r>
    </w:p>
  </w:footnote>
  <w:footnote w:type="continuationSeparator" w:id="0">
    <w:p w14:paraId="293391D9" w14:textId="77777777" w:rsidR="0059288B" w:rsidRDefault="005928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840C" w14:textId="77777777" w:rsidR="00F71505" w:rsidRDefault="0059288B">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hint="eastAsia"/>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iCs/>
        <w:sz w:val="20"/>
        <w:szCs w:val="20"/>
        <w:lang w:eastAsia="zh-CN"/>
      </w:rPr>
      <w:t>4</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40B570C3" w14:textId="77777777" w:rsidR="00F71505" w:rsidRDefault="00F71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A2F4" w14:textId="77777777" w:rsidR="00F71505" w:rsidRDefault="0059288B">
    <w:pPr>
      <w:pStyle w:val="Header"/>
    </w:pPr>
    <w:r>
      <w:rPr>
        <w:rFonts w:ascii="Times New Roman" w:hAnsi="Times New Roman"/>
        <w:b/>
        <w:bCs/>
        <w:noProof/>
        <w:sz w:val="20"/>
        <w:szCs w:val="20"/>
        <w:lang w:eastAsia="zh-CN"/>
      </w:rPr>
      <w:drawing>
        <wp:inline distT="0" distB="0" distL="114300" distR="114300" wp14:anchorId="3FD6CF58" wp14:editId="2EDD3D7C">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87F"/>
    <w:multiLevelType w:val="multilevel"/>
    <w:tmpl w:val="037418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46556DA"/>
    <w:multiLevelType w:val="multilevel"/>
    <w:tmpl w:val="046556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A092D77"/>
    <w:multiLevelType w:val="multilevel"/>
    <w:tmpl w:val="0A092D7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BDD5870"/>
    <w:multiLevelType w:val="multilevel"/>
    <w:tmpl w:val="0BDD587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E8537D3"/>
    <w:multiLevelType w:val="multilevel"/>
    <w:tmpl w:val="0E8537D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1EB055F"/>
    <w:multiLevelType w:val="multilevel"/>
    <w:tmpl w:val="11EB05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3DB5D0D"/>
    <w:multiLevelType w:val="multilevel"/>
    <w:tmpl w:val="13DB5D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6003517"/>
    <w:multiLevelType w:val="multilevel"/>
    <w:tmpl w:val="1600351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8651A0F"/>
    <w:multiLevelType w:val="multilevel"/>
    <w:tmpl w:val="18651A0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9D5413E"/>
    <w:multiLevelType w:val="multilevel"/>
    <w:tmpl w:val="19D5413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1E1B2CC0"/>
    <w:multiLevelType w:val="multilevel"/>
    <w:tmpl w:val="1E1B2C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4034B82"/>
    <w:multiLevelType w:val="multilevel"/>
    <w:tmpl w:val="24034B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3CCC173C"/>
    <w:multiLevelType w:val="multilevel"/>
    <w:tmpl w:val="3CCC173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450801E5"/>
    <w:multiLevelType w:val="multilevel"/>
    <w:tmpl w:val="450801E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4CA34CB8"/>
    <w:multiLevelType w:val="multilevel"/>
    <w:tmpl w:val="4CA34CB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4D880E22"/>
    <w:multiLevelType w:val="multilevel"/>
    <w:tmpl w:val="4D880E2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4F827FDA"/>
    <w:multiLevelType w:val="multilevel"/>
    <w:tmpl w:val="4F827F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53745FF7"/>
    <w:multiLevelType w:val="multilevel"/>
    <w:tmpl w:val="53745FF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DA13B68"/>
    <w:multiLevelType w:val="multilevel"/>
    <w:tmpl w:val="5DA13B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6077001C"/>
    <w:multiLevelType w:val="multilevel"/>
    <w:tmpl w:val="6077001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61F07E9C"/>
    <w:multiLevelType w:val="multilevel"/>
    <w:tmpl w:val="61F07E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631035E6"/>
    <w:multiLevelType w:val="multilevel"/>
    <w:tmpl w:val="631035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63365E9C"/>
    <w:multiLevelType w:val="multilevel"/>
    <w:tmpl w:val="63365E9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63BD1B59"/>
    <w:multiLevelType w:val="multilevel"/>
    <w:tmpl w:val="63BD1B5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64832F4C"/>
    <w:multiLevelType w:val="multilevel"/>
    <w:tmpl w:val="64832F4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71E24C8"/>
    <w:multiLevelType w:val="multilevel"/>
    <w:tmpl w:val="671E24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6DAC2B80"/>
    <w:multiLevelType w:val="multilevel"/>
    <w:tmpl w:val="6DAC2B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75A03C63"/>
    <w:multiLevelType w:val="multilevel"/>
    <w:tmpl w:val="75A03C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7AAC6B57"/>
    <w:multiLevelType w:val="multilevel"/>
    <w:tmpl w:val="7AAC6B5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7F344533"/>
    <w:multiLevelType w:val="multilevel"/>
    <w:tmpl w:val="7F3445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12"/>
  </w:num>
  <w:num w:numId="3">
    <w:abstractNumId w:val="8"/>
  </w:num>
  <w:num w:numId="4">
    <w:abstractNumId w:val="1"/>
  </w:num>
  <w:num w:numId="5">
    <w:abstractNumId w:val="24"/>
  </w:num>
  <w:num w:numId="6">
    <w:abstractNumId w:val="21"/>
  </w:num>
  <w:num w:numId="7">
    <w:abstractNumId w:val="4"/>
  </w:num>
  <w:num w:numId="8">
    <w:abstractNumId w:val="13"/>
  </w:num>
  <w:num w:numId="9">
    <w:abstractNumId w:val="26"/>
  </w:num>
  <w:num w:numId="10">
    <w:abstractNumId w:val="7"/>
  </w:num>
  <w:num w:numId="11">
    <w:abstractNumId w:val="9"/>
  </w:num>
  <w:num w:numId="12">
    <w:abstractNumId w:val="20"/>
  </w:num>
  <w:num w:numId="13">
    <w:abstractNumId w:val="27"/>
  </w:num>
  <w:num w:numId="14">
    <w:abstractNumId w:val="19"/>
  </w:num>
  <w:num w:numId="15">
    <w:abstractNumId w:val="23"/>
  </w:num>
  <w:num w:numId="16">
    <w:abstractNumId w:val="0"/>
  </w:num>
  <w:num w:numId="17">
    <w:abstractNumId w:val="25"/>
  </w:num>
  <w:num w:numId="18">
    <w:abstractNumId w:val="10"/>
  </w:num>
  <w:num w:numId="19">
    <w:abstractNumId w:val="5"/>
  </w:num>
  <w:num w:numId="20">
    <w:abstractNumId w:val="29"/>
  </w:num>
  <w:num w:numId="21">
    <w:abstractNumId w:val="16"/>
  </w:num>
  <w:num w:numId="22">
    <w:abstractNumId w:val="22"/>
  </w:num>
  <w:num w:numId="23">
    <w:abstractNumId w:val="11"/>
  </w:num>
  <w:num w:numId="24">
    <w:abstractNumId w:val="15"/>
  </w:num>
  <w:num w:numId="25">
    <w:abstractNumId w:val="28"/>
  </w:num>
  <w:num w:numId="26">
    <w:abstractNumId w:val="6"/>
  </w:num>
  <w:num w:numId="27">
    <w:abstractNumId w:val="17"/>
  </w:num>
  <w:num w:numId="28">
    <w:abstractNumId w:val="14"/>
  </w:num>
  <w:num w:numId="29">
    <w:abstractNumId w:val="1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E595C"/>
    <w:rsid w:val="00114F77"/>
    <w:rsid w:val="0012419B"/>
    <w:rsid w:val="00182545"/>
    <w:rsid w:val="001C4F97"/>
    <w:rsid w:val="001F0C25"/>
    <w:rsid w:val="002040CC"/>
    <w:rsid w:val="00206EC4"/>
    <w:rsid w:val="00251029"/>
    <w:rsid w:val="00280C8A"/>
    <w:rsid w:val="003557A6"/>
    <w:rsid w:val="003736E4"/>
    <w:rsid w:val="0037389F"/>
    <w:rsid w:val="003C67FD"/>
    <w:rsid w:val="00422DD6"/>
    <w:rsid w:val="004431A0"/>
    <w:rsid w:val="004A2CE8"/>
    <w:rsid w:val="004A3827"/>
    <w:rsid w:val="0050285F"/>
    <w:rsid w:val="00522169"/>
    <w:rsid w:val="00592744"/>
    <w:rsid w:val="0059288B"/>
    <w:rsid w:val="005E595C"/>
    <w:rsid w:val="005F1F51"/>
    <w:rsid w:val="0065137F"/>
    <w:rsid w:val="00655AFD"/>
    <w:rsid w:val="006666E3"/>
    <w:rsid w:val="006A059C"/>
    <w:rsid w:val="00783206"/>
    <w:rsid w:val="007935FA"/>
    <w:rsid w:val="007C28B9"/>
    <w:rsid w:val="007C5BF0"/>
    <w:rsid w:val="007D01E0"/>
    <w:rsid w:val="007E4C95"/>
    <w:rsid w:val="008449B5"/>
    <w:rsid w:val="0088774F"/>
    <w:rsid w:val="008D17CA"/>
    <w:rsid w:val="009C553F"/>
    <w:rsid w:val="009C57A5"/>
    <w:rsid w:val="00A77435"/>
    <w:rsid w:val="00B42BB4"/>
    <w:rsid w:val="00B77111"/>
    <w:rsid w:val="00BE44EC"/>
    <w:rsid w:val="00C37568"/>
    <w:rsid w:val="00C92299"/>
    <w:rsid w:val="00D46843"/>
    <w:rsid w:val="00DF1EF2"/>
    <w:rsid w:val="00E310AC"/>
    <w:rsid w:val="00E73CA7"/>
    <w:rsid w:val="00E9519B"/>
    <w:rsid w:val="00ED067E"/>
    <w:rsid w:val="00ED35BE"/>
    <w:rsid w:val="00EE0CEE"/>
    <w:rsid w:val="00EE1DB4"/>
    <w:rsid w:val="00F207EC"/>
    <w:rsid w:val="00F41DD5"/>
    <w:rsid w:val="00F71505"/>
    <w:rsid w:val="00FB5C6A"/>
    <w:rsid w:val="00FC086D"/>
    <w:rsid w:val="00FC2BCB"/>
    <w:rsid w:val="00FE6804"/>
    <w:rsid w:val="08C73E7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09DC5"/>
  <w15:docId w15:val="{DEACA625-FB80-4473-8A8F-D3EDD80F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1"/>
    <w:uiPriority w:val="99"/>
    <w:unhideWhenUsed/>
    <w:rPr>
      <w:color w:val="0000FF" w:themeColor="hyperlink"/>
      <w:u w:val="single"/>
    </w:rPr>
  </w:style>
  <w:style w:type="character" w:customStyle="1" w:styleId="DefaultParagraphFont1">
    <w:name w:val="Default Paragraph Font1"/>
    <w:qForma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paragraph" w:customStyle="1" w:styleId="mm8nw">
    <w:name w:val="mm8nw"/>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paragraph" w:customStyle="1" w:styleId="has-normal-font-size">
    <w:name w:val="has-normal-font-siz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ext-justify">
    <w:name w:val="text-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semiHidden/>
    <w:qFormat/>
    <w:rPr>
      <w:rFonts w:ascii="Tahoma" w:hAnsi="Tahoma" w:cs="Tahoma"/>
      <w:sz w:val="16"/>
      <w:szCs w:val="16"/>
    </w:rPr>
  </w:style>
  <w:style w:type="paragraph" w:customStyle="1" w:styleId="has-text-align-justify">
    <w:name w:val="has-text-align-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3">
    <w:name w:val="Style23"/>
    <w:basedOn w:val="Normal"/>
    <w:uiPriority w:val="99"/>
    <w:qFormat/>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paragraph" w:customStyle="1" w:styleId="justify">
    <w:name w:val="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qFormat/>
  </w:style>
  <w:style w:type="paragraph" w:customStyle="1" w:styleId="jp-relatedposts-post">
    <w:name w:val="jp-relatedposts-pos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qFormat/>
  </w:style>
  <w:style w:type="character" w:customStyle="1" w:styleId="jp-relatedposts-post-context">
    <w:name w:val="jp-relatedposts-post-context"/>
    <w:basedOn w:val="DefaultParagraphFont"/>
    <w:qFormat/>
  </w:style>
  <w:style w:type="character" w:customStyle="1" w:styleId="meta-nav">
    <w:name w:val="meta-nav"/>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imes New Roman" w:hAnsi="Arial" w:cs="Arial"/>
      <w:vanish/>
      <w:sz w:val="16"/>
      <w:szCs w:val="16"/>
    </w:rPr>
  </w:style>
  <w:style w:type="character" w:customStyle="1" w:styleId="wp-calendar-nav-prev">
    <w:name w:val="wp-calendar-nav-prev"/>
    <w:basedOn w:val="DefaultParagraphFont"/>
    <w:qFormat/>
  </w:style>
  <w:style w:type="character" w:customStyle="1" w:styleId="pad">
    <w:name w:val="pad"/>
    <w:basedOn w:val="DefaultParagraphFont"/>
    <w:qFormat/>
  </w:style>
  <w:style w:type="character" w:customStyle="1" w:styleId="wp-calendar-nav-next">
    <w:name w:val="wp-calendar-nav-next"/>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dx.doi.org/10.7537/marsrsj150423.03" TargetMode="External"/><Relationship Id="rId18" Type="http://schemas.openxmlformats.org/officeDocument/2006/relationships/hyperlink" Target="https://juriscentre.com/2023/02/11/analysis-of-art-32-of-the-constitution-of-india-right-to-constitutional-remedies/" TargetMode="External"/><Relationship Id="rId26" Type="http://schemas.openxmlformats.org/officeDocument/2006/relationships/hyperlink" Target="https://indiankanoon.org/doc/924262/" TargetMode="External"/><Relationship Id="rId39" Type="http://schemas.openxmlformats.org/officeDocument/2006/relationships/hyperlink" Target="https://indiankanoon.org/doc/1679850/" TargetMode="External"/><Relationship Id="rId21" Type="http://schemas.openxmlformats.org/officeDocument/2006/relationships/hyperlink" Target="https://indiankanoon.org/doc/261493/" TargetMode="External"/><Relationship Id="rId34" Type="http://schemas.openxmlformats.org/officeDocument/2006/relationships/hyperlink" Target="https://www.livelaw.in/pdf_upload/pdf_upload-359288.pdf" TargetMode="External"/><Relationship Id="rId42" Type="http://schemas.openxmlformats.org/officeDocument/2006/relationships/hyperlink" Target="https://www.uscourts.gov/sites/default/files/federal_rules_of_civil_procedure_-_december_2020_0.pdf" TargetMode="External"/><Relationship Id="rId47" Type="http://schemas.openxmlformats.org/officeDocument/2006/relationships/hyperlink" Target="https://juriscentre.com/2023/02/11/analysis-of-art-32-of-the-constitution-of-india-right-to-constitutional-remedies/" TargetMode="External"/><Relationship Id="rId50" Type="http://schemas.openxmlformats.org/officeDocument/2006/relationships/hyperlink" Target="https://juriscentre.com/2023/02/11/analysis-of-art-32-of-the-constitution-of-india-right-to-constitutional-remedies/" TargetMode="External"/><Relationship Id="rId55" Type="http://schemas.openxmlformats.org/officeDocument/2006/relationships/hyperlink" Target="https://blog.ipleaders.in/article-32-constitution-india"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indiankanoon.org/doc/723559/" TargetMode="External"/><Relationship Id="rId11" Type="http://schemas.openxmlformats.org/officeDocument/2006/relationships/hyperlink" Target="https://indiankanoon.org/doc/101366341/" TargetMode="External"/><Relationship Id="rId24" Type="http://schemas.openxmlformats.org/officeDocument/2006/relationships/hyperlink" Target="https://main.sci.gov.in/supremecourt/2008/16520/16520_2008_11_1502_16692_Judgement_12-Sep-2019.pdf" TargetMode="External"/><Relationship Id="rId32" Type="http://schemas.openxmlformats.org/officeDocument/2006/relationships/hyperlink" Target="https://indiankanoon.org/doc/147929/" TargetMode="External"/><Relationship Id="rId37" Type="http://schemas.openxmlformats.org/officeDocument/2006/relationships/hyperlink" Target="https://indiankanoon.org/doc/107831554/" TargetMode="External"/><Relationship Id="rId40" Type="http://schemas.openxmlformats.org/officeDocument/2006/relationships/hyperlink" Target="https://legislative.gov.in/sites/default/files/A1974-02.pdf" TargetMode="External"/><Relationship Id="rId45" Type="http://schemas.openxmlformats.org/officeDocument/2006/relationships/hyperlink" Target="https://juriscentre.com/2023/02/11/analysis-of-art-32-of-the-constitution-of-india-right-to-constitutional-remedies/" TargetMode="External"/><Relationship Id="rId53" Type="http://schemas.openxmlformats.org/officeDocument/2006/relationships/hyperlink" Target="https://www.legalservicesindia.com/law/article/1731/10/Article-32-Is-An-Important-And-Integral-Part-Of-Basic-Structure-Of-Constitution-SC?id=1731&amp;u=10" TargetMode="External"/><Relationship Id="rId5" Type="http://schemas.openxmlformats.org/officeDocument/2006/relationships/settings" Target="settings.xml"/><Relationship Id="rId19" Type="http://schemas.openxmlformats.org/officeDocument/2006/relationships/hyperlink" Target="https://www.mondaq.com/india/constitutional-administrative-law/1173756/" TargetMode="External"/><Relationship Id="rId4" Type="http://schemas.openxmlformats.org/officeDocument/2006/relationships/styles" Target="styles.xml"/><Relationship Id="rId9" Type="http://schemas.openxmlformats.org/officeDocument/2006/relationships/hyperlink" Target="mailto:ravichand5019@gmail.com" TargetMode="External"/><Relationship Id="rId14" Type="http://schemas.openxmlformats.org/officeDocument/2006/relationships/header" Target="header1.xml"/><Relationship Id="rId22" Type="http://schemas.openxmlformats.org/officeDocument/2006/relationships/hyperlink" Target="https://indiankanoon.org/doc/23414761/" TargetMode="External"/><Relationship Id="rId27" Type="http://schemas.openxmlformats.org/officeDocument/2006/relationships/hyperlink" Target="https://www.livelaw.in/pdf_upload/shri-k-jayaram-ors-vs-bangalore-development-authority-405598.pdf" TargetMode="External"/><Relationship Id="rId30" Type="http://schemas.openxmlformats.org/officeDocument/2006/relationships/hyperlink" Target="https://indiankanoon.org/doc/1186368/" TargetMode="External"/><Relationship Id="rId35" Type="http://schemas.openxmlformats.org/officeDocument/2006/relationships/hyperlink" Target="https://indiankanoon.org/doc/156665259/" TargetMode="External"/><Relationship Id="rId43" Type="http://schemas.openxmlformats.org/officeDocument/2006/relationships/hyperlink" Target="https://juriscentre.com/2023/02/11/analysis-of-art-32-of-the-constitution-of-india-right-to-constitutional-remedies/" TargetMode="External"/><Relationship Id="rId48" Type="http://schemas.openxmlformats.org/officeDocument/2006/relationships/hyperlink" Target="https://blog.ipleaders.in/difference-article-32-article-226/"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blog.ipleaders.in/difference-article-32-article-226/" TargetMode="External"/><Relationship Id="rId3" Type="http://schemas.openxmlformats.org/officeDocument/2006/relationships/numbering" Target="numbering.xml"/><Relationship Id="rId12" Type="http://schemas.openxmlformats.org/officeDocument/2006/relationships/hyperlink" Target="http://www.sciencepub.net/researcher" TargetMode="External"/><Relationship Id="rId17" Type="http://schemas.openxmlformats.org/officeDocument/2006/relationships/footer" Target="footer2.xml"/><Relationship Id="rId25" Type="http://schemas.openxmlformats.org/officeDocument/2006/relationships/hyperlink" Target="https://www.indiacode.nic.in/show-data?actid=AC_CEN_3_20_00051_190805_1523340333624&amp;sectionId=33344&amp;sectionno=11&amp;orderno=11" TargetMode="External"/><Relationship Id="rId33" Type="http://schemas.openxmlformats.org/officeDocument/2006/relationships/hyperlink" Target="https://indiankanoon.org/doc/1594774/" TargetMode="External"/><Relationship Id="rId38" Type="http://schemas.openxmlformats.org/officeDocument/2006/relationships/hyperlink" Target="https://indiankanoon.org/doc/143432097/" TargetMode="External"/><Relationship Id="rId46" Type="http://schemas.openxmlformats.org/officeDocument/2006/relationships/hyperlink" Target="https://juriscentre.com/2023/02/11/analysis-of-art-32-of-the-constitution-of-india-right-to-constitutional-remedies/" TargetMode="External"/><Relationship Id="rId20" Type="http://schemas.openxmlformats.org/officeDocument/2006/relationships/hyperlink" Target="https://indiankanoon.org/doc/92001156/" TargetMode="External"/><Relationship Id="rId41" Type="http://schemas.openxmlformats.org/officeDocument/2006/relationships/hyperlink" Target="https://www.law.cornell.edu/rules/frap" TargetMode="External"/><Relationship Id="rId54" Type="http://schemas.openxmlformats.org/officeDocument/2006/relationships/hyperlink" Target="https://juriscentre.com/2023/02/11/analysis-of-art-32-of-the-constitution-of-india-right-to-constitutional-remedie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indiankanoon.org/doc/74798333/" TargetMode="External"/><Relationship Id="rId28" Type="http://schemas.openxmlformats.org/officeDocument/2006/relationships/hyperlink" Target="https://indiankanoon.org/doc/1009743/" TargetMode="External"/><Relationship Id="rId36" Type="http://schemas.openxmlformats.org/officeDocument/2006/relationships/hyperlink" Target="https://indiankanoon.org/doc/1011294/" TargetMode="External"/><Relationship Id="rId49" Type="http://schemas.openxmlformats.org/officeDocument/2006/relationships/hyperlink" Target="https://juriscentre.com/2023/02/11/analysis-of-art-32-of-the-constitution-of-india-right-to-constitutional-remedies/" TargetMode="External"/><Relationship Id="rId57" Type="http://schemas.openxmlformats.org/officeDocument/2006/relationships/theme" Target="theme/theme1.xml"/><Relationship Id="rId10" Type="http://schemas.openxmlformats.org/officeDocument/2006/relationships/hyperlink" Target="https://indiankanoon.org/doc/165179815/" TargetMode="External"/><Relationship Id="rId31" Type="http://schemas.openxmlformats.org/officeDocument/2006/relationships/hyperlink" Target="https://indiankanoon.org/doc/174330810/" TargetMode="External"/><Relationship Id="rId44" Type="http://schemas.openxmlformats.org/officeDocument/2006/relationships/hyperlink" Target="https://libertatem.in/articles/why-is-article-32-of-the-constitution-of-india-regarded-as-the-heart-and-soul-of-the-indian-constitution/" TargetMode="External"/><Relationship Id="rId52" Type="http://schemas.openxmlformats.org/officeDocument/2006/relationships/hyperlink" Target="https://juriscentre.com/2023/02/11/analysis-of-art-32-of-the-constitution-of-india-right-to-constitutional-remedi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427B528-23C3-4CBC-B245-B26ED8D96E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5353</Words>
  <Characters>30515</Characters>
  <Application>Microsoft Office Word</Application>
  <DocSecurity>0</DocSecurity>
  <Lines>254</Lines>
  <Paragraphs>71</Paragraphs>
  <ScaleCrop>false</ScaleCrop>
  <Company/>
  <LinksUpToDate>false</LinksUpToDate>
  <CharactersWithSpaces>35797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6</cp:revision>
  <dcterms:created xsi:type="dcterms:W3CDTF">2023-03-24T01:19:00Z</dcterms:created>
  <dcterms:modified xsi:type="dcterms:W3CDTF">2023-03-29T22:45:00Z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833EA56EC922470FACF034259449F74C</vt:lpwstr>
  </property>
</Properties>
</file>