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42" w:rsidRDefault="004F3F42">
      <w:pPr>
        <w:jc w:val="center"/>
        <w:rPr>
          <w:b/>
          <w:sz w:val="20"/>
          <w:szCs w:val="20"/>
        </w:rPr>
      </w:pPr>
    </w:p>
    <w:p w:rsidR="004F3F42" w:rsidRDefault="009A1E75">
      <w:pPr>
        <w:jc w:val="center"/>
        <w:rPr>
          <w:sz w:val="20"/>
          <w:szCs w:val="20"/>
          <w:lang w:eastAsia="zh-CN"/>
        </w:rPr>
      </w:pPr>
      <w:r>
        <w:rPr>
          <w:b/>
          <w:sz w:val="20"/>
          <w:szCs w:val="20"/>
        </w:rPr>
        <w:t>Modelling Carbon Stock In Sawn Logs Of Some Commercial Tree Species In Ilaobuachi Sawmill, Rivers State, Nigeria</w:t>
      </w:r>
    </w:p>
    <w:p w:rsidR="004F3F42" w:rsidRDefault="004F3F42">
      <w:pPr>
        <w:jc w:val="center"/>
        <w:rPr>
          <w:sz w:val="20"/>
          <w:szCs w:val="20"/>
          <w:lang w:eastAsia="zh-CN"/>
        </w:rPr>
      </w:pPr>
    </w:p>
    <w:p w:rsidR="004F3F42" w:rsidRDefault="009A1E75">
      <w:pPr>
        <w:jc w:val="center"/>
        <w:rPr>
          <w:sz w:val="20"/>
          <w:szCs w:val="20"/>
        </w:rPr>
      </w:pPr>
      <w:r>
        <w:rPr>
          <w:sz w:val="20"/>
          <w:szCs w:val="20"/>
        </w:rPr>
        <w:t>Amadi</w:t>
      </w:r>
      <w:r w:rsidR="009163CC">
        <w:rPr>
          <w:sz w:val="20"/>
          <w:szCs w:val="20"/>
        </w:rPr>
        <w:t xml:space="preserve"> </w:t>
      </w:r>
      <w:r>
        <w:rPr>
          <w:sz w:val="20"/>
          <w:szCs w:val="20"/>
        </w:rPr>
        <w:t xml:space="preserve">Ihuoma, </w:t>
      </w:r>
      <w:r w:rsidR="009163CC">
        <w:rPr>
          <w:sz w:val="20"/>
          <w:szCs w:val="20"/>
        </w:rPr>
        <w:t>Eguakun</w:t>
      </w:r>
      <w:r w:rsidR="000209DD">
        <w:rPr>
          <w:sz w:val="20"/>
          <w:szCs w:val="20"/>
        </w:rPr>
        <w:t xml:space="preserve"> Funmilayo Sarah, Oyebade, Bukola</w:t>
      </w:r>
      <w:r w:rsidR="009163CC">
        <w:rPr>
          <w:sz w:val="20"/>
          <w:szCs w:val="20"/>
        </w:rPr>
        <w:t xml:space="preserve"> </w:t>
      </w:r>
      <w:r w:rsidR="000209DD">
        <w:rPr>
          <w:sz w:val="20"/>
          <w:szCs w:val="20"/>
        </w:rPr>
        <w:t>Amoo</w:t>
      </w:r>
      <w:r>
        <w:rPr>
          <w:sz w:val="20"/>
          <w:szCs w:val="20"/>
        </w:rPr>
        <w:t>.</w:t>
      </w:r>
    </w:p>
    <w:p w:rsidR="004F3F42" w:rsidRDefault="004F3F42" w:rsidP="000209DD">
      <w:pPr>
        <w:snapToGrid w:val="0"/>
        <w:rPr>
          <w:sz w:val="20"/>
          <w:szCs w:val="20"/>
        </w:rPr>
      </w:pPr>
    </w:p>
    <w:p w:rsidR="004F3F42" w:rsidRDefault="009A1E75">
      <w:pPr>
        <w:snapToGrid w:val="0"/>
        <w:ind w:left="720"/>
        <w:rPr>
          <w:sz w:val="20"/>
          <w:szCs w:val="20"/>
        </w:rPr>
      </w:pPr>
      <w:r>
        <w:rPr>
          <w:sz w:val="20"/>
          <w:szCs w:val="20"/>
        </w:rPr>
        <w:t xml:space="preserve">Department of </w:t>
      </w:r>
      <w:r w:rsidR="009163CC">
        <w:rPr>
          <w:sz w:val="20"/>
          <w:szCs w:val="20"/>
        </w:rPr>
        <w:t xml:space="preserve"> </w:t>
      </w:r>
      <w:r>
        <w:rPr>
          <w:sz w:val="20"/>
          <w:szCs w:val="20"/>
        </w:rPr>
        <w:t xml:space="preserve">Forestry and Wildlife Management, </w:t>
      </w:r>
      <w:r w:rsidR="009163CC">
        <w:rPr>
          <w:sz w:val="20"/>
          <w:szCs w:val="20"/>
        </w:rPr>
        <w:t xml:space="preserve"> </w:t>
      </w:r>
      <w:r>
        <w:rPr>
          <w:sz w:val="20"/>
          <w:szCs w:val="20"/>
        </w:rPr>
        <w:t>Faculty of Agriculture. University of Port Harcourt</w:t>
      </w:r>
    </w:p>
    <w:p w:rsidR="004F3F42" w:rsidRDefault="00547315">
      <w:pPr>
        <w:snapToGrid w:val="0"/>
        <w:jc w:val="center"/>
        <w:rPr>
          <w:color w:val="000000"/>
        </w:rPr>
      </w:pPr>
      <w:hyperlink r:id="rId8" w:history="1">
        <w:r w:rsidR="009A1E75">
          <w:rPr>
            <w:rStyle w:val="Hyperlink"/>
            <w:sz w:val="20"/>
            <w:szCs w:val="20"/>
          </w:rPr>
          <w:t>funmilayo.popo-ola@uniport.edu.ng</w:t>
        </w:r>
      </w:hyperlink>
      <w:bookmarkStart w:id="0" w:name="_GoBack"/>
      <w:bookmarkEnd w:id="0"/>
    </w:p>
    <w:p w:rsidR="004F3F42" w:rsidRDefault="004F3F42">
      <w:pPr>
        <w:jc w:val="center"/>
        <w:rPr>
          <w:sz w:val="20"/>
          <w:szCs w:val="20"/>
        </w:rPr>
      </w:pPr>
    </w:p>
    <w:p w:rsidR="004F3F42" w:rsidRDefault="009A1E75">
      <w:pPr>
        <w:jc w:val="both"/>
        <w:rPr>
          <w:sz w:val="20"/>
          <w:szCs w:val="20"/>
        </w:rPr>
      </w:pPr>
      <w:r>
        <w:rPr>
          <w:b/>
          <w:sz w:val="20"/>
          <w:szCs w:val="20"/>
        </w:rPr>
        <w:t xml:space="preserve">Abstract: </w:t>
      </w:r>
      <w:r>
        <w:rPr>
          <w:sz w:val="20"/>
          <w:szCs w:val="20"/>
        </w:rPr>
        <w:t xml:space="preserve">Forest management has both positive and negative varieties of effects on carbon stock. Carbon stock assessment is a basis for modelling carbon productivity in trees. This study </w:t>
      </w:r>
      <w:r>
        <w:rPr>
          <w:bCs/>
          <w:iCs/>
          <w:sz w:val="20"/>
          <w:szCs w:val="20"/>
        </w:rPr>
        <w:t xml:space="preserve">develops </w:t>
      </w:r>
      <w:r>
        <w:rPr>
          <w:color w:val="000000"/>
          <w:sz w:val="20"/>
          <w:szCs w:val="20"/>
        </w:rPr>
        <w:t xml:space="preserve">models for predicting carbon stock of some commercial tree species in Ilaobuachi Sawmill, Rivers State, Nigeria. Data was obtained from </w:t>
      </w:r>
      <w:r w:rsidR="009163CC">
        <w:rPr>
          <w:color w:val="000000"/>
          <w:sz w:val="20"/>
          <w:szCs w:val="20"/>
        </w:rPr>
        <w:t>sixteen commonly</w:t>
      </w:r>
      <w:r>
        <w:rPr>
          <w:color w:val="000000"/>
          <w:sz w:val="20"/>
          <w:szCs w:val="20"/>
        </w:rPr>
        <w:t xml:space="preserve"> sawn log</w:t>
      </w:r>
      <w:r>
        <w:rPr>
          <w:sz w:val="20"/>
          <w:szCs w:val="20"/>
        </w:rPr>
        <w:t xml:space="preserve"> species with dbh ≥ 50cm base on their abundance. Correlation analysis was used to determine the degree of association between carbon stored and other measured variables. Different regression functions were used to develop the carbon stock model. Statistics such as Coefficient of determination (R</w:t>
      </w:r>
      <w:r>
        <w:rPr>
          <w:sz w:val="20"/>
          <w:szCs w:val="20"/>
          <w:vertAlign w:val="superscript"/>
        </w:rPr>
        <w:t>2</w:t>
      </w:r>
      <w:r>
        <w:rPr>
          <w:color w:val="000000"/>
          <w:sz w:val="20"/>
          <w:szCs w:val="20"/>
        </w:rPr>
        <w:t>), Root Mean Square Error (</w:t>
      </w:r>
      <w:r>
        <w:rPr>
          <w:sz w:val="20"/>
          <w:szCs w:val="20"/>
        </w:rPr>
        <w:t xml:space="preserve">RMSE), </w:t>
      </w:r>
      <w:r>
        <w:rPr>
          <w:color w:val="000000"/>
          <w:sz w:val="20"/>
          <w:szCs w:val="20"/>
        </w:rPr>
        <w:t xml:space="preserve">Akaike Information Criterion (AIC) and </w:t>
      </w:r>
      <w:r>
        <w:rPr>
          <w:sz w:val="20"/>
          <w:szCs w:val="20"/>
        </w:rPr>
        <w:t>Mean Absolute Percentage Error (MAPE) were used to test the accuracy of model. Five hundred and twenty eight logs of 16 species had diameter ranging from 0.71 cm to 1.10 cm. Basic wood density ranged from 0.39 cm</w:t>
      </w:r>
      <w:r>
        <w:rPr>
          <w:sz w:val="20"/>
          <w:szCs w:val="20"/>
          <w:vertAlign w:val="superscript"/>
        </w:rPr>
        <w:t>−3</w:t>
      </w:r>
      <w:r>
        <w:rPr>
          <w:sz w:val="20"/>
          <w:szCs w:val="20"/>
        </w:rPr>
        <w:t xml:space="preserve"> to 0.76 g cm</w:t>
      </w:r>
      <w:r>
        <w:rPr>
          <w:sz w:val="20"/>
          <w:szCs w:val="20"/>
          <w:vertAlign w:val="superscript"/>
        </w:rPr>
        <w:t>−3</w:t>
      </w:r>
      <w:r>
        <w:rPr>
          <w:sz w:val="20"/>
          <w:szCs w:val="20"/>
        </w:rPr>
        <w:t xml:space="preserve"> with an average of 0.54 g cm</w:t>
      </w:r>
      <w:r>
        <w:rPr>
          <w:sz w:val="20"/>
          <w:szCs w:val="20"/>
          <w:vertAlign w:val="superscript"/>
        </w:rPr>
        <w:t>−3</w:t>
      </w:r>
      <w:r>
        <w:rPr>
          <w:sz w:val="20"/>
          <w:szCs w:val="20"/>
        </w:rPr>
        <w:t>. The logs had an average volume of 7.99 m</w:t>
      </w:r>
      <w:r>
        <w:rPr>
          <w:sz w:val="20"/>
          <w:szCs w:val="20"/>
          <w:vertAlign w:val="superscript"/>
        </w:rPr>
        <w:t>3</w:t>
      </w:r>
      <w:r>
        <w:rPr>
          <w:sz w:val="20"/>
          <w:szCs w:val="20"/>
        </w:rPr>
        <w:t xml:space="preserve"> and carbon stock of 2.18 MgC. Diameter, volume, biomass had a strong positive relationship with carbon stored hence were good predictor of carbon stored. Among the regression </w:t>
      </w:r>
      <w:r w:rsidR="009163CC">
        <w:rPr>
          <w:sz w:val="20"/>
          <w:szCs w:val="20"/>
        </w:rPr>
        <w:t>functions</w:t>
      </w:r>
      <w:r>
        <w:rPr>
          <w:sz w:val="20"/>
          <w:szCs w:val="20"/>
        </w:rPr>
        <w:t xml:space="preserve"> tested, semi log function was selected as the best to predict carbon stored. Species that retain low amounts of carbon should be allowed to remain in the forest, thereby avoiding low sawmill yield hence fulfilling environmental functions.</w:t>
      </w:r>
      <w:r>
        <w:rPr>
          <w:color w:val="000000"/>
          <w:sz w:val="20"/>
          <w:szCs w:val="20"/>
        </w:rPr>
        <w:t xml:space="preserve"> [</w:t>
      </w:r>
      <w:r w:rsidR="000209DD">
        <w:rPr>
          <w:sz w:val="20"/>
          <w:szCs w:val="20"/>
        </w:rPr>
        <w:t>Amadi I</w:t>
      </w:r>
      <w:r>
        <w:rPr>
          <w:sz w:val="20"/>
          <w:szCs w:val="20"/>
        </w:rPr>
        <w:t>, Eguakun, F. S</w:t>
      </w:r>
      <w:r w:rsidR="000209DD">
        <w:rPr>
          <w:sz w:val="20"/>
          <w:szCs w:val="20"/>
        </w:rPr>
        <w:t>, Oyebade, B. A</w:t>
      </w:r>
      <w:r>
        <w:rPr>
          <w:sz w:val="20"/>
          <w:szCs w:val="20"/>
        </w:rPr>
        <w:t xml:space="preserve">.  </w:t>
      </w:r>
      <w:r>
        <w:rPr>
          <w:b/>
          <w:sz w:val="20"/>
          <w:szCs w:val="20"/>
        </w:rPr>
        <w:t>Modelling Carbon Stock In Sawn Logs Of Some Commercial Tree Species In Ilaobuachi Sawmill, Rivers State, Nigeria</w:t>
      </w:r>
      <w:r>
        <w:rPr>
          <w:sz w:val="20"/>
          <w:szCs w:val="20"/>
        </w:rPr>
        <w:t>,</w:t>
      </w:r>
      <w:r w:rsidR="00907EAD">
        <w:rPr>
          <w:sz w:val="20"/>
          <w:szCs w:val="20"/>
        </w:rPr>
        <w:t xml:space="preserve"> </w:t>
      </w:r>
      <w:r>
        <w:rPr>
          <w:i/>
          <w:sz w:val="20"/>
          <w:szCs w:val="20"/>
        </w:rPr>
        <w:t>Researcher</w:t>
      </w:r>
      <w:r>
        <w:rPr>
          <w:sz w:val="20"/>
          <w:szCs w:val="20"/>
        </w:rPr>
        <w:t xml:space="preserve"> 20</w:t>
      </w:r>
      <w:r>
        <w:rPr>
          <w:sz w:val="20"/>
          <w:szCs w:val="20"/>
          <w:lang w:eastAsia="zh-CN"/>
        </w:rPr>
        <w:t>23</w:t>
      </w:r>
      <w:r>
        <w:rPr>
          <w:sz w:val="20"/>
          <w:szCs w:val="20"/>
        </w:rPr>
        <w:t>;</w:t>
      </w:r>
      <w:r>
        <w:rPr>
          <w:sz w:val="20"/>
          <w:szCs w:val="20"/>
          <w:lang w:eastAsia="zh-CN"/>
        </w:rPr>
        <w:t>15</w:t>
      </w:r>
      <w:r>
        <w:rPr>
          <w:sz w:val="20"/>
          <w:szCs w:val="20"/>
        </w:rPr>
        <w:t>(</w:t>
      </w:r>
      <w:r>
        <w:rPr>
          <w:rFonts w:hint="eastAsia"/>
          <w:sz w:val="20"/>
          <w:szCs w:val="20"/>
          <w:lang w:eastAsia="zh-CN"/>
        </w:rPr>
        <w:t>7</w:t>
      </w:r>
      <w:r>
        <w:rPr>
          <w:sz w:val="20"/>
          <w:szCs w:val="20"/>
        </w:rPr>
        <w:t>):</w:t>
      </w:r>
      <w:r>
        <w:rPr>
          <w:rFonts w:hint="eastAsia"/>
          <w:sz w:val="20"/>
          <w:szCs w:val="20"/>
          <w:lang w:eastAsia="zh-CN"/>
        </w:rPr>
        <w:t>29</w:t>
      </w:r>
      <w:r>
        <w:rPr>
          <w:sz w:val="20"/>
          <w:szCs w:val="20"/>
        </w:rPr>
        <w:t>-</w:t>
      </w:r>
      <w:r>
        <w:rPr>
          <w:rFonts w:hint="eastAsia"/>
          <w:sz w:val="20"/>
          <w:szCs w:val="20"/>
          <w:lang w:eastAsia="zh-CN"/>
        </w:rPr>
        <w:t>37</w:t>
      </w:r>
      <w:r>
        <w:rPr>
          <w:sz w:val="20"/>
          <w:szCs w:val="20"/>
        </w:rPr>
        <w:t xml:space="preserve">]. ISSN 1553-9865 (print); ISSN 2163-8950 (online). </w:t>
      </w:r>
      <w:hyperlink r:id="rId9" w:history="1">
        <w:r>
          <w:rPr>
            <w:rStyle w:val="Hyperlink"/>
            <w:sz w:val="20"/>
            <w:szCs w:val="20"/>
          </w:rPr>
          <w:t>http://www.sciencepub.net/researcher</w:t>
        </w:r>
      </w:hyperlink>
      <w:r>
        <w:rPr>
          <w:sz w:val="20"/>
          <w:szCs w:val="20"/>
        </w:rPr>
        <w:t xml:space="preserve">. </w:t>
      </w:r>
      <w:r>
        <w:rPr>
          <w:sz w:val="20"/>
          <w:szCs w:val="20"/>
          <w:lang w:eastAsia="zh-CN"/>
        </w:rPr>
        <w:t>0</w:t>
      </w:r>
      <w:r>
        <w:rPr>
          <w:rFonts w:eastAsia="DengXian" w:hint="eastAsia"/>
          <w:sz w:val="20"/>
          <w:szCs w:val="20"/>
          <w:shd w:val="clear" w:color="auto" w:fill="FFFFFF"/>
          <w:lang w:eastAsia="zh-CN"/>
        </w:rPr>
        <w:t>4</w:t>
      </w:r>
      <w:r>
        <w:rPr>
          <w:rFonts w:eastAsia="DengXian"/>
          <w:sz w:val="20"/>
          <w:szCs w:val="20"/>
          <w:shd w:val="clear" w:color="auto" w:fill="FFFFFF"/>
          <w:lang w:eastAsia="zh-CN"/>
        </w:rPr>
        <w:t>.</w:t>
      </w:r>
      <w:r>
        <w:rPr>
          <w:rFonts w:eastAsia="DengXian"/>
          <w:sz w:val="20"/>
          <w:szCs w:val="20"/>
          <w:shd w:val="clear" w:color="auto" w:fill="FFFFFF"/>
          <w:lang w:eastAsia="en-US"/>
        </w:rPr>
        <w:t>doi</w:t>
      </w:r>
      <w:r>
        <w:rPr>
          <w:sz w:val="20"/>
          <w:szCs w:val="20"/>
        </w:rPr>
        <w:t>:</w:t>
      </w:r>
      <w:hyperlink r:id="rId10" w:history="1">
        <w:r>
          <w:rPr>
            <w:rStyle w:val="Hyperlink"/>
            <w:sz w:val="20"/>
            <w:szCs w:val="20"/>
          </w:rPr>
          <w:t>10.7537/marsrsj15072</w:t>
        </w:r>
      </w:hyperlink>
      <w:r>
        <w:rPr>
          <w:rStyle w:val="Hyperlink"/>
          <w:sz w:val="20"/>
          <w:szCs w:val="20"/>
          <w:lang w:eastAsia="zh-CN"/>
        </w:rPr>
        <w:t>3</w:t>
      </w:r>
      <w:r>
        <w:rPr>
          <w:rStyle w:val="Hyperlink"/>
          <w:sz w:val="20"/>
          <w:szCs w:val="20"/>
        </w:rPr>
        <w:t>.</w:t>
      </w:r>
      <w:r>
        <w:rPr>
          <w:rStyle w:val="Hyperlink"/>
          <w:sz w:val="20"/>
          <w:szCs w:val="20"/>
          <w:lang w:eastAsia="zh-CN"/>
        </w:rPr>
        <w:t>0</w:t>
      </w:r>
      <w:r>
        <w:rPr>
          <w:rStyle w:val="Hyperlink"/>
          <w:rFonts w:hint="eastAsia"/>
          <w:sz w:val="20"/>
          <w:szCs w:val="20"/>
          <w:lang w:eastAsia="zh-CN"/>
        </w:rPr>
        <w:t>4</w:t>
      </w:r>
      <w:r>
        <w:rPr>
          <w:rStyle w:val="Hyperlink"/>
          <w:sz w:val="20"/>
          <w:szCs w:val="20"/>
        </w:rPr>
        <w:t>.</w:t>
      </w:r>
    </w:p>
    <w:p w:rsidR="004F3F42" w:rsidRDefault="004F3F42">
      <w:pPr>
        <w:jc w:val="both"/>
        <w:rPr>
          <w:sz w:val="20"/>
          <w:szCs w:val="20"/>
        </w:rPr>
      </w:pPr>
    </w:p>
    <w:p w:rsidR="004F3F42" w:rsidRDefault="009A1E75">
      <w:pPr>
        <w:jc w:val="both"/>
        <w:rPr>
          <w:sz w:val="20"/>
          <w:szCs w:val="20"/>
        </w:rPr>
      </w:pPr>
      <w:r>
        <w:rPr>
          <w:b/>
          <w:sz w:val="20"/>
          <w:szCs w:val="20"/>
        </w:rPr>
        <w:t xml:space="preserve">Keywords: </w:t>
      </w:r>
      <w:r>
        <w:rPr>
          <w:color w:val="000000"/>
          <w:sz w:val="20"/>
          <w:szCs w:val="20"/>
        </w:rPr>
        <w:t>Models, Sawn log, Timber, Sawmill, Carbon stock</w:t>
      </w:r>
    </w:p>
    <w:p w:rsidR="004F3F42" w:rsidRDefault="004F3F42">
      <w:pPr>
        <w:jc w:val="both"/>
        <w:rPr>
          <w:b/>
          <w:sz w:val="20"/>
          <w:szCs w:val="20"/>
        </w:rPr>
      </w:pPr>
    </w:p>
    <w:p w:rsidR="004F3F42" w:rsidRDefault="004F3F42">
      <w:pPr>
        <w:jc w:val="both"/>
        <w:rPr>
          <w:b/>
          <w:sz w:val="20"/>
          <w:szCs w:val="20"/>
        </w:rPr>
        <w:sectPr w:rsidR="004F3F42">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29"/>
          <w:cols w:space="720"/>
          <w:titlePg/>
          <w:docGrid w:linePitch="360"/>
        </w:sectPr>
      </w:pPr>
    </w:p>
    <w:p w:rsidR="004F3F42" w:rsidRDefault="009A1E75">
      <w:pPr>
        <w:jc w:val="both"/>
        <w:rPr>
          <w:b/>
          <w:sz w:val="20"/>
          <w:szCs w:val="20"/>
        </w:rPr>
      </w:pPr>
      <w:r>
        <w:rPr>
          <w:b/>
          <w:sz w:val="20"/>
          <w:szCs w:val="20"/>
        </w:rPr>
        <w:lastRenderedPageBreak/>
        <w:t>1. Introduction</w:t>
      </w:r>
    </w:p>
    <w:p w:rsidR="004F3F42" w:rsidRDefault="009A1E75">
      <w:pPr>
        <w:autoSpaceDE w:val="0"/>
        <w:autoSpaceDN w:val="0"/>
        <w:adjustRightInd w:val="0"/>
        <w:ind w:firstLine="720"/>
        <w:jc w:val="both"/>
        <w:rPr>
          <w:b/>
          <w:bCs/>
          <w:sz w:val="20"/>
          <w:szCs w:val="20"/>
        </w:rPr>
      </w:pPr>
      <w:r>
        <w:rPr>
          <w:sz w:val="20"/>
          <w:szCs w:val="20"/>
        </w:rPr>
        <w:t>Globally, climate change is a problem that is already affecting biodiversity and the human economy. Although forest ecosystem helps to mitigate the effects of climate change, many people are dependent on forest resources for their subsistence.</w:t>
      </w:r>
      <w:r>
        <w:rPr>
          <w:bCs/>
          <w:sz w:val="20"/>
          <w:szCs w:val="20"/>
        </w:rPr>
        <w:t>F</w:t>
      </w:r>
      <w:r>
        <w:rPr>
          <w:sz w:val="20"/>
          <w:szCs w:val="20"/>
        </w:rPr>
        <w:t>orest resources offer the opportunity to harvest a variety of products, depending on timber quality and quantity, harvest economics, and market availability. Among these products are sawn logs for lumber or plywood, peeler logs for plywood, pulpwood, fuel wood, poles, piling, and posts. Harvesting and the use of harvested wood products play an important role in reducing carbon emissions along with good management for healthy forests (IPCC, 2001). However, the amount of carbon from a tree that is ultimately stored in wood product differs significantly depending on harvesting practices and stand characteristics. Sustainable forest management with accurate dimension of the carbon stock is essential to mitigate the greenhouse gas emissions that drive global climate change. Estimation of carbon stock at various scales requires application of methods that requires measure specific. These techniques can range from field inventories include field measurements, statistical model estimates, and physical model inversions based on field measured data.</w:t>
      </w:r>
    </w:p>
    <w:p w:rsidR="004F3F42" w:rsidRDefault="009A1E75">
      <w:pPr>
        <w:autoSpaceDE w:val="0"/>
        <w:autoSpaceDN w:val="0"/>
        <w:adjustRightInd w:val="0"/>
        <w:ind w:firstLine="720"/>
        <w:jc w:val="both"/>
        <w:rPr>
          <w:b/>
          <w:bCs/>
          <w:sz w:val="20"/>
          <w:szCs w:val="20"/>
        </w:rPr>
      </w:pPr>
      <w:r>
        <w:rPr>
          <w:sz w:val="20"/>
          <w:szCs w:val="20"/>
        </w:rPr>
        <w:lastRenderedPageBreak/>
        <w:t>One vital constituent of the global carbon cycle is the forest ecosystem which sequester atmospheric carbon dioxide (CO</w:t>
      </w:r>
      <w:r>
        <w:rPr>
          <w:sz w:val="20"/>
          <w:szCs w:val="20"/>
          <w:vertAlign w:val="subscript"/>
        </w:rPr>
        <w:t>2</w:t>
      </w:r>
      <w:r>
        <w:rPr>
          <w:sz w:val="20"/>
          <w:szCs w:val="20"/>
        </w:rPr>
        <w:t>) by the process of photosynthesis (</w:t>
      </w:r>
      <w:hyperlink r:id="rId16" w:anchor="B27" w:history="1">
        <w:r>
          <w:rPr>
            <w:rStyle w:val="Hyperlink"/>
            <w:color w:val="auto"/>
            <w:sz w:val="20"/>
            <w:szCs w:val="20"/>
            <w:u w:val="none"/>
          </w:rPr>
          <w:t xml:space="preserve">Harris </w:t>
        </w:r>
        <w:r w:rsidRPr="009163CC">
          <w:rPr>
            <w:rStyle w:val="Hyperlink"/>
            <w:i/>
            <w:color w:val="auto"/>
            <w:sz w:val="20"/>
            <w:szCs w:val="20"/>
            <w:u w:val="none"/>
          </w:rPr>
          <w:t>et al</w:t>
        </w:r>
        <w:r>
          <w:rPr>
            <w:rStyle w:val="Hyperlink"/>
            <w:color w:val="auto"/>
            <w:sz w:val="20"/>
            <w:szCs w:val="20"/>
            <w:u w:val="none"/>
          </w:rPr>
          <w:t>., 2021</w:t>
        </w:r>
      </w:hyperlink>
      <w:r>
        <w:rPr>
          <w:sz w:val="20"/>
          <w:szCs w:val="20"/>
        </w:rPr>
        <w:t xml:space="preserve">; </w:t>
      </w:r>
      <w:hyperlink r:id="rId17" w:anchor="B45" w:history="1">
        <w:r>
          <w:rPr>
            <w:rStyle w:val="Hyperlink"/>
            <w:color w:val="auto"/>
            <w:sz w:val="20"/>
            <w:szCs w:val="20"/>
            <w:u w:val="none"/>
          </w:rPr>
          <w:t xml:space="preserve">Nolan </w:t>
        </w:r>
        <w:r w:rsidRPr="009163CC">
          <w:rPr>
            <w:rStyle w:val="Hyperlink"/>
            <w:i/>
            <w:color w:val="auto"/>
            <w:sz w:val="20"/>
            <w:szCs w:val="20"/>
            <w:u w:val="none"/>
          </w:rPr>
          <w:t>et al</w:t>
        </w:r>
        <w:r>
          <w:rPr>
            <w:rStyle w:val="Hyperlink"/>
            <w:color w:val="auto"/>
            <w:sz w:val="20"/>
            <w:szCs w:val="20"/>
            <w:u w:val="none"/>
          </w:rPr>
          <w:t>., 2021</w:t>
        </w:r>
      </w:hyperlink>
      <w:r>
        <w:rPr>
          <w:sz w:val="20"/>
          <w:szCs w:val="20"/>
        </w:rPr>
        <w:t xml:space="preserve">). According to the report of </w:t>
      </w:r>
      <w:hyperlink r:id="rId18" w:anchor="B47" w:history="1">
        <w:r>
          <w:rPr>
            <w:rStyle w:val="Hyperlink"/>
            <w:color w:val="auto"/>
            <w:sz w:val="20"/>
            <w:szCs w:val="20"/>
            <w:u w:val="none"/>
          </w:rPr>
          <w:t xml:space="preserve">Pan </w:t>
        </w:r>
        <w:r w:rsidRPr="009163CC">
          <w:rPr>
            <w:rStyle w:val="Hyperlink"/>
            <w:i/>
            <w:color w:val="auto"/>
            <w:sz w:val="20"/>
            <w:szCs w:val="20"/>
            <w:u w:val="none"/>
          </w:rPr>
          <w:t>et al</w:t>
        </w:r>
        <w:r>
          <w:rPr>
            <w:rStyle w:val="Hyperlink"/>
            <w:color w:val="auto"/>
            <w:sz w:val="20"/>
            <w:szCs w:val="20"/>
            <w:u w:val="none"/>
          </w:rPr>
          <w:t>. (2011)</w:t>
        </w:r>
      </w:hyperlink>
      <w:r>
        <w:rPr>
          <w:sz w:val="20"/>
          <w:szCs w:val="20"/>
        </w:rPr>
        <w:t>, global forest ecosystems creates the largest carbon pool in the terrestrial biosphere and stores 861 ± 66 Pg carbon (C) with a sink rate of 2.4 ± 0.4 Pg C per year. Natural or anthropogenic occurrences such as wildfire and harvesting can directly remove the carbon from forest ecosystems (</w:t>
      </w:r>
      <w:hyperlink r:id="rId19" w:anchor="B54" w:history="1">
        <w:r>
          <w:rPr>
            <w:rStyle w:val="Hyperlink"/>
            <w:color w:val="auto"/>
            <w:sz w:val="20"/>
            <w:szCs w:val="20"/>
            <w:u w:val="none"/>
          </w:rPr>
          <w:t xml:space="preserve">Seidl </w:t>
        </w:r>
        <w:r w:rsidRPr="009163CC">
          <w:rPr>
            <w:rStyle w:val="Hyperlink"/>
            <w:i/>
            <w:color w:val="auto"/>
            <w:sz w:val="20"/>
            <w:szCs w:val="20"/>
            <w:u w:val="none"/>
          </w:rPr>
          <w:t>et al</w:t>
        </w:r>
        <w:r>
          <w:rPr>
            <w:rStyle w:val="Hyperlink"/>
            <w:color w:val="auto"/>
            <w:sz w:val="20"/>
            <w:szCs w:val="20"/>
            <w:u w:val="none"/>
          </w:rPr>
          <w:t>., 2014</w:t>
        </w:r>
      </w:hyperlink>
      <w:r>
        <w:rPr>
          <w:sz w:val="20"/>
          <w:szCs w:val="20"/>
        </w:rPr>
        <w:t>). Timber harvesting moves the carbon from forest ecosystems to sawn wood products (</w:t>
      </w:r>
      <w:hyperlink r:id="rId20" w:anchor="B11" w:history="1">
        <w:r>
          <w:rPr>
            <w:rStyle w:val="Hyperlink"/>
            <w:color w:val="auto"/>
            <w:sz w:val="20"/>
            <w:szCs w:val="20"/>
            <w:u w:val="none"/>
          </w:rPr>
          <w:t xml:space="preserve">Brunet-Navarro </w:t>
        </w:r>
        <w:r w:rsidRPr="009163CC">
          <w:rPr>
            <w:rStyle w:val="Hyperlink"/>
            <w:i/>
            <w:color w:val="auto"/>
            <w:sz w:val="20"/>
            <w:szCs w:val="20"/>
            <w:u w:val="none"/>
          </w:rPr>
          <w:t>et al</w:t>
        </w:r>
        <w:r>
          <w:rPr>
            <w:rStyle w:val="Hyperlink"/>
            <w:color w:val="auto"/>
            <w:sz w:val="20"/>
            <w:szCs w:val="20"/>
            <w:u w:val="none"/>
          </w:rPr>
          <w:t>., 2017</w:t>
        </w:r>
      </w:hyperlink>
      <w:r>
        <w:rPr>
          <w:sz w:val="20"/>
          <w:szCs w:val="20"/>
        </w:rPr>
        <w:t xml:space="preserve">; </w:t>
      </w:r>
      <w:hyperlink r:id="rId21" w:anchor="B70" w:history="1">
        <w:r>
          <w:rPr>
            <w:rStyle w:val="Hyperlink"/>
            <w:color w:val="auto"/>
            <w:sz w:val="20"/>
            <w:szCs w:val="20"/>
            <w:u w:val="none"/>
          </w:rPr>
          <w:t xml:space="preserve">Zhang </w:t>
        </w:r>
        <w:r w:rsidRPr="009163CC">
          <w:rPr>
            <w:rStyle w:val="Hyperlink"/>
            <w:i/>
            <w:color w:val="auto"/>
            <w:sz w:val="20"/>
            <w:szCs w:val="20"/>
            <w:u w:val="none"/>
          </w:rPr>
          <w:t>et a</w:t>
        </w:r>
        <w:r>
          <w:rPr>
            <w:rStyle w:val="Hyperlink"/>
            <w:color w:val="auto"/>
            <w:sz w:val="20"/>
            <w:szCs w:val="20"/>
            <w:u w:val="none"/>
          </w:rPr>
          <w:t>l., 2020</w:t>
        </w:r>
      </w:hyperlink>
      <w:r>
        <w:rPr>
          <w:sz w:val="20"/>
          <w:szCs w:val="20"/>
        </w:rPr>
        <w:t>) which creates a carbon pool that can store the carbon for a long period and contribute to the mitigation of greenhouse effects (</w:t>
      </w:r>
      <w:hyperlink r:id="rId22" w:anchor="B26" w:history="1">
        <w:r>
          <w:rPr>
            <w:rStyle w:val="Hyperlink"/>
            <w:color w:val="auto"/>
            <w:sz w:val="20"/>
            <w:szCs w:val="20"/>
            <w:u w:val="none"/>
          </w:rPr>
          <w:t xml:space="preserve">Gustavsson </w:t>
        </w:r>
        <w:r w:rsidRPr="009163CC">
          <w:rPr>
            <w:rStyle w:val="Hyperlink"/>
            <w:i/>
            <w:color w:val="auto"/>
            <w:sz w:val="20"/>
            <w:szCs w:val="20"/>
            <w:u w:val="none"/>
          </w:rPr>
          <w:t>et al</w:t>
        </w:r>
        <w:r>
          <w:rPr>
            <w:rStyle w:val="Hyperlink"/>
            <w:color w:val="auto"/>
            <w:sz w:val="20"/>
            <w:szCs w:val="20"/>
            <w:u w:val="none"/>
          </w:rPr>
          <w:t>., 2006</w:t>
        </w:r>
      </w:hyperlink>
      <w:r>
        <w:rPr>
          <w:sz w:val="20"/>
          <w:szCs w:val="20"/>
        </w:rPr>
        <w:t xml:space="preserve">). </w:t>
      </w:r>
      <w:hyperlink r:id="rId23" w:anchor="B57" w:history="1">
        <w:r>
          <w:rPr>
            <w:rStyle w:val="Hyperlink"/>
            <w:color w:val="auto"/>
            <w:sz w:val="20"/>
            <w:szCs w:val="20"/>
            <w:u w:val="none"/>
          </w:rPr>
          <w:t>Skog and Nicholson, (2000</w:t>
        </w:r>
      </w:hyperlink>
      <w:r>
        <w:rPr>
          <w:sz w:val="20"/>
          <w:szCs w:val="20"/>
        </w:rPr>
        <w:t>) stated that the carbon from forests which is moved to primary wood products such as lumber, pulp, and plywood are futher used in the manufacturing of wood in service (e.g., furniture, floor, and building).</w:t>
      </w:r>
    </w:p>
    <w:p w:rsidR="004F3F42" w:rsidRDefault="009A1E75">
      <w:pPr>
        <w:autoSpaceDE w:val="0"/>
        <w:autoSpaceDN w:val="0"/>
        <w:adjustRightInd w:val="0"/>
        <w:ind w:firstLine="720"/>
        <w:jc w:val="both"/>
        <w:rPr>
          <w:b/>
          <w:bCs/>
          <w:color w:val="000000"/>
          <w:sz w:val="20"/>
          <w:szCs w:val="20"/>
        </w:rPr>
      </w:pPr>
      <w:r>
        <w:rPr>
          <w:sz w:val="20"/>
          <w:szCs w:val="20"/>
        </w:rPr>
        <w:t>Numerous approaches have been developed to quantify the carbon stored in sawn log, and they are different in their bulking allocation, industrial processes, carbon pools, and product removal (</w:t>
      </w:r>
      <w:hyperlink r:id="rId24" w:anchor="B10" w:history="1">
        <w:r>
          <w:rPr>
            <w:rStyle w:val="Hyperlink"/>
            <w:color w:val="auto"/>
            <w:sz w:val="20"/>
            <w:szCs w:val="20"/>
            <w:u w:val="none"/>
          </w:rPr>
          <w:t xml:space="preserve">Brunet-Navarro </w:t>
        </w:r>
        <w:r w:rsidRPr="009163CC">
          <w:rPr>
            <w:rStyle w:val="Hyperlink"/>
            <w:i/>
            <w:color w:val="auto"/>
            <w:sz w:val="20"/>
            <w:szCs w:val="20"/>
            <w:u w:val="none"/>
          </w:rPr>
          <w:t>et al</w:t>
        </w:r>
        <w:r>
          <w:rPr>
            <w:rStyle w:val="Hyperlink"/>
            <w:color w:val="auto"/>
            <w:sz w:val="20"/>
            <w:szCs w:val="20"/>
            <w:u w:val="none"/>
          </w:rPr>
          <w:t>., 2016</w:t>
        </w:r>
      </w:hyperlink>
      <w:r>
        <w:rPr>
          <w:sz w:val="20"/>
          <w:szCs w:val="20"/>
        </w:rPr>
        <w:t>). However, various factors including environmental change (</w:t>
      </w:r>
      <w:hyperlink r:id="rId25" w:anchor="B59" w:history="1">
        <w:r>
          <w:rPr>
            <w:rStyle w:val="Hyperlink"/>
            <w:color w:val="auto"/>
            <w:sz w:val="20"/>
            <w:szCs w:val="20"/>
            <w:u w:val="none"/>
          </w:rPr>
          <w:t xml:space="preserve">Smith </w:t>
        </w:r>
        <w:r w:rsidRPr="009163CC">
          <w:rPr>
            <w:rStyle w:val="Hyperlink"/>
            <w:i/>
            <w:color w:val="auto"/>
            <w:sz w:val="20"/>
            <w:szCs w:val="20"/>
            <w:u w:val="none"/>
          </w:rPr>
          <w:t>et al</w:t>
        </w:r>
        <w:r>
          <w:rPr>
            <w:rStyle w:val="Hyperlink"/>
            <w:color w:val="auto"/>
            <w:sz w:val="20"/>
            <w:szCs w:val="20"/>
            <w:u w:val="none"/>
          </w:rPr>
          <w:t>., 2020</w:t>
        </w:r>
      </w:hyperlink>
      <w:r>
        <w:rPr>
          <w:sz w:val="20"/>
          <w:szCs w:val="20"/>
        </w:rPr>
        <w:t xml:space="preserve">), technological </w:t>
      </w:r>
      <w:r>
        <w:rPr>
          <w:sz w:val="20"/>
          <w:szCs w:val="20"/>
        </w:rPr>
        <w:lastRenderedPageBreak/>
        <w:t>advancement in the wood industry (</w:t>
      </w:r>
      <w:hyperlink r:id="rId26" w:anchor="B37" w:history="1">
        <w:r w:rsidRPr="009163CC">
          <w:rPr>
            <w:rStyle w:val="Hyperlink"/>
            <w:i/>
            <w:color w:val="auto"/>
            <w:sz w:val="20"/>
            <w:szCs w:val="20"/>
            <w:u w:val="none"/>
          </w:rPr>
          <w:t>Li et al.</w:t>
        </w:r>
        <w:r>
          <w:rPr>
            <w:rStyle w:val="Hyperlink"/>
            <w:color w:val="auto"/>
            <w:sz w:val="20"/>
            <w:szCs w:val="20"/>
            <w:u w:val="none"/>
          </w:rPr>
          <w:t>, 2022</w:t>
        </w:r>
      </w:hyperlink>
      <w:r>
        <w:rPr>
          <w:sz w:val="20"/>
          <w:szCs w:val="20"/>
        </w:rPr>
        <w:t>), and plenty of socioeconomic factors (</w:t>
      </w:r>
      <w:hyperlink r:id="rId27" w:anchor="B70" w:history="1">
        <w:r>
          <w:rPr>
            <w:rStyle w:val="Hyperlink"/>
            <w:color w:val="auto"/>
            <w:sz w:val="20"/>
            <w:szCs w:val="20"/>
            <w:u w:val="none"/>
          </w:rPr>
          <w:t xml:space="preserve">Zhang </w:t>
        </w:r>
        <w:r w:rsidRPr="009163CC">
          <w:rPr>
            <w:rStyle w:val="Hyperlink"/>
            <w:i/>
            <w:color w:val="auto"/>
            <w:sz w:val="20"/>
            <w:szCs w:val="20"/>
            <w:u w:val="none"/>
          </w:rPr>
          <w:t>et al</w:t>
        </w:r>
        <w:r>
          <w:rPr>
            <w:rStyle w:val="Hyperlink"/>
            <w:color w:val="auto"/>
            <w:sz w:val="20"/>
            <w:szCs w:val="20"/>
            <w:u w:val="none"/>
          </w:rPr>
          <w:t>., 2020</w:t>
        </w:r>
      </w:hyperlink>
      <w:r>
        <w:rPr>
          <w:sz w:val="20"/>
          <w:szCs w:val="20"/>
        </w:rPr>
        <w:t xml:space="preserve">; </w:t>
      </w:r>
      <w:hyperlink r:id="rId28" w:anchor="B72" w:history="1">
        <w:r>
          <w:rPr>
            <w:rStyle w:val="Hyperlink"/>
            <w:color w:val="auto"/>
            <w:sz w:val="20"/>
            <w:szCs w:val="20"/>
            <w:u w:val="none"/>
          </w:rPr>
          <w:t xml:space="preserve">Zhao </w:t>
        </w:r>
        <w:r w:rsidRPr="009163CC">
          <w:rPr>
            <w:rStyle w:val="Hyperlink"/>
            <w:i/>
            <w:color w:val="auto"/>
            <w:sz w:val="20"/>
            <w:szCs w:val="20"/>
            <w:u w:val="none"/>
          </w:rPr>
          <w:t>et al</w:t>
        </w:r>
        <w:r>
          <w:rPr>
            <w:rStyle w:val="Hyperlink"/>
            <w:color w:val="auto"/>
            <w:sz w:val="20"/>
            <w:szCs w:val="20"/>
            <w:u w:val="none"/>
          </w:rPr>
          <w:t>., 2022</w:t>
        </w:r>
      </w:hyperlink>
      <w:r>
        <w:rPr>
          <w:sz w:val="20"/>
          <w:szCs w:val="20"/>
        </w:rPr>
        <w:t xml:space="preserve">) can affect the size of sawn log carbon pool. </w:t>
      </w:r>
      <w:r>
        <w:rPr>
          <w:rFonts w:eastAsia="TimesNewRoman"/>
          <w:sz w:val="20"/>
          <w:szCs w:val="20"/>
        </w:rPr>
        <w:t xml:space="preserve">Literature that focuses on tree growth models which predict carbon stock yields of forests and carbon storage in timbers is becoming significant in quantitative forestry. According to Adesoye (2014), sustainable forest and forest resources management requires reliable estimates of growing stock because such information guides forest managers in timber evaluation.  </w:t>
      </w:r>
      <w:r>
        <w:rPr>
          <w:sz w:val="20"/>
          <w:szCs w:val="20"/>
        </w:rPr>
        <w:t xml:space="preserve">Estimation such as volume estimation is essential in sustainable forest management for accurate evaluations and for trading forest resources (Davis </w:t>
      </w:r>
      <w:r w:rsidRPr="0041306F">
        <w:rPr>
          <w:i/>
          <w:sz w:val="20"/>
          <w:szCs w:val="20"/>
        </w:rPr>
        <w:t>et al</w:t>
      </w:r>
      <w:r>
        <w:rPr>
          <w:sz w:val="20"/>
          <w:szCs w:val="20"/>
        </w:rPr>
        <w:t>., 2001). Understanding the volume of wood in forests and the regions is fundamental for regional forest management planning, commercial harvest, and conservation. Volume estimates is also valuable in the modeling of carbon budgets.</w:t>
      </w:r>
      <w:r>
        <w:rPr>
          <w:rFonts w:eastAsia="TimesNewRoman"/>
          <w:sz w:val="20"/>
          <w:szCs w:val="20"/>
        </w:rPr>
        <w:t xml:space="preserve">The roles of models in tree carbon stock estimation especially in tropical natural forest ecosystem cannot be overestimated. </w:t>
      </w:r>
    </w:p>
    <w:p w:rsidR="004F3F42" w:rsidRDefault="009A1E75">
      <w:pPr>
        <w:autoSpaceDE w:val="0"/>
        <w:autoSpaceDN w:val="0"/>
        <w:adjustRightInd w:val="0"/>
        <w:ind w:firstLine="720"/>
        <w:jc w:val="both"/>
        <w:rPr>
          <w:b/>
          <w:bCs/>
          <w:color w:val="000000"/>
          <w:sz w:val="20"/>
          <w:szCs w:val="20"/>
        </w:rPr>
      </w:pPr>
      <w:r>
        <w:rPr>
          <w:rFonts w:eastAsia="TimesNewRoman"/>
          <w:sz w:val="20"/>
          <w:szCs w:val="20"/>
        </w:rPr>
        <w:t xml:space="preserve">Models are authentic tools for estimation of growing stock, timber valuation and allocation of forest areas for harvest which provides long-term decision-making and effective management strategies. The use of  </w:t>
      </w:r>
      <w:r>
        <w:rPr>
          <w:color w:val="000000"/>
          <w:sz w:val="20"/>
          <w:szCs w:val="20"/>
        </w:rPr>
        <w:t xml:space="preserve">empirical models to predict tree growth as a function of tree attributes and plot or stand level variables are usually unbiased only in the range of data applied by </w:t>
      </w:r>
      <w:r>
        <w:rPr>
          <w:rFonts w:eastAsia="MinionPro-Regular"/>
          <w:sz w:val="20"/>
          <w:szCs w:val="20"/>
        </w:rPr>
        <w:t xml:space="preserve">volume, diameter at breast height (dbh), height, biomass, wood density which are able to quantify carbon storage </w:t>
      </w:r>
      <w:r>
        <w:rPr>
          <w:color w:val="000000"/>
          <w:sz w:val="20"/>
          <w:szCs w:val="20"/>
        </w:rPr>
        <w:t>(</w:t>
      </w:r>
      <w:r>
        <w:rPr>
          <w:sz w:val="20"/>
          <w:szCs w:val="20"/>
        </w:rPr>
        <w:t>Avery &amp; Burkhart, 2011)</w:t>
      </w:r>
      <w:r>
        <w:rPr>
          <w:rFonts w:eastAsia="MinionPro-Regular"/>
          <w:sz w:val="20"/>
          <w:szCs w:val="20"/>
        </w:rPr>
        <w:t>.</w:t>
      </w:r>
      <w:r w:rsidR="0041306F">
        <w:rPr>
          <w:rFonts w:eastAsia="MinionPro-Regular"/>
          <w:sz w:val="20"/>
          <w:szCs w:val="20"/>
        </w:rPr>
        <w:t xml:space="preserve"> </w:t>
      </w:r>
      <w:r>
        <w:rPr>
          <w:rFonts w:eastAsia="MinionPro-Regular"/>
          <w:sz w:val="20"/>
          <w:szCs w:val="20"/>
        </w:rPr>
        <w:t xml:space="preserve">Allometric models make easy  measurement of individual tree parameters using diameter at breast height (dbh) and total tree height (ht) from forest inventories to estimate volume and above ground volume biomass (Molto, Rossi &amp; Blanc, 2013; </w:t>
      </w:r>
      <w:r>
        <w:rPr>
          <w:sz w:val="20"/>
          <w:szCs w:val="20"/>
        </w:rPr>
        <w:t>Chave</w:t>
      </w:r>
      <w:r>
        <w:rPr>
          <w:rFonts w:eastAsia="MinionPro-Regular"/>
          <w:sz w:val="20"/>
          <w:szCs w:val="20"/>
        </w:rPr>
        <w:t xml:space="preserve"> </w:t>
      </w:r>
      <w:r w:rsidRPr="0041306F">
        <w:rPr>
          <w:rFonts w:eastAsia="MinionPro-Regular"/>
          <w:i/>
          <w:sz w:val="20"/>
          <w:szCs w:val="20"/>
        </w:rPr>
        <w:t>et al.,</w:t>
      </w:r>
      <w:r>
        <w:rPr>
          <w:rFonts w:eastAsia="MinionPro-Regular"/>
          <w:sz w:val="20"/>
          <w:szCs w:val="20"/>
        </w:rPr>
        <w:t xml:space="preserve"> 2014).</w:t>
      </w:r>
      <w:r>
        <w:rPr>
          <w:color w:val="000000"/>
          <w:sz w:val="20"/>
          <w:szCs w:val="20"/>
        </w:rPr>
        <w:t xml:space="preserve">  However, models developed by integrating theoretical information about the underlying relationships between dependent and independent variables are generally well specified and better reflect the fundamental biological and physical relationships shown by the system. These models can yield consistent results even when applied beyond the range of the data used to develop relationships between dependent and independent variables.</w:t>
      </w:r>
    </w:p>
    <w:p w:rsidR="004F3F42" w:rsidRDefault="004F3F42">
      <w:pPr>
        <w:jc w:val="both"/>
        <w:rPr>
          <w:b/>
          <w:sz w:val="20"/>
          <w:szCs w:val="20"/>
        </w:rPr>
      </w:pPr>
    </w:p>
    <w:p w:rsidR="004F3F42" w:rsidRDefault="009A1E75">
      <w:pPr>
        <w:jc w:val="both"/>
        <w:rPr>
          <w:b/>
          <w:sz w:val="20"/>
          <w:szCs w:val="20"/>
        </w:rPr>
      </w:pPr>
      <w:r>
        <w:rPr>
          <w:b/>
          <w:sz w:val="20"/>
          <w:szCs w:val="20"/>
        </w:rPr>
        <w:t xml:space="preserve">2. Material and Methods </w:t>
      </w:r>
    </w:p>
    <w:p w:rsidR="004F3F42" w:rsidRDefault="009A1E75">
      <w:pPr>
        <w:jc w:val="both"/>
        <w:rPr>
          <w:b/>
          <w:sz w:val="20"/>
          <w:szCs w:val="20"/>
        </w:rPr>
      </w:pPr>
      <w:r>
        <w:rPr>
          <w:b/>
          <w:sz w:val="20"/>
          <w:szCs w:val="20"/>
        </w:rPr>
        <w:t>Study Site</w:t>
      </w:r>
    </w:p>
    <w:p w:rsidR="004F3F42" w:rsidRDefault="009A1E75">
      <w:pPr>
        <w:autoSpaceDE w:val="0"/>
        <w:autoSpaceDN w:val="0"/>
        <w:adjustRightInd w:val="0"/>
        <w:ind w:firstLine="720"/>
        <w:jc w:val="both"/>
        <w:rPr>
          <w:sz w:val="20"/>
          <w:szCs w:val="20"/>
        </w:rPr>
      </w:pPr>
      <w:r>
        <w:rPr>
          <w:sz w:val="20"/>
          <w:szCs w:val="20"/>
        </w:rPr>
        <w:t xml:space="preserve">The study was carried out in Ilaobuchi Timber Sawmill Owners Association in Port Harcourt (latitude 4.51ºN, and longitude 7.01ºE), located in the south-south of Nigeria with temperatures averaging between 25°C and 28°C and an average rainfall of over 210mm up to 367mm, heaviest between June to October (NDES 2001). </w:t>
      </w:r>
      <w:r>
        <w:rPr>
          <w:color w:val="000000"/>
          <w:sz w:val="20"/>
          <w:szCs w:val="20"/>
        </w:rPr>
        <w:t xml:space="preserve">Most of the vegetation in the managed area </w:t>
      </w:r>
      <w:r>
        <w:rPr>
          <w:sz w:val="20"/>
          <w:szCs w:val="20"/>
        </w:rPr>
        <w:t xml:space="preserve"> consist of river, creeks, and estuaries, while stagnant swamps covers about 109 square kilometer (Km</w:t>
      </w:r>
      <w:r>
        <w:rPr>
          <w:sz w:val="20"/>
          <w:szCs w:val="20"/>
          <w:vertAlign w:val="superscript"/>
        </w:rPr>
        <w:t>2</w:t>
      </w:r>
      <w:r>
        <w:rPr>
          <w:sz w:val="20"/>
          <w:szCs w:val="20"/>
        </w:rPr>
        <w:t xml:space="preserve"> ) with the area </w:t>
      </w:r>
      <w:r>
        <w:rPr>
          <w:sz w:val="20"/>
          <w:szCs w:val="20"/>
        </w:rPr>
        <w:lastRenderedPageBreak/>
        <w:t xml:space="preserve">dotted with mangrove swamps are </w:t>
      </w:r>
      <w:r>
        <w:rPr>
          <w:color w:val="000000"/>
          <w:sz w:val="20"/>
          <w:szCs w:val="20"/>
        </w:rPr>
        <w:t xml:space="preserve"> classified as “dense forest </w:t>
      </w:r>
      <w:r>
        <w:rPr>
          <w:sz w:val="20"/>
          <w:szCs w:val="20"/>
        </w:rPr>
        <w:t xml:space="preserve">( Zabbey </w:t>
      </w:r>
      <w:r w:rsidRPr="009163CC">
        <w:rPr>
          <w:i/>
          <w:sz w:val="20"/>
          <w:szCs w:val="20"/>
        </w:rPr>
        <w:t>et al</w:t>
      </w:r>
      <w:r>
        <w:rPr>
          <w:sz w:val="20"/>
          <w:szCs w:val="20"/>
        </w:rPr>
        <w:t xml:space="preserve">., 2004). </w:t>
      </w:r>
    </w:p>
    <w:p w:rsidR="004F3F42" w:rsidRDefault="004F3F42">
      <w:pPr>
        <w:autoSpaceDE w:val="0"/>
        <w:autoSpaceDN w:val="0"/>
        <w:adjustRightInd w:val="0"/>
        <w:jc w:val="both"/>
        <w:rPr>
          <w:sz w:val="20"/>
          <w:szCs w:val="20"/>
        </w:rPr>
      </w:pPr>
    </w:p>
    <w:p w:rsidR="004F3F42" w:rsidRDefault="006D70E9">
      <w:pPr>
        <w:autoSpaceDE w:val="0"/>
        <w:autoSpaceDN w:val="0"/>
        <w:adjustRightInd w:val="0"/>
        <w:jc w:val="both"/>
        <w:rPr>
          <w:sz w:val="20"/>
          <w:szCs w:val="20"/>
        </w:rPr>
      </w:pPr>
      <w:r w:rsidRPr="000209DD">
        <w:rPr>
          <w:noProof/>
          <w:sz w:val="20"/>
          <w:szCs w:val="20"/>
          <w:lang w:eastAsia="zh-CN"/>
        </w:rPr>
        <w:drawing>
          <wp:inline distT="0" distB="0" distL="0" distR="0">
            <wp:extent cx="2980055" cy="2197100"/>
            <wp:effectExtent l="19050" t="19050" r="0" b="0"/>
            <wp:docPr id="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80055" cy="2197100"/>
                    </a:xfrm>
                    <a:prstGeom prst="rect">
                      <a:avLst/>
                    </a:prstGeom>
                    <a:noFill/>
                    <a:ln w="12700" cmpd="sng">
                      <a:solidFill>
                        <a:srgbClr val="000000"/>
                      </a:solidFill>
                      <a:miter lim="800000"/>
                      <a:headEnd/>
                      <a:tailEnd/>
                    </a:ln>
                    <a:effectLst/>
                  </pic:spPr>
                </pic:pic>
              </a:graphicData>
            </a:graphic>
          </wp:inline>
        </w:drawing>
      </w:r>
    </w:p>
    <w:p w:rsidR="004F3F42" w:rsidRDefault="009A1E75">
      <w:pPr>
        <w:autoSpaceDE w:val="0"/>
        <w:autoSpaceDN w:val="0"/>
        <w:adjustRightInd w:val="0"/>
        <w:jc w:val="both"/>
        <w:rPr>
          <w:b/>
          <w:sz w:val="20"/>
          <w:szCs w:val="20"/>
        </w:rPr>
      </w:pPr>
      <w:r>
        <w:rPr>
          <w:b/>
          <w:sz w:val="20"/>
          <w:szCs w:val="20"/>
        </w:rPr>
        <w:t>Fig 1: Map of Port Harcourt Showing study area</w:t>
      </w:r>
    </w:p>
    <w:p w:rsidR="004F3F42" w:rsidRDefault="004F3F42">
      <w:pPr>
        <w:pStyle w:val="Default"/>
        <w:jc w:val="both"/>
        <w:rPr>
          <w:rFonts w:ascii="Times New Roman" w:hAnsi="Times New Roman" w:cs="Times New Roman"/>
          <w:b/>
          <w:bCs/>
          <w:sz w:val="20"/>
          <w:szCs w:val="20"/>
        </w:rPr>
      </w:pPr>
    </w:p>
    <w:p w:rsidR="004F3F42" w:rsidRDefault="009A1E75">
      <w:pPr>
        <w:pStyle w:val="Default"/>
        <w:jc w:val="both"/>
        <w:rPr>
          <w:rFonts w:ascii="Times New Roman" w:hAnsi="Times New Roman" w:cs="Times New Roman"/>
          <w:sz w:val="20"/>
          <w:szCs w:val="20"/>
        </w:rPr>
      </w:pPr>
      <w:r>
        <w:rPr>
          <w:rFonts w:ascii="Times New Roman" w:hAnsi="Times New Roman" w:cs="Times New Roman"/>
          <w:b/>
          <w:bCs/>
          <w:sz w:val="20"/>
          <w:szCs w:val="20"/>
        </w:rPr>
        <w:t xml:space="preserve">Sampling Techniques </w:t>
      </w:r>
    </w:p>
    <w:p w:rsidR="004F3F42" w:rsidRDefault="009A1E75">
      <w:pPr>
        <w:pStyle w:val="Default"/>
        <w:ind w:firstLine="720"/>
        <w:jc w:val="both"/>
        <w:rPr>
          <w:rFonts w:ascii="Times New Roman" w:eastAsia="Times New Roman" w:hAnsi="Times New Roman" w:cs="Times New Roman"/>
          <w:sz w:val="20"/>
          <w:szCs w:val="20"/>
        </w:rPr>
      </w:pPr>
      <w:r>
        <w:rPr>
          <w:rFonts w:ascii="Times New Roman" w:hAnsi="Times New Roman" w:cs="Times New Roman"/>
          <w:sz w:val="20"/>
          <w:szCs w:val="20"/>
        </w:rPr>
        <w:t xml:space="preserve">Reconnaissance survey was carried out in order to identify and take inventory of the commonly sawn commercial trees species within the sawmill industry. The selection of sixteen (16) species was sampled. Total enumerations of logs in the selected species with size range of diameter ≥ 50 cm were measured. Philip (1994) </w:t>
      </w:r>
      <w:r w:rsidR="0041306F">
        <w:rPr>
          <w:rFonts w:ascii="Times New Roman" w:hAnsi="Times New Roman" w:cs="Times New Roman"/>
          <w:sz w:val="20"/>
          <w:szCs w:val="20"/>
        </w:rPr>
        <w:t>method was</w:t>
      </w:r>
      <w:r>
        <w:rPr>
          <w:rFonts w:ascii="Times New Roman" w:hAnsi="Times New Roman" w:cs="Times New Roman"/>
          <w:sz w:val="20"/>
          <w:szCs w:val="20"/>
        </w:rPr>
        <w:t xml:space="preserve"> used for the calculation of sample size. The number of individuals sampled was determined according to the sample size (n) for a population considered to be infinite using the formula; </w:t>
      </w:r>
    </w:p>
    <w:p w:rsidR="004F3F42" w:rsidRDefault="0041306F">
      <w:pPr>
        <w:autoSpaceDE w:val="0"/>
        <w:autoSpaceDN w:val="0"/>
        <w:adjustRightInd w:val="0"/>
        <w:jc w:val="both"/>
        <w:rPr>
          <w:b/>
          <w:i/>
          <w:sz w:val="20"/>
          <w:szCs w:val="20"/>
        </w:rPr>
      </w:pPr>
      <w:r w:rsidRPr="00547315">
        <w:rPr>
          <w:b/>
          <w:position w:val="-28"/>
          <w:sz w:val="20"/>
          <w:szCs w:val="20"/>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35pt" o:ole="">
            <v:imagedata r:id="rId30" o:title=""/>
          </v:shape>
          <o:OLEObject Type="Embed" ProgID="Equation.3" ShapeID="_x0000_i1026" DrawAspect="Content" ObjectID="_1753933207" r:id="rId31"/>
        </w:object>
      </w:r>
      <w:r w:rsidR="009A1E75">
        <w:rPr>
          <w:b/>
          <w:i/>
          <w:sz w:val="20"/>
          <w:szCs w:val="20"/>
        </w:rPr>
        <w:t>……………………..(1)</w:t>
      </w:r>
    </w:p>
    <w:p w:rsidR="004F3F42" w:rsidRDefault="009A1E75">
      <w:pPr>
        <w:pStyle w:val="ListParagraph"/>
        <w:spacing w:after="0" w:line="240" w:lineRule="auto"/>
        <w:ind w:left="0"/>
        <w:jc w:val="both"/>
        <w:rPr>
          <w:rFonts w:ascii="Times New Roman" w:hAnsi="Times New Roman"/>
          <w:sz w:val="20"/>
          <w:szCs w:val="20"/>
        </w:rPr>
      </w:pPr>
      <w:r>
        <w:rPr>
          <w:rFonts w:ascii="Times New Roman" w:hAnsi="Times New Roman"/>
          <w:sz w:val="20"/>
          <w:szCs w:val="20"/>
        </w:rPr>
        <w:t>Where: n = optimal number of logs; t</w:t>
      </w:r>
      <w:r>
        <w:rPr>
          <w:rFonts w:ascii="Times New Roman" w:hAnsi="Times New Roman"/>
          <w:sz w:val="20"/>
          <w:szCs w:val="20"/>
          <w:vertAlign w:val="superscript"/>
        </w:rPr>
        <w:t>2</w:t>
      </w:r>
      <w:r>
        <w:rPr>
          <w:rFonts w:ascii="Times New Roman" w:hAnsi="Times New Roman"/>
          <w:sz w:val="20"/>
          <w:szCs w:val="20"/>
        </w:rPr>
        <w:t xml:space="preserve"> = tabulated value of the Student’s t-test (α = 0.05);</w:t>
      </w:r>
      <w:r w:rsidR="0041306F">
        <w:rPr>
          <w:rFonts w:ascii="Times New Roman" w:hAnsi="Times New Roman"/>
          <w:sz w:val="20"/>
          <w:szCs w:val="20"/>
        </w:rPr>
        <w:t xml:space="preserve"> </w:t>
      </w:r>
      <w:r>
        <w:rPr>
          <w:rFonts w:ascii="Times New Roman" w:hAnsi="Times New Roman"/>
          <w:sz w:val="20"/>
          <w:szCs w:val="20"/>
        </w:rPr>
        <w:t>cv</w:t>
      </w:r>
      <w:r>
        <w:rPr>
          <w:rFonts w:ascii="Times New Roman" w:hAnsi="Times New Roman"/>
          <w:sz w:val="20"/>
          <w:szCs w:val="20"/>
          <w:vertAlign w:val="superscript"/>
        </w:rPr>
        <w:t>2</w:t>
      </w:r>
      <w:r>
        <w:rPr>
          <w:rFonts w:ascii="Times New Roman" w:hAnsi="Times New Roman"/>
          <w:sz w:val="20"/>
          <w:szCs w:val="20"/>
        </w:rPr>
        <w:t xml:space="preserve"> = coefficient variance; E</w:t>
      </w:r>
      <w:r>
        <w:rPr>
          <w:rFonts w:ascii="Times New Roman" w:hAnsi="Times New Roman"/>
          <w:sz w:val="20"/>
          <w:szCs w:val="20"/>
          <w:vertAlign w:val="superscript"/>
        </w:rPr>
        <w:t>2</w:t>
      </w:r>
      <w:r>
        <w:rPr>
          <w:rFonts w:ascii="Times New Roman" w:hAnsi="Times New Roman"/>
          <w:sz w:val="20"/>
          <w:szCs w:val="20"/>
        </w:rPr>
        <w:t xml:space="preserve"> = permissible error limit (10%) </w:t>
      </w:r>
    </w:p>
    <w:p w:rsidR="004F3F42" w:rsidRDefault="004F3F42">
      <w:pPr>
        <w:autoSpaceDE w:val="0"/>
        <w:autoSpaceDN w:val="0"/>
        <w:adjustRightInd w:val="0"/>
        <w:jc w:val="both"/>
        <w:rPr>
          <w:b/>
          <w:sz w:val="20"/>
          <w:szCs w:val="20"/>
        </w:rPr>
      </w:pPr>
    </w:p>
    <w:p w:rsidR="004F3F42" w:rsidRDefault="009A1E75">
      <w:pPr>
        <w:autoSpaceDE w:val="0"/>
        <w:autoSpaceDN w:val="0"/>
        <w:adjustRightInd w:val="0"/>
        <w:jc w:val="both"/>
        <w:rPr>
          <w:sz w:val="20"/>
          <w:szCs w:val="20"/>
        </w:rPr>
      </w:pPr>
      <w:r>
        <w:rPr>
          <w:b/>
          <w:sz w:val="20"/>
          <w:szCs w:val="20"/>
        </w:rPr>
        <w:t>Data Collection</w:t>
      </w:r>
    </w:p>
    <w:p w:rsidR="004F3F42" w:rsidRDefault="009A1E75">
      <w:pPr>
        <w:autoSpaceDE w:val="0"/>
        <w:autoSpaceDN w:val="0"/>
        <w:adjustRightInd w:val="0"/>
        <w:ind w:firstLine="720"/>
        <w:jc w:val="both"/>
        <w:rPr>
          <w:sz w:val="20"/>
          <w:szCs w:val="20"/>
        </w:rPr>
      </w:pPr>
      <w:r>
        <w:rPr>
          <w:sz w:val="20"/>
          <w:szCs w:val="20"/>
        </w:rPr>
        <w:t>The following tree growth variables were measured for all selected trees species:</w:t>
      </w:r>
    </w:p>
    <w:p w:rsidR="004F3F42" w:rsidRDefault="009A1E75">
      <w:pPr>
        <w:autoSpaceDE w:val="0"/>
        <w:autoSpaceDN w:val="0"/>
        <w:adjustRightInd w:val="0"/>
        <w:jc w:val="both"/>
        <w:rPr>
          <w:b/>
          <w:sz w:val="20"/>
          <w:szCs w:val="20"/>
        </w:rPr>
      </w:pPr>
      <w:r>
        <w:rPr>
          <w:b/>
          <w:sz w:val="20"/>
          <w:szCs w:val="20"/>
        </w:rPr>
        <w:t>Diameter</w:t>
      </w:r>
    </w:p>
    <w:p w:rsidR="004F3F42" w:rsidRDefault="009A1E75">
      <w:pPr>
        <w:autoSpaceDE w:val="0"/>
        <w:autoSpaceDN w:val="0"/>
        <w:adjustRightInd w:val="0"/>
        <w:jc w:val="both"/>
        <w:rPr>
          <w:b/>
          <w:i/>
          <w:sz w:val="20"/>
          <w:szCs w:val="20"/>
        </w:rPr>
      </w:pPr>
      <w:r w:rsidRPr="00547315">
        <w:rPr>
          <w:b/>
          <w:i/>
          <w:position w:val="-24"/>
          <w:sz w:val="20"/>
          <w:szCs w:val="20"/>
        </w:rPr>
        <w:object w:dxaOrig="660" w:dyaOrig="570">
          <v:shape id="_x0000_i1027" type="#_x0000_t75" style="width:33pt;height:28.5pt" o:ole="">
            <v:imagedata r:id="rId32" o:title=""/>
          </v:shape>
          <o:OLEObject Type="Embed" ProgID="Equation.3" ShapeID="_x0000_i1027" DrawAspect="Content" ObjectID="_1753933208" r:id="rId33"/>
        </w:object>
      </w:r>
      <w:r>
        <w:rPr>
          <w:b/>
          <w:i/>
          <w:sz w:val="20"/>
          <w:szCs w:val="20"/>
        </w:rPr>
        <w:t>…………………………………… (2)</w:t>
      </w:r>
    </w:p>
    <w:p w:rsidR="004F3F42" w:rsidRDefault="009A1E75">
      <w:pPr>
        <w:autoSpaceDE w:val="0"/>
        <w:autoSpaceDN w:val="0"/>
        <w:adjustRightInd w:val="0"/>
        <w:jc w:val="both"/>
        <w:rPr>
          <w:sz w:val="20"/>
          <w:szCs w:val="20"/>
        </w:rPr>
      </w:pPr>
      <w:r>
        <w:rPr>
          <w:sz w:val="20"/>
          <w:szCs w:val="20"/>
        </w:rPr>
        <w:t>C= Circumference;</w:t>
      </w:r>
      <w:r w:rsidRPr="00547315">
        <w:rPr>
          <w:position w:val="-6"/>
          <w:sz w:val="20"/>
          <w:szCs w:val="20"/>
        </w:rPr>
        <w:object w:dxaOrig="285" w:dyaOrig="285">
          <v:shape id="_x0000_i1028" type="#_x0000_t75" style="width:14.25pt;height:14.25pt" o:ole="">
            <v:imagedata r:id="rId34" o:title=""/>
          </v:shape>
          <o:OLEObject Type="Embed" ProgID="Equation.3" ShapeID="_x0000_i1028" DrawAspect="Content" ObjectID="_1753933209" r:id="rId35"/>
        </w:object>
      </w:r>
      <w:r>
        <w:rPr>
          <w:sz w:val="20"/>
          <w:szCs w:val="20"/>
        </w:rPr>
        <w:t>=3.142.</w:t>
      </w:r>
    </w:p>
    <w:p w:rsidR="004F3F42" w:rsidRDefault="004F3F42">
      <w:pPr>
        <w:autoSpaceDE w:val="0"/>
        <w:autoSpaceDN w:val="0"/>
        <w:adjustRightInd w:val="0"/>
        <w:jc w:val="both"/>
        <w:rPr>
          <w:b/>
          <w:sz w:val="20"/>
          <w:szCs w:val="20"/>
        </w:rPr>
      </w:pPr>
    </w:p>
    <w:p w:rsidR="004F3F42" w:rsidRDefault="009A1E75">
      <w:pPr>
        <w:autoSpaceDE w:val="0"/>
        <w:autoSpaceDN w:val="0"/>
        <w:adjustRightInd w:val="0"/>
        <w:jc w:val="both"/>
        <w:rPr>
          <w:sz w:val="20"/>
          <w:szCs w:val="20"/>
        </w:rPr>
      </w:pPr>
      <w:r>
        <w:rPr>
          <w:b/>
          <w:sz w:val="20"/>
          <w:szCs w:val="20"/>
        </w:rPr>
        <w:t xml:space="preserve">Volume of logs </w:t>
      </w:r>
    </w:p>
    <w:p w:rsidR="004F3F42" w:rsidRDefault="009A1E75">
      <w:pPr>
        <w:autoSpaceDE w:val="0"/>
        <w:autoSpaceDN w:val="0"/>
        <w:adjustRightInd w:val="0"/>
        <w:jc w:val="both"/>
        <w:rPr>
          <w:b/>
          <w:i/>
          <w:sz w:val="20"/>
          <w:szCs w:val="20"/>
        </w:rPr>
      </w:pPr>
      <w:r>
        <w:rPr>
          <w:b/>
          <w:i/>
          <w:sz w:val="20"/>
          <w:szCs w:val="20"/>
        </w:rPr>
        <w:t>V = (A</w:t>
      </w:r>
      <w:r>
        <w:rPr>
          <w:b/>
          <w:i/>
          <w:sz w:val="20"/>
          <w:szCs w:val="20"/>
          <w:vertAlign w:val="subscript"/>
        </w:rPr>
        <w:t>1</w:t>
      </w:r>
      <w:r>
        <w:rPr>
          <w:b/>
          <w:i/>
          <w:sz w:val="20"/>
          <w:szCs w:val="20"/>
        </w:rPr>
        <w:t>+ A</w:t>
      </w:r>
      <w:r>
        <w:rPr>
          <w:b/>
          <w:i/>
          <w:sz w:val="20"/>
          <w:szCs w:val="20"/>
          <w:vertAlign w:val="subscript"/>
        </w:rPr>
        <w:t>2</w:t>
      </w:r>
      <w:r>
        <w:rPr>
          <w:b/>
          <w:i/>
          <w:sz w:val="20"/>
          <w:szCs w:val="20"/>
        </w:rPr>
        <w:t>) / 2) × L……………….…….. (3)</w:t>
      </w:r>
    </w:p>
    <w:p w:rsidR="003353F2" w:rsidRPr="00AB3A8B" w:rsidRDefault="009A1E75">
      <w:pPr>
        <w:autoSpaceDE w:val="0"/>
        <w:autoSpaceDN w:val="0"/>
        <w:adjustRightInd w:val="0"/>
        <w:jc w:val="both"/>
        <w:rPr>
          <w:sz w:val="20"/>
          <w:szCs w:val="20"/>
        </w:rPr>
      </w:pPr>
      <w:r>
        <w:rPr>
          <w:sz w:val="20"/>
          <w:szCs w:val="20"/>
        </w:rPr>
        <w:t>Where;</w:t>
      </w:r>
      <w:r w:rsidR="0041306F">
        <w:rPr>
          <w:sz w:val="20"/>
          <w:szCs w:val="20"/>
        </w:rPr>
        <w:t xml:space="preserve"> </w:t>
      </w:r>
      <w:r>
        <w:rPr>
          <w:sz w:val="20"/>
          <w:szCs w:val="20"/>
        </w:rPr>
        <w:t>V = Volume of log in m</w:t>
      </w:r>
      <w:r>
        <w:rPr>
          <w:sz w:val="20"/>
          <w:szCs w:val="20"/>
          <w:vertAlign w:val="superscript"/>
        </w:rPr>
        <w:t>3</w:t>
      </w:r>
      <w:r>
        <w:rPr>
          <w:sz w:val="20"/>
          <w:szCs w:val="20"/>
        </w:rPr>
        <w:t>; A</w:t>
      </w:r>
      <w:r>
        <w:rPr>
          <w:sz w:val="20"/>
          <w:szCs w:val="20"/>
          <w:vertAlign w:val="subscript"/>
        </w:rPr>
        <w:t>1</w:t>
      </w:r>
      <w:r>
        <w:rPr>
          <w:sz w:val="20"/>
          <w:szCs w:val="20"/>
        </w:rPr>
        <w:t xml:space="preserve"> = cross-sectional area of the smaller end of log in m</w:t>
      </w:r>
      <w:r>
        <w:rPr>
          <w:sz w:val="20"/>
          <w:szCs w:val="20"/>
          <w:vertAlign w:val="superscript"/>
        </w:rPr>
        <w:t>2</w:t>
      </w:r>
      <w:r>
        <w:rPr>
          <w:sz w:val="20"/>
          <w:szCs w:val="20"/>
        </w:rPr>
        <w:t>;   A</w:t>
      </w:r>
      <w:r>
        <w:rPr>
          <w:sz w:val="20"/>
          <w:szCs w:val="20"/>
          <w:vertAlign w:val="subscript"/>
        </w:rPr>
        <w:t>2</w:t>
      </w:r>
      <w:r>
        <w:rPr>
          <w:sz w:val="20"/>
          <w:szCs w:val="20"/>
        </w:rPr>
        <w:t>= cross sectional area of the large end of the log in m</w:t>
      </w:r>
      <w:r>
        <w:rPr>
          <w:sz w:val="20"/>
          <w:szCs w:val="20"/>
          <w:vertAlign w:val="superscript"/>
        </w:rPr>
        <w:t>2</w:t>
      </w:r>
      <w:r>
        <w:rPr>
          <w:sz w:val="20"/>
          <w:szCs w:val="20"/>
        </w:rPr>
        <w:t xml:space="preserve">; L = length of the log in m </w:t>
      </w:r>
      <w:r>
        <w:rPr>
          <w:color w:val="000000"/>
          <w:sz w:val="20"/>
          <w:szCs w:val="20"/>
        </w:rPr>
        <w:t>using Smalian method (</w:t>
      </w:r>
      <w:r>
        <w:rPr>
          <w:sz w:val="20"/>
          <w:szCs w:val="20"/>
        </w:rPr>
        <w:t xml:space="preserve">Kershaw </w:t>
      </w:r>
      <w:r w:rsidRPr="0041306F">
        <w:rPr>
          <w:i/>
          <w:sz w:val="20"/>
          <w:szCs w:val="20"/>
        </w:rPr>
        <w:t>et al</w:t>
      </w:r>
      <w:r>
        <w:rPr>
          <w:sz w:val="20"/>
          <w:szCs w:val="20"/>
        </w:rPr>
        <w:t>., 2016).</w:t>
      </w:r>
    </w:p>
    <w:p w:rsidR="004F3F42" w:rsidRDefault="009A1E75">
      <w:pPr>
        <w:autoSpaceDE w:val="0"/>
        <w:autoSpaceDN w:val="0"/>
        <w:adjustRightInd w:val="0"/>
        <w:jc w:val="both"/>
        <w:rPr>
          <w:b/>
          <w:sz w:val="20"/>
          <w:szCs w:val="20"/>
        </w:rPr>
      </w:pPr>
      <w:r>
        <w:rPr>
          <w:b/>
          <w:sz w:val="20"/>
          <w:szCs w:val="20"/>
        </w:rPr>
        <w:t>Sawn wood product determination</w:t>
      </w:r>
    </w:p>
    <w:p w:rsidR="004F3F42" w:rsidRDefault="009A1E75">
      <w:pPr>
        <w:autoSpaceDE w:val="0"/>
        <w:autoSpaceDN w:val="0"/>
        <w:adjustRightInd w:val="0"/>
        <w:ind w:firstLine="720"/>
        <w:jc w:val="both"/>
        <w:rPr>
          <w:i/>
          <w:color w:val="000000"/>
          <w:sz w:val="20"/>
          <w:szCs w:val="20"/>
        </w:rPr>
      </w:pPr>
      <w:r>
        <w:rPr>
          <w:color w:val="000000"/>
          <w:sz w:val="20"/>
          <w:szCs w:val="20"/>
        </w:rPr>
        <w:t xml:space="preserve">The measurements were entered into a standardized field form where the quantities of the </w:t>
      </w:r>
      <w:r>
        <w:rPr>
          <w:color w:val="000000"/>
          <w:sz w:val="20"/>
          <w:szCs w:val="20"/>
        </w:rPr>
        <w:lastRenderedPageBreak/>
        <w:t>products (pieces) were assign in their dimensions: thickness (T;cm), width (W;cm), and length (L;m)  base on categorized volume of lumber of each piece (VLum) using the formula</w:t>
      </w:r>
      <w:r>
        <w:rPr>
          <w:i/>
          <w:color w:val="000000"/>
          <w:sz w:val="20"/>
          <w:szCs w:val="20"/>
        </w:rPr>
        <w:t>;</w:t>
      </w:r>
    </w:p>
    <w:p w:rsidR="004F3F42" w:rsidRDefault="006D70E9">
      <w:pPr>
        <w:autoSpaceDE w:val="0"/>
        <w:autoSpaceDN w:val="0"/>
        <w:adjustRightInd w:val="0"/>
        <w:jc w:val="both"/>
        <w:rPr>
          <w:i/>
          <w:color w:val="000000"/>
          <w:sz w:val="20"/>
          <w:szCs w:val="20"/>
        </w:rPr>
      </w:pPr>
      <m:oMath>
        <m:r>
          <m:rPr>
            <m:sty m:val="bi"/>
          </m:rPr>
          <w:rPr>
            <w:rFonts w:ascii="Cambria Math" w:hAnsi="Cambria Math"/>
            <w:color w:val="000000"/>
            <w:sz w:val="20"/>
            <w:szCs w:val="20"/>
          </w:rPr>
          <m:t>Vlum</m:t>
        </m:r>
        <m:r>
          <m:rPr>
            <m:sty m:val="bi"/>
          </m:rPr>
          <w:rPr>
            <w:rFonts w:ascii="Cambria Math"/>
            <w:color w:val="000000"/>
            <w:sz w:val="20"/>
            <w:szCs w:val="20"/>
          </w:rPr>
          <m:t xml:space="preserve"> =</m:t>
        </m:r>
        <m:nary>
          <m:naryPr>
            <m:chr m:val="∑"/>
            <m:limLoc m:val="undOvr"/>
            <m:subHide m:val="1"/>
            <m:supHide m:val="1"/>
            <m:ctrlPr>
              <w:rPr>
                <w:rFonts w:ascii="Cambria Math" w:hAnsi="Cambria Math"/>
                <w:i/>
                <w:color w:val="000000"/>
                <w:sz w:val="20"/>
                <w:szCs w:val="20"/>
              </w:rPr>
            </m:ctrlPr>
          </m:naryPr>
          <m:sub/>
          <m:sup/>
          <m:e>
            <m:r>
              <m:rPr>
                <m:sty m:val="bi"/>
              </m:rPr>
              <w:rPr>
                <w:rFonts w:ascii="Cambria Math"/>
                <w:color w:val="000000"/>
                <w:sz w:val="20"/>
                <w:szCs w:val="20"/>
              </w:rPr>
              <m:t>(</m:t>
            </m:r>
            <m:r>
              <m:rPr>
                <m:sty m:val="bi"/>
              </m:rPr>
              <w:rPr>
                <w:rFonts w:ascii="Cambria Math" w:hAnsi="Cambria Math"/>
                <w:color w:val="000000"/>
                <w:sz w:val="20"/>
                <w:szCs w:val="20"/>
              </w:rPr>
              <m:t>W</m:t>
            </m:r>
            <m:r>
              <m:rPr>
                <m:sty m:val="bi"/>
              </m:rPr>
              <w:rPr>
                <w:rFonts w:hAnsi="Cambria Math"/>
                <w:color w:val="000000"/>
                <w:sz w:val="20"/>
                <w:szCs w:val="20"/>
              </w:rPr>
              <m:t>*</m:t>
            </m:r>
            <m:r>
              <m:rPr>
                <m:sty m:val="bi"/>
              </m:rPr>
              <w:rPr>
                <w:rFonts w:ascii="Cambria Math" w:hAnsi="Cambria Math"/>
                <w:color w:val="000000"/>
                <w:sz w:val="20"/>
                <w:szCs w:val="20"/>
              </w:rPr>
              <m:t>T</m:t>
            </m:r>
            <m:r>
              <m:rPr>
                <m:sty m:val="bi"/>
              </m:rPr>
              <w:rPr>
                <w:rFonts w:hAnsi="Cambria Math"/>
                <w:color w:val="000000"/>
                <w:sz w:val="20"/>
                <w:szCs w:val="20"/>
              </w:rPr>
              <m:t>*</m:t>
            </m:r>
            <m:r>
              <m:rPr>
                <m:sty m:val="bi"/>
              </m:rPr>
              <w:rPr>
                <w:rFonts w:ascii="Cambria Math" w:hAnsi="Cambria Math"/>
                <w:color w:val="000000"/>
                <w:sz w:val="20"/>
                <w:szCs w:val="20"/>
              </w:rPr>
              <m:t>L</m:t>
            </m:r>
            <m:r>
              <m:rPr>
                <m:sty m:val="bi"/>
              </m:rPr>
              <w:rPr>
                <w:rFonts w:ascii="Cambria Math"/>
                <w:color w:val="000000"/>
                <w:sz w:val="20"/>
                <w:szCs w:val="20"/>
              </w:rPr>
              <m:t>)</m:t>
            </m:r>
          </m:e>
        </m:nary>
      </m:oMath>
      <w:r w:rsidR="009A1E75">
        <w:rPr>
          <w:b/>
          <w:i/>
          <w:color w:val="000000"/>
          <w:sz w:val="20"/>
          <w:szCs w:val="20"/>
        </w:rPr>
        <w:t>……………………...4</w:t>
      </w:r>
    </w:p>
    <w:p w:rsidR="004F3F42" w:rsidRDefault="009A1E75">
      <w:pPr>
        <w:autoSpaceDE w:val="0"/>
        <w:autoSpaceDN w:val="0"/>
        <w:adjustRightInd w:val="0"/>
        <w:jc w:val="both"/>
        <w:rPr>
          <w:sz w:val="20"/>
          <w:szCs w:val="20"/>
        </w:rPr>
      </w:pPr>
      <w:r>
        <w:rPr>
          <w:sz w:val="20"/>
          <w:szCs w:val="20"/>
        </w:rPr>
        <w:t xml:space="preserve">After determining the product volumes, they were added together by obtaining the volume of sawn wood for each processed log. </w:t>
      </w:r>
    </w:p>
    <w:p w:rsidR="004F3F42" w:rsidRDefault="004F3F42">
      <w:pPr>
        <w:autoSpaceDE w:val="0"/>
        <w:autoSpaceDN w:val="0"/>
        <w:adjustRightInd w:val="0"/>
        <w:jc w:val="both"/>
        <w:rPr>
          <w:b/>
          <w:sz w:val="20"/>
          <w:szCs w:val="20"/>
        </w:rPr>
      </w:pPr>
    </w:p>
    <w:p w:rsidR="004F3F42" w:rsidRDefault="009A1E75">
      <w:pPr>
        <w:autoSpaceDE w:val="0"/>
        <w:autoSpaceDN w:val="0"/>
        <w:adjustRightInd w:val="0"/>
        <w:jc w:val="both"/>
        <w:rPr>
          <w:b/>
          <w:sz w:val="20"/>
          <w:szCs w:val="20"/>
        </w:rPr>
      </w:pPr>
      <w:r>
        <w:rPr>
          <w:b/>
          <w:sz w:val="20"/>
          <w:szCs w:val="20"/>
        </w:rPr>
        <w:t>Wood basic density determination</w:t>
      </w:r>
    </w:p>
    <w:p w:rsidR="004F3F42" w:rsidRDefault="009A1E75">
      <w:pPr>
        <w:autoSpaceDE w:val="0"/>
        <w:autoSpaceDN w:val="0"/>
        <w:adjustRightInd w:val="0"/>
        <w:ind w:firstLine="720"/>
        <w:jc w:val="both"/>
        <w:rPr>
          <w:color w:val="000000"/>
          <w:sz w:val="20"/>
          <w:szCs w:val="20"/>
        </w:rPr>
      </w:pPr>
      <w:r>
        <w:rPr>
          <w:sz w:val="20"/>
          <w:szCs w:val="20"/>
        </w:rPr>
        <w:t>For each section of logs, a wood disc was collected to determine the basic density of the wood and the carbon stored in sawn wood.</w:t>
      </w:r>
      <w:r>
        <w:rPr>
          <w:color w:val="000000"/>
          <w:sz w:val="20"/>
          <w:szCs w:val="20"/>
        </w:rPr>
        <w:t xml:space="preserve">  The wood disks collected in the field were taken to the laboratory where a wedge is cut from each disk and submerged in water for 21 days. Then the immersion </w:t>
      </w:r>
      <w:r w:rsidR="0041306F">
        <w:rPr>
          <w:color w:val="000000"/>
          <w:sz w:val="20"/>
          <w:szCs w:val="20"/>
        </w:rPr>
        <w:t>method was</w:t>
      </w:r>
      <w:r>
        <w:rPr>
          <w:color w:val="000000"/>
          <w:sz w:val="20"/>
          <w:szCs w:val="20"/>
        </w:rPr>
        <w:t xml:space="preserve"> used to obtain the saturated volume of the wet wedges. Wedges were then oven dried at </w:t>
      </w:r>
      <w:r>
        <w:rPr>
          <w:sz w:val="20"/>
          <w:szCs w:val="20"/>
        </w:rPr>
        <w:t>70</w:t>
      </w:r>
      <w:r>
        <w:rPr>
          <w:sz w:val="20"/>
          <w:szCs w:val="20"/>
          <w:vertAlign w:val="superscript"/>
        </w:rPr>
        <w:t>O</w:t>
      </w:r>
      <w:r>
        <w:rPr>
          <w:sz w:val="20"/>
          <w:szCs w:val="20"/>
        </w:rPr>
        <w:t xml:space="preserve"> C for 48- 96 hours </w:t>
      </w:r>
      <w:r>
        <w:rPr>
          <w:color w:val="000000"/>
          <w:sz w:val="20"/>
          <w:szCs w:val="20"/>
        </w:rPr>
        <w:t>until weight stabilized. The basic wood density of each sample as the ratio of dry weight (g) to saturated volume (cm</w:t>
      </w:r>
      <w:r>
        <w:rPr>
          <w:color w:val="000000"/>
          <w:sz w:val="20"/>
          <w:szCs w:val="20"/>
          <w:vertAlign w:val="superscript"/>
        </w:rPr>
        <w:t>3</w:t>
      </w:r>
      <w:r>
        <w:rPr>
          <w:color w:val="000000"/>
          <w:sz w:val="20"/>
          <w:szCs w:val="20"/>
        </w:rPr>
        <w:t>) was calculate</w:t>
      </w:r>
      <w:r w:rsidR="0041306F">
        <w:rPr>
          <w:color w:val="000000"/>
          <w:sz w:val="20"/>
          <w:szCs w:val="20"/>
        </w:rPr>
        <w:t>d</w:t>
      </w:r>
      <w:r>
        <w:rPr>
          <w:color w:val="000000"/>
          <w:sz w:val="20"/>
          <w:szCs w:val="20"/>
        </w:rPr>
        <w:t xml:space="preserve"> </w:t>
      </w:r>
      <w:r>
        <w:rPr>
          <w:sz w:val="20"/>
          <w:szCs w:val="20"/>
        </w:rPr>
        <w:t>(Wong, 2002)</w:t>
      </w:r>
      <w:r>
        <w:rPr>
          <w:color w:val="000000"/>
          <w:sz w:val="20"/>
          <w:szCs w:val="20"/>
        </w:rPr>
        <w:t xml:space="preserve">. A density value for each individual tree were obtained as the arithmetic mean of the densities of the log segments from that individual, and a species mean was calculated as the average of the means for the individual trees. </w:t>
      </w:r>
    </w:p>
    <w:p w:rsidR="004F3F42" w:rsidRDefault="004F3F42">
      <w:pPr>
        <w:autoSpaceDE w:val="0"/>
        <w:autoSpaceDN w:val="0"/>
        <w:adjustRightInd w:val="0"/>
        <w:jc w:val="both"/>
        <w:rPr>
          <w:b/>
          <w:sz w:val="20"/>
          <w:szCs w:val="20"/>
        </w:rPr>
      </w:pPr>
    </w:p>
    <w:p w:rsidR="004F3F42" w:rsidRDefault="009A1E75">
      <w:pPr>
        <w:autoSpaceDE w:val="0"/>
        <w:autoSpaceDN w:val="0"/>
        <w:adjustRightInd w:val="0"/>
        <w:jc w:val="both"/>
        <w:rPr>
          <w:b/>
          <w:sz w:val="20"/>
          <w:szCs w:val="20"/>
        </w:rPr>
      </w:pPr>
      <w:r>
        <w:rPr>
          <w:b/>
          <w:sz w:val="20"/>
          <w:szCs w:val="20"/>
        </w:rPr>
        <w:t>Data analysis</w:t>
      </w:r>
    </w:p>
    <w:p w:rsidR="004F3F42" w:rsidRDefault="009A1E75">
      <w:pPr>
        <w:autoSpaceDE w:val="0"/>
        <w:autoSpaceDN w:val="0"/>
        <w:adjustRightInd w:val="0"/>
        <w:jc w:val="both"/>
        <w:rPr>
          <w:b/>
          <w:color w:val="000000"/>
          <w:sz w:val="20"/>
          <w:szCs w:val="20"/>
        </w:rPr>
      </w:pPr>
      <w:r>
        <w:rPr>
          <w:rFonts w:eastAsia="TimesNewRoman"/>
          <w:sz w:val="20"/>
          <w:szCs w:val="20"/>
        </w:rPr>
        <w:t>Sawn log data were processed into suitable form for data analysis:</w:t>
      </w:r>
    </w:p>
    <w:p w:rsidR="004F3F42" w:rsidRDefault="009A1E75">
      <w:pPr>
        <w:autoSpaceDE w:val="0"/>
        <w:autoSpaceDN w:val="0"/>
        <w:adjustRightInd w:val="0"/>
        <w:jc w:val="both"/>
        <w:rPr>
          <w:b/>
          <w:color w:val="000000"/>
          <w:sz w:val="20"/>
          <w:szCs w:val="20"/>
        </w:rPr>
      </w:pPr>
      <w:r>
        <w:rPr>
          <w:b/>
          <w:color w:val="000000"/>
          <w:sz w:val="20"/>
          <w:szCs w:val="20"/>
        </w:rPr>
        <w:t xml:space="preserve">Biomass of logs </w:t>
      </w:r>
      <w:r>
        <w:rPr>
          <w:b/>
          <w:sz w:val="20"/>
          <w:szCs w:val="20"/>
        </w:rPr>
        <w:t>computed as</w:t>
      </w:r>
    </w:p>
    <w:p w:rsidR="004F3F42" w:rsidRDefault="009A1E75">
      <w:pPr>
        <w:autoSpaceDE w:val="0"/>
        <w:autoSpaceDN w:val="0"/>
        <w:adjustRightInd w:val="0"/>
        <w:jc w:val="both"/>
        <w:rPr>
          <w:b/>
          <w:i/>
          <w:sz w:val="20"/>
          <w:szCs w:val="20"/>
        </w:rPr>
      </w:pPr>
      <w:r>
        <w:rPr>
          <w:b/>
          <w:i/>
          <w:color w:val="000000"/>
          <w:sz w:val="20"/>
          <w:szCs w:val="20"/>
        </w:rPr>
        <w:t>B = Vlog× dbc ……………………….. (5)</w:t>
      </w:r>
    </w:p>
    <w:p w:rsidR="004F3F42" w:rsidRDefault="009A1E75">
      <w:pPr>
        <w:autoSpaceDE w:val="0"/>
        <w:autoSpaceDN w:val="0"/>
        <w:adjustRightInd w:val="0"/>
        <w:jc w:val="both"/>
        <w:rPr>
          <w:color w:val="000000"/>
          <w:sz w:val="20"/>
          <w:szCs w:val="20"/>
        </w:rPr>
      </w:pPr>
      <w:r>
        <w:rPr>
          <w:color w:val="000000"/>
          <w:sz w:val="20"/>
          <w:szCs w:val="20"/>
        </w:rPr>
        <w:t xml:space="preserve"> Where: B = stem biomass of the sampled trees with bark (Mg), V log = volume of log with bark (m</w:t>
      </w:r>
      <w:r>
        <w:rPr>
          <w:color w:val="000000"/>
          <w:sz w:val="20"/>
          <w:szCs w:val="20"/>
          <w:vertAlign w:val="superscript"/>
        </w:rPr>
        <w:t>3</w:t>
      </w:r>
      <w:r>
        <w:rPr>
          <w:color w:val="000000"/>
          <w:sz w:val="20"/>
          <w:szCs w:val="20"/>
        </w:rPr>
        <w:t>), and dbc= mean basic density of wood with bark (g cm</w:t>
      </w:r>
      <w:r>
        <w:rPr>
          <w:color w:val="000000"/>
          <w:sz w:val="20"/>
          <w:szCs w:val="20"/>
          <w:vertAlign w:val="superscript"/>
        </w:rPr>
        <w:t>-3</w:t>
      </w:r>
      <w:r>
        <w:rPr>
          <w:color w:val="000000"/>
          <w:sz w:val="20"/>
          <w:szCs w:val="20"/>
        </w:rPr>
        <w:t xml:space="preserve">). </w:t>
      </w:r>
    </w:p>
    <w:p w:rsidR="004F3F42" w:rsidRDefault="004F3F42">
      <w:pPr>
        <w:autoSpaceDE w:val="0"/>
        <w:autoSpaceDN w:val="0"/>
        <w:adjustRightInd w:val="0"/>
        <w:jc w:val="both"/>
        <w:rPr>
          <w:b/>
          <w:color w:val="000000"/>
          <w:sz w:val="20"/>
          <w:szCs w:val="20"/>
        </w:rPr>
      </w:pPr>
    </w:p>
    <w:p w:rsidR="004F3F42" w:rsidRDefault="009A1E75">
      <w:pPr>
        <w:autoSpaceDE w:val="0"/>
        <w:autoSpaceDN w:val="0"/>
        <w:adjustRightInd w:val="0"/>
        <w:jc w:val="both"/>
        <w:rPr>
          <w:b/>
          <w:sz w:val="20"/>
          <w:szCs w:val="20"/>
        </w:rPr>
      </w:pPr>
      <w:r>
        <w:rPr>
          <w:b/>
          <w:color w:val="000000"/>
          <w:sz w:val="20"/>
          <w:szCs w:val="20"/>
        </w:rPr>
        <w:t xml:space="preserve">Biomass of sawn wood product </w:t>
      </w:r>
      <w:r>
        <w:rPr>
          <w:b/>
          <w:sz w:val="20"/>
          <w:szCs w:val="20"/>
        </w:rPr>
        <w:t>computed as</w:t>
      </w:r>
    </w:p>
    <w:p w:rsidR="004F3F42" w:rsidRDefault="009A1E75">
      <w:pPr>
        <w:autoSpaceDE w:val="0"/>
        <w:autoSpaceDN w:val="0"/>
        <w:adjustRightInd w:val="0"/>
        <w:jc w:val="both"/>
        <w:rPr>
          <w:b/>
          <w:color w:val="000000"/>
          <w:sz w:val="20"/>
          <w:szCs w:val="20"/>
        </w:rPr>
      </w:pPr>
      <w:r>
        <w:rPr>
          <w:b/>
          <w:color w:val="000000"/>
          <w:sz w:val="20"/>
          <w:szCs w:val="20"/>
        </w:rPr>
        <w:t>Biomass =Vlum × dbc   ………………….(6)</w:t>
      </w:r>
    </w:p>
    <w:p w:rsidR="004F3F42" w:rsidRDefault="009A1E75">
      <w:pPr>
        <w:autoSpaceDE w:val="0"/>
        <w:autoSpaceDN w:val="0"/>
        <w:adjustRightInd w:val="0"/>
        <w:jc w:val="both"/>
        <w:rPr>
          <w:color w:val="000000"/>
          <w:sz w:val="20"/>
          <w:szCs w:val="20"/>
        </w:rPr>
      </w:pPr>
      <w:r>
        <w:rPr>
          <w:color w:val="000000"/>
          <w:sz w:val="20"/>
          <w:szCs w:val="20"/>
        </w:rPr>
        <w:t>Where;   dbc= the basic wood density, Vlum = the volume of sawn wood products.</w:t>
      </w:r>
    </w:p>
    <w:p w:rsidR="004F3F42" w:rsidRDefault="004F3F42">
      <w:pPr>
        <w:autoSpaceDE w:val="0"/>
        <w:autoSpaceDN w:val="0"/>
        <w:adjustRightInd w:val="0"/>
        <w:jc w:val="both"/>
        <w:rPr>
          <w:b/>
          <w:color w:val="000000"/>
          <w:sz w:val="20"/>
          <w:szCs w:val="20"/>
        </w:rPr>
      </w:pPr>
    </w:p>
    <w:p w:rsidR="004F3F42" w:rsidRDefault="009A1E75">
      <w:pPr>
        <w:autoSpaceDE w:val="0"/>
        <w:autoSpaceDN w:val="0"/>
        <w:adjustRightInd w:val="0"/>
        <w:jc w:val="both"/>
        <w:rPr>
          <w:color w:val="000000"/>
          <w:sz w:val="20"/>
          <w:szCs w:val="20"/>
        </w:rPr>
      </w:pPr>
      <w:r>
        <w:rPr>
          <w:b/>
          <w:color w:val="000000"/>
          <w:sz w:val="20"/>
          <w:szCs w:val="20"/>
        </w:rPr>
        <w:t>Carbon Stock Estimation</w:t>
      </w:r>
    </w:p>
    <w:p w:rsidR="004F3F42" w:rsidRDefault="009A1E75">
      <w:pPr>
        <w:autoSpaceDE w:val="0"/>
        <w:autoSpaceDN w:val="0"/>
        <w:adjustRightInd w:val="0"/>
        <w:ind w:firstLine="720"/>
        <w:jc w:val="both"/>
        <w:rPr>
          <w:color w:val="000000"/>
          <w:sz w:val="20"/>
          <w:szCs w:val="20"/>
        </w:rPr>
      </w:pPr>
      <w:r>
        <w:rPr>
          <w:color w:val="000000"/>
          <w:sz w:val="20"/>
          <w:szCs w:val="20"/>
        </w:rPr>
        <w:t xml:space="preserve">The carbon stocks in the log and in the sawn wood product were calculated..The carbon stock were calculated by multiplying the biomass values by the mean carbon content of 0.49 with standard deviation 0.05 </w:t>
      </w:r>
      <w:r>
        <w:rPr>
          <w:sz w:val="20"/>
          <w:szCs w:val="20"/>
        </w:rPr>
        <w:t>to obtain the carbon stock for each tree stem and sawn wood.</w:t>
      </w:r>
    </w:p>
    <w:p w:rsidR="004F3F42" w:rsidRDefault="009A1E75">
      <w:pPr>
        <w:pStyle w:val="ListParagraph"/>
        <w:autoSpaceDE w:val="0"/>
        <w:autoSpaceDN w:val="0"/>
        <w:adjustRightInd w:val="0"/>
        <w:spacing w:after="0" w:line="240" w:lineRule="auto"/>
        <w:ind w:left="0"/>
        <w:jc w:val="both"/>
        <w:rPr>
          <w:rFonts w:ascii="Times New Roman" w:hAnsi="Times New Roman"/>
          <w:b/>
          <w:i/>
          <w:color w:val="000000"/>
          <w:sz w:val="20"/>
          <w:szCs w:val="20"/>
        </w:rPr>
      </w:pPr>
      <w:r>
        <w:rPr>
          <w:rFonts w:ascii="Times New Roman" w:hAnsi="Times New Roman"/>
          <w:b/>
          <w:i/>
          <w:color w:val="000000"/>
          <w:sz w:val="20"/>
          <w:szCs w:val="20"/>
        </w:rPr>
        <w:t xml:space="preserve">Carbon Stock in logs (CS) </w:t>
      </w:r>
    </w:p>
    <w:p w:rsidR="004F3F42" w:rsidRDefault="009A1E75">
      <w:pPr>
        <w:pStyle w:val="ListParagraph"/>
        <w:autoSpaceDE w:val="0"/>
        <w:autoSpaceDN w:val="0"/>
        <w:adjustRightInd w:val="0"/>
        <w:spacing w:after="0" w:line="240" w:lineRule="auto"/>
        <w:ind w:left="0"/>
        <w:jc w:val="both"/>
        <w:rPr>
          <w:rFonts w:ascii="Times New Roman" w:hAnsi="Times New Roman"/>
          <w:b/>
          <w:bCs/>
          <w:i/>
          <w:sz w:val="20"/>
          <w:szCs w:val="20"/>
        </w:rPr>
      </w:pPr>
      <w:r>
        <w:rPr>
          <w:rFonts w:ascii="Times New Roman" w:hAnsi="Times New Roman"/>
          <w:i/>
          <w:color w:val="000000"/>
          <w:sz w:val="20"/>
          <w:szCs w:val="20"/>
        </w:rPr>
        <w:t xml:space="preserve">CS </w:t>
      </w:r>
      <w:r>
        <w:rPr>
          <w:rFonts w:ascii="Times New Roman" w:hAnsi="Times New Roman"/>
          <w:b/>
          <w:bCs/>
          <w:i/>
          <w:sz w:val="20"/>
          <w:szCs w:val="20"/>
        </w:rPr>
        <w:t>= Biomass×0.49……………….. (7)</w:t>
      </w:r>
    </w:p>
    <w:p w:rsidR="004F3F42" w:rsidRDefault="004F3F42">
      <w:pPr>
        <w:autoSpaceDE w:val="0"/>
        <w:autoSpaceDN w:val="0"/>
        <w:adjustRightInd w:val="0"/>
        <w:jc w:val="both"/>
        <w:rPr>
          <w:b/>
          <w:i/>
          <w:color w:val="000000"/>
          <w:sz w:val="20"/>
          <w:szCs w:val="20"/>
        </w:rPr>
      </w:pPr>
    </w:p>
    <w:p w:rsidR="004F3F42" w:rsidRDefault="009A1E75">
      <w:pPr>
        <w:autoSpaceDE w:val="0"/>
        <w:autoSpaceDN w:val="0"/>
        <w:adjustRightInd w:val="0"/>
        <w:jc w:val="both"/>
        <w:rPr>
          <w:b/>
          <w:bCs/>
          <w:i/>
          <w:sz w:val="20"/>
          <w:szCs w:val="20"/>
        </w:rPr>
      </w:pPr>
      <w:r>
        <w:rPr>
          <w:b/>
          <w:i/>
          <w:color w:val="000000"/>
          <w:sz w:val="20"/>
          <w:szCs w:val="20"/>
        </w:rPr>
        <w:t>Carbon store in sawn wood product (FC</w:t>
      </w:r>
      <w:r>
        <w:rPr>
          <w:b/>
          <w:i/>
          <w:color w:val="000000"/>
          <w:sz w:val="20"/>
          <w:szCs w:val="20"/>
          <w:vertAlign w:val="subscript"/>
        </w:rPr>
        <w:t>sawn</w:t>
      </w:r>
      <w:r>
        <w:rPr>
          <w:b/>
          <w:i/>
          <w:color w:val="000000"/>
          <w:sz w:val="20"/>
          <w:szCs w:val="20"/>
        </w:rPr>
        <w:t xml:space="preserve">) </w:t>
      </w:r>
    </w:p>
    <w:p w:rsidR="004F3F42" w:rsidRDefault="009A1E75">
      <w:pPr>
        <w:autoSpaceDE w:val="0"/>
        <w:autoSpaceDN w:val="0"/>
        <w:adjustRightInd w:val="0"/>
        <w:jc w:val="both"/>
        <w:rPr>
          <w:i/>
          <w:sz w:val="20"/>
          <w:szCs w:val="20"/>
        </w:rPr>
      </w:pPr>
      <w:r>
        <w:rPr>
          <w:b/>
          <w:i/>
          <w:color w:val="000000"/>
          <w:sz w:val="20"/>
          <w:szCs w:val="20"/>
        </w:rPr>
        <w:t>(FC</w:t>
      </w:r>
      <w:r>
        <w:rPr>
          <w:b/>
          <w:i/>
          <w:color w:val="000000"/>
          <w:sz w:val="20"/>
          <w:szCs w:val="20"/>
          <w:vertAlign w:val="subscript"/>
        </w:rPr>
        <w:t>sawn</w:t>
      </w:r>
      <w:r>
        <w:rPr>
          <w:b/>
          <w:i/>
          <w:color w:val="000000"/>
          <w:sz w:val="20"/>
          <w:szCs w:val="20"/>
        </w:rPr>
        <w:t xml:space="preserve">) </w:t>
      </w:r>
      <w:r>
        <w:rPr>
          <w:b/>
          <w:bCs/>
          <w:i/>
          <w:sz w:val="20"/>
          <w:szCs w:val="20"/>
        </w:rPr>
        <w:t>= Biomass×0.49   ………… (8)</w:t>
      </w:r>
    </w:p>
    <w:p w:rsidR="004F3F42" w:rsidRDefault="009A1E75">
      <w:pPr>
        <w:autoSpaceDE w:val="0"/>
        <w:autoSpaceDN w:val="0"/>
        <w:adjustRightInd w:val="0"/>
        <w:jc w:val="both"/>
        <w:rPr>
          <w:sz w:val="20"/>
          <w:szCs w:val="20"/>
        </w:rPr>
      </w:pPr>
      <w:r>
        <w:rPr>
          <w:sz w:val="20"/>
          <w:szCs w:val="20"/>
        </w:rPr>
        <w:t>Where: CS= carbon stock in logs; FC= Carbon stock in the sawn wood product.</w:t>
      </w:r>
    </w:p>
    <w:p w:rsidR="004F3F42" w:rsidRDefault="004F3F42">
      <w:pPr>
        <w:autoSpaceDE w:val="0"/>
        <w:autoSpaceDN w:val="0"/>
        <w:adjustRightInd w:val="0"/>
        <w:jc w:val="both"/>
        <w:rPr>
          <w:b/>
          <w:bCs/>
          <w:color w:val="000000"/>
          <w:sz w:val="20"/>
          <w:szCs w:val="20"/>
        </w:rPr>
      </w:pPr>
    </w:p>
    <w:p w:rsidR="004F3F42" w:rsidRDefault="009A1E75">
      <w:pPr>
        <w:autoSpaceDE w:val="0"/>
        <w:autoSpaceDN w:val="0"/>
        <w:adjustRightInd w:val="0"/>
        <w:jc w:val="both"/>
        <w:rPr>
          <w:b/>
          <w:bCs/>
          <w:color w:val="000000"/>
          <w:sz w:val="20"/>
          <w:szCs w:val="20"/>
        </w:rPr>
      </w:pPr>
      <w:r>
        <w:rPr>
          <w:b/>
          <w:bCs/>
          <w:color w:val="000000"/>
          <w:sz w:val="20"/>
          <w:szCs w:val="20"/>
        </w:rPr>
        <w:t xml:space="preserve">Statistical Analysis </w:t>
      </w:r>
    </w:p>
    <w:p w:rsidR="004F3F42" w:rsidRDefault="009A1E75">
      <w:pPr>
        <w:autoSpaceDE w:val="0"/>
        <w:autoSpaceDN w:val="0"/>
        <w:adjustRightInd w:val="0"/>
        <w:ind w:firstLine="720"/>
        <w:jc w:val="both"/>
        <w:rPr>
          <w:sz w:val="20"/>
          <w:szCs w:val="20"/>
        </w:rPr>
      </w:pPr>
      <w:r>
        <w:rPr>
          <w:color w:val="000000"/>
          <w:sz w:val="20"/>
          <w:szCs w:val="20"/>
        </w:rPr>
        <w:t xml:space="preserve">Descriptive statistics such as mean, regression and correlation analysis were used to summarize the </w:t>
      </w:r>
      <w:r w:rsidR="0041306F">
        <w:rPr>
          <w:color w:val="000000"/>
          <w:sz w:val="20"/>
          <w:szCs w:val="20"/>
        </w:rPr>
        <w:t xml:space="preserve">estimated </w:t>
      </w:r>
      <w:r w:rsidR="0041306F">
        <w:rPr>
          <w:sz w:val="20"/>
          <w:szCs w:val="20"/>
        </w:rPr>
        <w:t>carbon</w:t>
      </w:r>
      <w:r>
        <w:rPr>
          <w:sz w:val="20"/>
          <w:szCs w:val="20"/>
        </w:rPr>
        <w:t xml:space="preserve"> stock parameters in sawn logs. </w:t>
      </w:r>
    </w:p>
    <w:p w:rsidR="004F3F42" w:rsidRDefault="004F3F42">
      <w:pPr>
        <w:autoSpaceDE w:val="0"/>
        <w:autoSpaceDN w:val="0"/>
        <w:adjustRightInd w:val="0"/>
        <w:jc w:val="both"/>
        <w:rPr>
          <w:b/>
          <w:sz w:val="20"/>
          <w:szCs w:val="20"/>
        </w:rPr>
      </w:pPr>
    </w:p>
    <w:p w:rsidR="004F3F42" w:rsidRDefault="009A1E75">
      <w:pPr>
        <w:autoSpaceDE w:val="0"/>
        <w:autoSpaceDN w:val="0"/>
        <w:adjustRightInd w:val="0"/>
        <w:jc w:val="both"/>
        <w:rPr>
          <w:b/>
          <w:sz w:val="20"/>
          <w:szCs w:val="20"/>
        </w:rPr>
      </w:pPr>
      <w:r>
        <w:rPr>
          <w:b/>
          <w:sz w:val="20"/>
          <w:szCs w:val="20"/>
        </w:rPr>
        <w:t>Model Development</w:t>
      </w:r>
    </w:p>
    <w:p w:rsidR="004F3F42" w:rsidRDefault="009A1E75">
      <w:pPr>
        <w:pStyle w:val="ListParagraph"/>
        <w:autoSpaceDE w:val="0"/>
        <w:autoSpaceDN w:val="0"/>
        <w:adjustRightInd w:val="0"/>
        <w:spacing w:after="0" w:line="240" w:lineRule="auto"/>
        <w:ind w:left="0"/>
        <w:jc w:val="both"/>
        <w:rPr>
          <w:rFonts w:ascii="Times New Roman" w:eastAsia="TimesNewRoman" w:hAnsi="Times New Roman"/>
          <w:sz w:val="20"/>
          <w:szCs w:val="20"/>
        </w:rPr>
      </w:pPr>
      <w:r>
        <w:rPr>
          <w:rFonts w:ascii="Times New Roman" w:eastAsia="TimesNewRoman" w:hAnsi="Times New Roman"/>
          <w:sz w:val="20"/>
          <w:szCs w:val="20"/>
        </w:rPr>
        <w:t>The following model functions were tried:</w:t>
      </w:r>
    </w:p>
    <w:p w:rsidR="004F3F42" w:rsidRDefault="009A1E75">
      <w:pPr>
        <w:autoSpaceDE w:val="0"/>
        <w:autoSpaceDN w:val="0"/>
        <w:adjustRightInd w:val="0"/>
        <w:jc w:val="both"/>
        <w:rPr>
          <w:bCs/>
          <w:color w:val="000000"/>
          <w:sz w:val="20"/>
          <w:szCs w:val="20"/>
        </w:rPr>
      </w:pPr>
      <w:r>
        <w:rPr>
          <w:bCs/>
          <w:color w:val="000000"/>
          <w:sz w:val="20"/>
          <w:szCs w:val="20"/>
        </w:rPr>
        <w:t xml:space="preserve">Simple Linear models: </w:t>
      </w:r>
    </w:p>
    <w:p w:rsidR="004F3F42" w:rsidRDefault="009A1E75">
      <w:pPr>
        <w:autoSpaceDE w:val="0"/>
        <w:autoSpaceDN w:val="0"/>
        <w:adjustRightInd w:val="0"/>
        <w:jc w:val="both"/>
        <w:rPr>
          <w:sz w:val="20"/>
          <w:szCs w:val="20"/>
        </w:rPr>
      </w:pPr>
      <w:r>
        <w:rPr>
          <w:bCs/>
          <w:color w:val="000000"/>
          <w:sz w:val="20"/>
          <w:szCs w:val="20"/>
        </w:rPr>
        <w:t xml:space="preserve">Y = </w:t>
      </w:r>
      <w:r>
        <w:rPr>
          <w:sz w:val="20"/>
          <w:szCs w:val="20"/>
        </w:rPr>
        <w:t>β</w:t>
      </w:r>
      <w:r>
        <w:rPr>
          <w:sz w:val="20"/>
          <w:szCs w:val="20"/>
          <w:vertAlign w:val="subscript"/>
        </w:rPr>
        <w:t xml:space="preserve">0 </w:t>
      </w:r>
      <w:r>
        <w:rPr>
          <w:sz w:val="20"/>
          <w:szCs w:val="20"/>
        </w:rPr>
        <w:t>+ β</w:t>
      </w:r>
      <w:r>
        <w:rPr>
          <w:sz w:val="20"/>
          <w:szCs w:val="20"/>
          <w:vertAlign w:val="subscript"/>
        </w:rPr>
        <w:t>1</w:t>
      </w:r>
      <w:r>
        <w:rPr>
          <w:sz w:val="20"/>
          <w:szCs w:val="20"/>
        </w:rPr>
        <w:t>X……………………..</w:t>
      </w:r>
      <w:r>
        <w:rPr>
          <w:b/>
          <w:sz w:val="20"/>
          <w:szCs w:val="20"/>
        </w:rPr>
        <w:t>Eqn. 9</w:t>
      </w:r>
    </w:p>
    <w:p w:rsidR="004F3F42" w:rsidRDefault="009A1E75">
      <w:pPr>
        <w:autoSpaceDE w:val="0"/>
        <w:autoSpaceDN w:val="0"/>
        <w:adjustRightInd w:val="0"/>
        <w:jc w:val="both"/>
        <w:rPr>
          <w:bCs/>
          <w:color w:val="000000"/>
          <w:sz w:val="20"/>
          <w:szCs w:val="20"/>
        </w:rPr>
      </w:pPr>
      <w:r>
        <w:rPr>
          <w:bCs/>
          <w:color w:val="000000"/>
          <w:sz w:val="20"/>
          <w:szCs w:val="20"/>
        </w:rPr>
        <w:t xml:space="preserve">Multiple Linear model: </w:t>
      </w:r>
    </w:p>
    <w:p w:rsidR="004F3F42" w:rsidRDefault="009A1E75">
      <w:pPr>
        <w:autoSpaceDE w:val="0"/>
        <w:autoSpaceDN w:val="0"/>
        <w:adjustRightInd w:val="0"/>
        <w:jc w:val="both"/>
        <w:rPr>
          <w:bCs/>
          <w:color w:val="000000"/>
          <w:sz w:val="20"/>
          <w:szCs w:val="20"/>
        </w:rPr>
      </w:pPr>
      <w:r>
        <w:rPr>
          <w:bCs/>
          <w:color w:val="000000"/>
          <w:sz w:val="20"/>
          <w:szCs w:val="20"/>
        </w:rPr>
        <w:t xml:space="preserve">Y = </w:t>
      </w:r>
      <w:r>
        <w:rPr>
          <w:sz w:val="20"/>
          <w:szCs w:val="20"/>
        </w:rPr>
        <w:t>β</w:t>
      </w:r>
      <w:r>
        <w:rPr>
          <w:sz w:val="20"/>
          <w:szCs w:val="20"/>
          <w:vertAlign w:val="subscript"/>
        </w:rPr>
        <w:t xml:space="preserve">0 </w:t>
      </w:r>
      <w:r>
        <w:rPr>
          <w:sz w:val="20"/>
          <w:szCs w:val="20"/>
        </w:rPr>
        <w:t>+ β</w:t>
      </w:r>
      <w:r>
        <w:rPr>
          <w:sz w:val="20"/>
          <w:szCs w:val="20"/>
          <w:vertAlign w:val="subscript"/>
        </w:rPr>
        <w:t>1</w:t>
      </w:r>
      <w:r>
        <w:rPr>
          <w:sz w:val="20"/>
          <w:szCs w:val="20"/>
        </w:rPr>
        <w:t>X</w:t>
      </w:r>
      <w:r>
        <w:rPr>
          <w:sz w:val="20"/>
          <w:szCs w:val="20"/>
          <w:vertAlign w:val="subscript"/>
        </w:rPr>
        <w:t>1</w:t>
      </w:r>
      <w:r>
        <w:rPr>
          <w:sz w:val="20"/>
          <w:szCs w:val="20"/>
        </w:rPr>
        <w:t>+ β</w:t>
      </w:r>
      <w:r>
        <w:rPr>
          <w:sz w:val="20"/>
          <w:szCs w:val="20"/>
          <w:vertAlign w:val="subscript"/>
        </w:rPr>
        <w:t>2</w:t>
      </w:r>
      <w:r>
        <w:rPr>
          <w:sz w:val="20"/>
          <w:szCs w:val="20"/>
        </w:rPr>
        <w:t>X</w:t>
      </w:r>
      <w:r>
        <w:rPr>
          <w:sz w:val="20"/>
          <w:szCs w:val="20"/>
          <w:vertAlign w:val="subscript"/>
        </w:rPr>
        <w:t>2 ………………….</w:t>
      </w:r>
      <w:r>
        <w:rPr>
          <w:b/>
          <w:sz w:val="20"/>
          <w:szCs w:val="20"/>
        </w:rPr>
        <w:t>Eqn. 10</w:t>
      </w:r>
    </w:p>
    <w:p w:rsidR="004F3F42" w:rsidRDefault="009A1E75">
      <w:pPr>
        <w:autoSpaceDE w:val="0"/>
        <w:autoSpaceDN w:val="0"/>
        <w:adjustRightInd w:val="0"/>
        <w:jc w:val="both"/>
        <w:rPr>
          <w:bCs/>
          <w:color w:val="000000"/>
          <w:sz w:val="20"/>
          <w:szCs w:val="20"/>
        </w:rPr>
      </w:pPr>
      <w:r>
        <w:rPr>
          <w:bCs/>
          <w:color w:val="000000"/>
          <w:sz w:val="20"/>
          <w:szCs w:val="20"/>
        </w:rPr>
        <w:t xml:space="preserve">Semi Logarithm model: </w:t>
      </w:r>
    </w:p>
    <w:p w:rsidR="004F3F42" w:rsidRDefault="009A1E75">
      <w:pPr>
        <w:autoSpaceDE w:val="0"/>
        <w:autoSpaceDN w:val="0"/>
        <w:adjustRightInd w:val="0"/>
        <w:jc w:val="both"/>
        <w:rPr>
          <w:bCs/>
          <w:color w:val="000000"/>
          <w:sz w:val="20"/>
          <w:szCs w:val="20"/>
        </w:rPr>
      </w:pPr>
      <w:r>
        <w:rPr>
          <w:bCs/>
          <w:color w:val="000000"/>
          <w:sz w:val="20"/>
          <w:szCs w:val="20"/>
        </w:rPr>
        <w:t xml:space="preserve">InY = </w:t>
      </w:r>
      <w:r>
        <w:rPr>
          <w:sz w:val="20"/>
          <w:szCs w:val="20"/>
        </w:rPr>
        <w:t>β</w:t>
      </w:r>
      <w:r>
        <w:rPr>
          <w:sz w:val="20"/>
          <w:szCs w:val="20"/>
          <w:vertAlign w:val="subscript"/>
        </w:rPr>
        <w:t xml:space="preserve">0 </w:t>
      </w:r>
      <w:r>
        <w:rPr>
          <w:sz w:val="20"/>
          <w:szCs w:val="20"/>
        </w:rPr>
        <w:t>+ β</w:t>
      </w:r>
      <w:r>
        <w:rPr>
          <w:sz w:val="20"/>
          <w:szCs w:val="20"/>
          <w:vertAlign w:val="subscript"/>
        </w:rPr>
        <w:t>1</w:t>
      </w:r>
      <w:r>
        <w:rPr>
          <w:sz w:val="20"/>
          <w:szCs w:val="20"/>
        </w:rPr>
        <w:t>X</w:t>
      </w:r>
      <w:r>
        <w:rPr>
          <w:sz w:val="20"/>
          <w:szCs w:val="20"/>
          <w:vertAlign w:val="subscript"/>
        </w:rPr>
        <w:t>1………………………….</w:t>
      </w:r>
      <w:r>
        <w:rPr>
          <w:b/>
          <w:sz w:val="20"/>
          <w:szCs w:val="20"/>
        </w:rPr>
        <w:t>Eqn. 11</w:t>
      </w:r>
    </w:p>
    <w:p w:rsidR="004F3F42" w:rsidRDefault="009A1E75">
      <w:pPr>
        <w:autoSpaceDE w:val="0"/>
        <w:autoSpaceDN w:val="0"/>
        <w:adjustRightInd w:val="0"/>
        <w:jc w:val="both"/>
        <w:rPr>
          <w:bCs/>
          <w:color w:val="000000"/>
          <w:sz w:val="20"/>
          <w:szCs w:val="20"/>
        </w:rPr>
      </w:pPr>
      <w:r>
        <w:rPr>
          <w:bCs/>
          <w:color w:val="000000"/>
          <w:sz w:val="20"/>
          <w:szCs w:val="20"/>
        </w:rPr>
        <w:t>Double Logarithms:</w:t>
      </w:r>
    </w:p>
    <w:p w:rsidR="004F3F42" w:rsidRDefault="009A1E75">
      <w:pPr>
        <w:autoSpaceDE w:val="0"/>
        <w:autoSpaceDN w:val="0"/>
        <w:adjustRightInd w:val="0"/>
        <w:jc w:val="both"/>
        <w:rPr>
          <w:color w:val="FF0000"/>
          <w:sz w:val="20"/>
          <w:szCs w:val="20"/>
        </w:rPr>
      </w:pPr>
      <w:r>
        <w:rPr>
          <w:bCs/>
          <w:color w:val="000000"/>
          <w:sz w:val="20"/>
          <w:szCs w:val="20"/>
        </w:rPr>
        <w:t xml:space="preserve">InY = </w:t>
      </w:r>
      <w:r>
        <w:rPr>
          <w:sz w:val="20"/>
          <w:szCs w:val="20"/>
        </w:rPr>
        <w:t>β</w:t>
      </w:r>
      <w:r>
        <w:rPr>
          <w:sz w:val="20"/>
          <w:szCs w:val="20"/>
          <w:vertAlign w:val="subscript"/>
        </w:rPr>
        <w:t xml:space="preserve">0 </w:t>
      </w:r>
      <w:r>
        <w:rPr>
          <w:sz w:val="20"/>
          <w:szCs w:val="20"/>
        </w:rPr>
        <w:t>+ β</w:t>
      </w:r>
      <w:r>
        <w:rPr>
          <w:sz w:val="20"/>
          <w:szCs w:val="20"/>
          <w:vertAlign w:val="subscript"/>
        </w:rPr>
        <w:t>1</w:t>
      </w:r>
      <w:r>
        <w:rPr>
          <w:sz w:val="20"/>
          <w:szCs w:val="20"/>
        </w:rPr>
        <w:t>InX</w:t>
      </w:r>
      <w:r>
        <w:rPr>
          <w:sz w:val="20"/>
          <w:szCs w:val="20"/>
          <w:vertAlign w:val="subscript"/>
        </w:rPr>
        <w:t>1…………………………</w:t>
      </w:r>
      <w:r>
        <w:rPr>
          <w:b/>
          <w:sz w:val="20"/>
          <w:szCs w:val="20"/>
          <w:vertAlign w:val="subscript"/>
        </w:rPr>
        <w:t>….</w:t>
      </w:r>
      <w:r>
        <w:rPr>
          <w:b/>
          <w:sz w:val="20"/>
          <w:szCs w:val="20"/>
        </w:rPr>
        <w:t>Eqn. 12</w:t>
      </w:r>
    </w:p>
    <w:p w:rsidR="004F3F42" w:rsidRDefault="009A1E75">
      <w:pPr>
        <w:autoSpaceDE w:val="0"/>
        <w:autoSpaceDN w:val="0"/>
        <w:adjustRightInd w:val="0"/>
        <w:jc w:val="both"/>
        <w:rPr>
          <w:sz w:val="20"/>
          <w:szCs w:val="20"/>
        </w:rPr>
      </w:pPr>
      <w:r>
        <w:rPr>
          <w:sz w:val="20"/>
          <w:szCs w:val="20"/>
        </w:rPr>
        <w:t xml:space="preserve">Quadratic function: </w:t>
      </w:r>
    </w:p>
    <w:p w:rsidR="004F3F42" w:rsidRDefault="009A1E75">
      <w:pPr>
        <w:autoSpaceDE w:val="0"/>
        <w:autoSpaceDN w:val="0"/>
        <w:adjustRightInd w:val="0"/>
        <w:jc w:val="both"/>
        <w:rPr>
          <w:b/>
          <w:sz w:val="20"/>
          <w:szCs w:val="20"/>
        </w:rPr>
      </w:pPr>
      <w:r>
        <w:rPr>
          <w:sz w:val="20"/>
          <w:szCs w:val="20"/>
        </w:rPr>
        <w:t>Y= β</w:t>
      </w:r>
      <w:r>
        <w:rPr>
          <w:sz w:val="20"/>
          <w:szCs w:val="20"/>
          <w:vertAlign w:val="subscript"/>
        </w:rPr>
        <w:t>0+</w:t>
      </w:r>
      <w:r>
        <w:rPr>
          <w:sz w:val="20"/>
          <w:szCs w:val="20"/>
        </w:rPr>
        <w:t xml:space="preserve"> β</w:t>
      </w:r>
      <w:r>
        <w:rPr>
          <w:sz w:val="20"/>
          <w:szCs w:val="20"/>
          <w:vertAlign w:val="subscript"/>
        </w:rPr>
        <w:t xml:space="preserve">1 </w:t>
      </w:r>
      <w:r>
        <w:rPr>
          <w:sz w:val="20"/>
          <w:szCs w:val="20"/>
        </w:rPr>
        <w:t>X</w:t>
      </w:r>
      <w:r>
        <w:rPr>
          <w:sz w:val="20"/>
          <w:szCs w:val="20"/>
          <w:vertAlign w:val="subscript"/>
        </w:rPr>
        <w:t>1+</w:t>
      </w:r>
      <w:r>
        <w:rPr>
          <w:sz w:val="20"/>
          <w:szCs w:val="20"/>
        </w:rPr>
        <w:t xml:space="preserve"> β</w:t>
      </w:r>
      <w:r>
        <w:rPr>
          <w:sz w:val="20"/>
          <w:szCs w:val="20"/>
          <w:vertAlign w:val="subscript"/>
        </w:rPr>
        <w:t>2</w:t>
      </w:r>
      <w:r>
        <w:rPr>
          <w:sz w:val="20"/>
          <w:szCs w:val="20"/>
        </w:rPr>
        <w:t>X</w:t>
      </w:r>
      <w:r>
        <w:rPr>
          <w:sz w:val="20"/>
          <w:szCs w:val="20"/>
          <w:vertAlign w:val="subscript"/>
        </w:rPr>
        <w:t>1</w:t>
      </w:r>
      <w:r>
        <w:rPr>
          <w:sz w:val="20"/>
          <w:szCs w:val="20"/>
          <w:vertAlign w:val="superscript"/>
        </w:rPr>
        <w:t>2</w:t>
      </w:r>
      <w:r>
        <w:rPr>
          <w:sz w:val="20"/>
          <w:szCs w:val="20"/>
        </w:rPr>
        <w:t>………………….</w:t>
      </w:r>
      <w:r>
        <w:rPr>
          <w:b/>
          <w:sz w:val="20"/>
          <w:szCs w:val="20"/>
        </w:rPr>
        <w:t>Eqn.13</w:t>
      </w:r>
    </w:p>
    <w:p w:rsidR="004F3F42" w:rsidRDefault="009A1E75">
      <w:pPr>
        <w:autoSpaceDE w:val="0"/>
        <w:autoSpaceDN w:val="0"/>
        <w:adjustRightInd w:val="0"/>
        <w:jc w:val="both"/>
        <w:rPr>
          <w:sz w:val="20"/>
          <w:szCs w:val="20"/>
        </w:rPr>
      </w:pPr>
      <w:r>
        <w:rPr>
          <w:sz w:val="20"/>
          <w:szCs w:val="20"/>
        </w:rPr>
        <w:t xml:space="preserve">Cubic function: </w:t>
      </w:r>
    </w:p>
    <w:p w:rsidR="004F3F42" w:rsidRDefault="009A1E75">
      <w:pPr>
        <w:autoSpaceDE w:val="0"/>
        <w:autoSpaceDN w:val="0"/>
        <w:adjustRightInd w:val="0"/>
        <w:jc w:val="both"/>
        <w:rPr>
          <w:b/>
          <w:sz w:val="20"/>
          <w:szCs w:val="20"/>
        </w:rPr>
      </w:pPr>
      <w:r>
        <w:rPr>
          <w:sz w:val="20"/>
          <w:szCs w:val="20"/>
        </w:rPr>
        <w:t>Y= β</w:t>
      </w:r>
      <w:r>
        <w:rPr>
          <w:sz w:val="20"/>
          <w:szCs w:val="20"/>
          <w:vertAlign w:val="subscript"/>
        </w:rPr>
        <w:t>0+</w:t>
      </w:r>
      <w:r>
        <w:rPr>
          <w:sz w:val="20"/>
          <w:szCs w:val="20"/>
        </w:rPr>
        <w:t xml:space="preserve"> β</w:t>
      </w:r>
      <w:r>
        <w:rPr>
          <w:sz w:val="20"/>
          <w:szCs w:val="20"/>
          <w:vertAlign w:val="subscript"/>
        </w:rPr>
        <w:t>1</w:t>
      </w:r>
      <w:r>
        <w:rPr>
          <w:sz w:val="20"/>
          <w:szCs w:val="20"/>
        </w:rPr>
        <w:t>X</w:t>
      </w:r>
      <w:r>
        <w:rPr>
          <w:sz w:val="20"/>
          <w:szCs w:val="20"/>
          <w:vertAlign w:val="subscript"/>
        </w:rPr>
        <w:t>1</w:t>
      </w:r>
      <w:r>
        <w:rPr>
          <w:sz w:val="20"/>
          <w:szCs w:val="20"/>
          <w:vertAlign w:val="superscript"/>
        </w:rPr>
        <w:t>2</w:t>
      </w:r>
      <w:r>
        <w:rPr>
          <w:sz w:val="20"/>
          <w:szCs w:val="20"/>
          <w:vertAlign w:val="subscript"/>
        </w:rPr>
        <w:t>+</w:t>
      </w:r>
      <w:r>
        <w:rPr>
          <w:sz w:val="20"/>
          <w:szCs w:val="20"/>
        </w:rPr>
        <w:t xml:space="preserve"> β</w:t>
      </w:r>
      <w:r>
        <w:rPr>
          <w:sz w:val="20"/>
          <w:szCs w:val="20"/>
          <w:vertAlign w:val="subscript"/>
        </w:rPr>
        <w:t>2</w:t>
      </w:r>
      <w:r>
        <w:rPr>
          <w:sz w:val="20"/>
          <w:szCs w:val="20"/>
        </w:rPr>
        <w:t>X</w:t>
      </w:r>
      <w:r>
        <w:rPr>
          <w:sz w:val="20"/>
          <w:szCs w:val="20"/>
          <w:vertAlign w:val="subscript"/>
        </w:rPr>
        <w:t>1</w:t>
      </w:r>
      <w:r>
        <w:rPr>
          <w:sz w:val="20"/>
          <w:szCs w:val="20"/>
          <w:vertAlign w:val="superscript"/>
        </w:rPr>
        <w:t>3</w:t>
      </w:r>
      <w:r>
        <w:rPr>
          <w:sz w:val="20"/>
          <w:szCs w:val="20"/>
        </w:rPr>
        <w:t>……………………...</w:t>
      </w:r>
      <w:r>
        <w:rPr>
          <w:b/>
          <w:sz w:val="20"/>
          <w:szCs w:val="20"/>
        </w:rPr>
        <w:t>Eqn.14</w:t>
      </w:r>
    </w:p>
    <w:p w:rsidR="004F3F42" w:rsidRDefault="009A1E75">
      <w:pPr>
        <w:autoSpaceDE w:val="0"/>
        <w:autoSpaceDN w:val="0"/>
        <w:adjustRightInd w:val="0"/>
        <w:jc w:val="both"/>
        <w:rPr>
          <w:sz w:val="20"/>
          <w:szCs w:val="20"/>
        </w:rPr>
      </w:pPr>
      <w:r>
        <w:rPr>
          <w:sz w:val="20"/>
          <w:szCs w:val="20"/>
        </w:rPr>
        <w:t xml:space="preserve">Power function: </w:t>
      </w:r>
    </w:p>
    <w:p w:rsidR="004F3F42" w:rsidRDefault="009A1E75">
      <w:pPr>
        <w:autoSpaceDE w:val="0"/>
        <w:autoSpaceDN w:val="0"/>
        <w:adjustRightInd w:val="0"/>
        <w:jc w:val="both"/>
        <w:rPr>
          <w:sz w:val="20"/>
          <w:szCs w:val="20"/>
        </w:rPr>
      </w:pPr>
      <w:r>
        <w:rPr>
          <w:sz w:val="20"/>
          <w:szCs w:val="20"/>
        </w:rPr>
        <w:t>Y= β</w:t>
      </w:r>
      <w:r>
        <w:rPr>
          <w:sz w:val="20"/>
          <w:szCs w:val="20"/>
          <w:vertAlign w:val="subscript"/>
        </w:rPr>
        <w:t>0</w:t>
      </w:r>
      <w:r>
        <w:rPr>
          <w:sz w:val="20"/>
          <w:szCs w:val="20"/>
        </w:rPr>
        <w:t>X</w:t>
      </w:r>
      <w:r>
        <w:rPr>
          <w:sz w:val="20"/>
          <w:szCs w:val="20"/>
          <w:vertAlign w:val="subscript"/>
        </w:rPr>
        <w:t>1</w:t>
      </w:r>
      <w:r>
        <w:rPr>
          <w:sz w:val="20"/>
          <w:szCs w:val="20"/>
          <w:vertAlign w:val="superscript"/>
        </w:rPr>
        <w:t>β1</w:t>
      </w:r>
      <w:r>
        <w:rPr>
          <w:sz w:val="20"/>
          <w:szCs w:val="20"/>
        </w:rPr>
        <w:t>…………………………….</w:t>
      </w:r>
      <w:r>
        <w:rPr>
          <w:b/>
          <w:sz w:val="20"/>
          <w:szCs w:val="20"/>
        </w:rPr>
        <w:t>Eqn.15</w:t>
      </w:r>
    </w:p>
    <w:p w:rsidR="004F3F42" w:rsidRDefault="009A1E75">
      <w:pPr>
        <w:autoSpaceDE w:val="0"/>
        <w:autoSpaceDN w:val="0"/>
        <w:adjustRightInd w:val="0"/>
        <w:jc w:val="both"/>
        <w:rPr>
          <w:sz w:val="20"/>
          <w:szCs w:val="20"/>
        </w:rPr>
      </w:pPr>
      <w:r>
        <w:rPr>
          <w:sz w:val="20"/>
          <w:szCs w:val="20"/>
        </w:rPr>
        <w:t>Exponential function:</w:t>
      </w:r>
    </w:p>
    <w:p w:rsidR="004F3F42" w:rsidRDefault="009A1E75">
      <w:pPr>
        <w:autoSpaceDE w:val="0"/>
        <w:autoSpaceDN w:val="0"/>
        <w:adjustRightInd w:val="0"/>
        <w:jc w:val="both"/>
        <w:rPr>
          <w:sz w:val="20"/>
          <w:szCs w:val="20"/>
        </w:rPr>
      </w:pPr>
      <w:r>
        <w:rPr>
          <w:sz w:val="20"/>
          <w:szCs w:val="20"/>
        </w:rPr>
        <w:t>Y= β</w:t>
      </w:r>
      <w:r>
        <w:rPr>
          <w:sz w:val="20"/>
          <w:szCs w:val="20"/>
          <w:vertAlign w:val="subscript"/>
        </w:rPr>
        <w:t>0</w:t>
      </w:r>
      <w:r>
        <w:rPr>
          <w:sz w:val="20"/>
          <w:szCs w:val="20"/>
        </w:rPr>
        <w:t>e</w:t>
      </w:r>
      <w:r>
        <w:rPr>
          <w:sz w:val="20"/>
          <w:szCs w:val="20"/>
          <w:vertAlign w:val="superscript"/>
        </w:rPr>
        <w:t>β1X</w:t>
      </w:r>
      <w:r>
        <w:rPr>
          <w:sz w:val="20"/>
          <w:szCs w:val="20"/>
          <w:vertAlign w:val="subscript"/>
        </w:rPr>
        <w:t>1</w:t>
      </w:r>
      <w:r>
        <w:rPr>
          <w:sz w:val="20"/>
          <w:szCs w:val="20"/>
        </w:rPr>
        <w:t>…………………….........</w:t>
      </w:r>
      <w:r>
        <w:rPr>
          <w:b/>
          <w:sz w:val="20"/>
          <w:szCs w:val="20"/>
        </w:rPr>
        <w:t>Eqn.16</w:t>
      </w:r>
    </w:p>
    <w:p w:rsidR="004F3F42" w:rsidRDefault="009A1E75">
      <w:pPr>
        <w:autoSpaceDE w:val="0"/>
        <w:autoSpaceDN w:val="0"/>
        <w:adjustRightInd w:val="0"/>
        <w:jc w:val="both"/>
        <w:rPr>
          <w:sz w:val="20"/>
          <w:szCs w:val="20"/>
        </w:rPr>
      </w:pPr>
      <w:r>
        <w:rPr>
          <w:sz w:val="20"/>
          <w:szCs w:val="20"/>
        </w:rPr>
        <w:t xml:space="preserve">Combine variables:  </w:t>
      </w:r>
    </w:p>
    <w:p w:rsidR="004F3F42" w:rsidRDefault="009A1E75">
      <w:pPr>
        <w:autoSpaceDE w:val="0"/>
        <w:autoSpaceDN w:val="0"/>
        <w:adjustRightInd w:val="0"/>
        <w:jc w:val="both"/>
        <w:rPr>
          <w:sz w:val="20"/>
          <w:szCs w:val="20"/>
        </w:rPr>
      </w:pPr>
      <w:r>
        <w:rPr>
          <w:sz w:val="20"/>
          <w:szCs w:val="20"/>
        </w:rPr>
        <w:t>Y= β</w:t>
      </w:r>
      <w:r>
        <w:rPr>
          <w:sz w:val="20"/>
          <w:szCs w:val="20"/>
          <w:vertAlign w:val="subscript"/>
        </w:rPr>
        <w:t>0+</w:t>
      </w:r>
      <w:r>
        <w:rPr>
          <w:sz w:val="20"/>
          <w:szCs w:val="20"/>
        </w:rPr>
        <w:t xml:space="preserve"> β</w:t>
      </w:r>
      <w:r>
        <w:rPr>
          <w:sz w:val="20"/>
          <w:szCs w:val="20"/>
          <w:vertAlign w:val="subscript"/>
        </w:rPr>
        <w:t xml:space="preserve">1 </w:t>
      </w:r>
      <w:r>
        <w:rPr>
          <w:sz w:val="20"/>
          <w:szCs w:val="20"/>
        </w:rPr>
        <w:t>(X</w:t>
      </w:r>
      <w:r>
        <w:rPr>
          <w:sz w:val="20"/>
          <w:szCs w:val="20"/>
          <w:vertAlign w:val="subscript"/>
        </w:rPr>
        <w:t>1</w:t>
      </w:r>
      <w:r>
        <w:rPr>
          <w:sz w:val="20"/>
          <w:szCs w:val="20"/>
          <w:vertAlign w:val="superscript"/>
        </w:rPr>
        <w:t>2</w:t>
      </w:r>
      <w:r>
        <w:rPr>
          <w:sz w:val="20"/>
          <w:szCs w:val="20"/>
        </w:rPr>
        <w:t>) X</w:t>
      </w:r>
      <w:r>
        <w:rPr>
          <w:sz w:val="20"/>
          <w:szCs w:val="20"/>
          <w:vertAlign w:val="subscript"/>
        </w:rPr>
        <w:t>2</w:t>
      </w:r>
      <w:r>
        <w:rPr>
          <w:sz w:val="20"/>
          <w:szCs w:val="20"/>
        </w:rPr>
        <w:t>……………….......</w:t>
      </w:r>
      <w:r>
        <w:rPr>
          <w:b/>
          <w:sz w:val="20"/>
          <w:szCs w:val="20"/>
        </w:rPr>
        <w:t xml:space="preserve"> Eqn.17</w:t>
      </w:r>
    </w:p>
    <w:p w:rsidR="004F3F42" w:rsidRDefault="009A1E75">
      <w:pPr>
        <w:autoSpaceDE w:val="0"/>
        <w:autoSpaceDN w:val="0"/>
        <w:adjustRightInd w:val="0"/>
        <w:jc w:val="both"/>
        <w:rPr>
          <w:sz w:val="20"/>
          <w:szCs w:val="20"/>
        </w:rPr>
      </w:pPr>
      <w:r>
        <w:rPr>
          <w:sz w:val="20"/>
          <w:szCs w:val="20"/>
        </w:rPr>
        <w:t xml:space="preserve">Inverse function: </w:t>
      </w:r>
    </w:p>
    <w:p w:rsidR="004F3F42" w:rsidRDefault="009A1E75">
      <w:pPr>
        <w:autoSpaceDE w:val="0"/>
        <w:autoSpaceDN w:val="0"/>
        <w:adjustRightInd w:val="0"/>
        <w:jc w:val="both"/>
        <w:rPr>
          <w:b/>
          <w:sz w:val="20"/>
          <w:szCs w:val="20"/>
        </w:rPr>
      </w:pPr>
      <w:r>
        <w:rPr>
          <w:sz w:val="20"/>
          <w:szCs w:val="20"/>
        </w:rPr>
        <w:t>Y = β</w:t>
      </w:r>
      <w:r>
        <w:rPr>
          <w:sz w:val="20"/>
          <w:szCs w:val="20"/>
          <w:vertAlign w:val="subscript"/>
        </w:rPr>
        <w:t xml:space="preserve">0- </w:t>
      </w:r>
      <w:r>
        <w:rPr>
          <w:sz w:val="20"/>
          <w:szCs w:val="20"/>
        </w:rPr>
        <w:t>β</w:t>
      </w:r>
      <w:r>
        <w:rPr>
          <w:sz w:val="20"/>
          <w:szCs w:val="20"/>
          <w:vertAlign w:val="subscript"/>
        </w:rPr>
        <w:t xml:space="preserve">1 </w:t>
      </w:r>
      <w:r>
        <w:rPr>
          <w:sz w:val="20"/>
          <w:szCs w:val="20"/>
        </w:rPr>
        <w:t>X</w:t>
      </w:r>
      <w:r>
        <w:rPr>
          <w:sz w:val="20"/>
          <w:szCs w:val="20"/>
          <w:vertAlign w:val="subscript"/>
        </w:rPr>
        <w:t>1</w:t>
      </w:r>
      <w:r>
        <w:rPr>
          <w:sz w:val="20"/>
          <w:szCs w:val="20"/>
          <w:vertAlign w:val="superscript"/>
        </w:rPr>
        <w:t>-1</w:t>
      </w:r>
      <w:r>
        <w:rPr>
          <w:sz w:val="20"/>
          <w:szCs w:val="20"/>
        </w:rPr>
        <w:t xml:space="preserve">…………………………    </w:t>
      </w:r>
      <w:r>
        <w:rPr>
          <w:b/>
          <w:sz w:val="20"/>
          <w:szCs w:val="20"/>
        </w:rPr>
        <w:t>Eqn.18</w:t>
      </w:r>
    </w:p>
    <w:p w:rsidR="004F3F42" w:rsidRDefault="004F3F42">
      <w:pPr>
        <w:autoSpaceDE w:val="0"/>
        <w:autoSpaceDN w:val="0"/>
        <w:adjustRightInd w:val="0"/>
        <w:jc w:val="both"/>
        <w:rPr>
          <w:sz w:val="20"/>
          <w:szCs w:val="20"/>
        </w:rPr>
      </w:pPr>
    </w:p>
    <w:p w:rsidR="004F3F42" w:rsidRDefault="009A1E75">
      <w:pPr>
        <w:autoSpaceDE w:val="0"/>
        <w:autoSpaceDN w:val="0"/>
        <w:adjustRightInd w:val="0"/>
        <w:jc w:val="both"/>
        <w:rPr>
          <w:sz w:val="20"/>
          <w:szCs w:val="20"/>
        </w:rPr>
      </w:pPr>
      <w:r>
        <w:rPr>
          <w:sz w:val="20"/>
          <w:szCs w:val="20"/>
        </w:rPr>
        <w:t xml:space="preserve">X = Log variables such as dbh, Commercial length, Volume, Wood basic density (dbc), Biomass (B) and Carbon store in sawn wood product (FC); </w:t>
      </w:r>
      <w:r>
        <w:rPr>
          <w:bCs/>
          <w:color w:val="000000"/>
          <w:sz w:val="20"/>
          <w:szCs w:val="20"/>
        </w:rPr>
        <w:t>β</w:t>
      </w:r>
      <w:r>
        <w:rPr>
          <w:bCs/>
          <w:color w:val="000000"/>
          <w:sz w:val="20"/>
          <w:szCs w:val="20"/>
          <w:vertAlign w:val="subscript"/>
        </w:rPr>
        <w:t>0</w:t>
      </w:r>
      <w:r>
        <w:rPr>
          <w:bCs/>
          <w:color w:val="000000"/>
          <w:sz w:val="20"/>
          <w:szCs w:val="20"/>
        </w:rPr>
        <w:t>, β</w:t>
      </w:r>
      <w:r>
        <w:rPr>
          <w:bCs/>
          <w:color w:val="000000"/>
          <w:sz w:val="20"/>
          <w:szCs w:val="20"/>
          <w:vertAlign w:val="subscript"/>
        </w:rPr>
        <w:t xml:space="preserve">1 </w:t>
      </w:r>
      <w:r>
        <w:rPr>
          <w:sz w:val="20"/>
          <w:szCs w:val="20"/>
        </w:rPr>
        <w:t>=  model parameters</w:t>
      </w:r>
    </w:p>
    <w:p w:rsidR="004F3F42" w:rsidRDefault="004F3F42">
      <w:pPr>
        <w:autoSpaceDE w:val="0"/>
        <w:autoSpaceDN w:val="0"/>
        <w:adjustRightInd w:val="0"/>
        <w:jc w:val="both"/>
        <w:rPr>
          <w:b/>
          <w:sz w:val="20"/>
          <w:szCs w:val="20"/>
        </w:rPr>
      </w:pPr>
    </w:p>
    <w:p w:rsidR="004F3F42" w:rsidRDefault="009A1E75">
      <w:pPr>
        <w:autoSpaceDE w:val="0"/>
        <w:autoSpaceDN w:val="0"/>
        <w:adjustRightInd w:val="0"/>
        <w:jc w:val="both"/>
        <w:rPr>
          <w:b/>
          <w:sz w:val="20"/>
          <w:szCs w:val="20"/>
        </w:rPr>
      </w:pPr>
      <w:r>
        <w:rPr>
          <w:b/>
          <w:sz w:val="20"/>
          <w:szCs w:val="20"/>
        </w:rPr>
        <w:t>Models Assessment</w:t>
      </w:r>
    </w:p>
    <w:p w:rsidR="004F3F42" w:rsidRDefault="009A1E75">
      <w:pPr>
        <w:autoSpaceDE w:val="0"/>
        <w:autoSpaceDN w:val="0"/>
        <w:adjustRightInd w:val="0"/>
        <w:jc w:val="both"/>
        <w:rPr>
          <w:b/>
          <w:iCs/>
          <w:sz w:val="20"/>
          <w:szCs w:val="20"/>
        </w:rPr>
      </w:pPr>
      <w:r>
        <w:rPr>
          <w:b/>
          <w:iCs/>
          <w:sz w:val="20"/>
          <w:szCs w:val="20"/>
        </w:rPr>
        <w:t>Coefficient of Determination (</w:t>
      </w:r>
      <w:r>
        <w:rPr>
          <w:b/>
          <w:sz w:val="20"/>
          <w:szCs w:val="20"/>
        </w:rPr>
        <w:t>R</w:t>
      </w:r>
      <w:r>
        <w:rPr>
          <w:b/>
          <w:sz w:val="20"/>
          <w:szCs w:val="20"/>
          <w:vertAlign w:val="superscript"/>
        </w:rPr>
        <w:t>2</w:t>
      </w:r>
      <w:r>
        <w:rPr>
          <w:b/>
          <w:iCs/>
          <w:sz w:val="20"/>
          <w:szCs w:val="20"/>
        </w:rPr>
        <w:t>)</w:t>
      </w:r>
    </w:p>
    <w:p w:rsidR="004F3F42" w:rsidRDefault="009A1E75">
      <w:pPr>
        <w:pStyle w:val="ListParagraph"/>
        <w:autoSpaceDE w:val="0"/>
        <w:autoSpaceDN w:val="0"/>
        <w:adjustRightInd w:val="0"/>
        <w:spacing w:after="0" w:line="240" w:lineRule="auto"/>
        <w:ind w:left="0"/>
        <w:jc w:val="both"/>
        <w:rPr>
          <w:rFonts w:ascii="Times New Roman" w:eastAsia="TimesNewRoman" w:hAnsi="Times New Roman"/>
          <w:sz w:val="20"/>
          <w:szCs w:val="20"/>
        </w:rPr>
      </w:pPr>
      <w:r>
        <w:rPr>
          <w:rFonts w:ascii="Times New Roman" w:eastAsia="TimesNewRoman" w:hAnsi="Times New Roman"/>
          <w:sz w:val="20"/>
          <w:szCs w:val="20"/>
        </w:rPr>
        <w:t xml:space="preserve">This is a measure of the proportion of variation in the dependent variable that is being explained by the behaviour of the independent variable. For the model to be accepted, the </w:t>
      </w:r>
      <w:r>
        <w:rPr>
          <w:rFonts w:ascii="Times New Roman" w:hAnsi="Times New Roman"/>
          <w:i/>
          <w:iCs/>
          <w:sz w:val="20"/>
          <w:szCs w:val="20"/>
        </w:rPr>
        <w:t>R</w:t>
      </w:r>
      <w:r>
        <w:rPr>
          <w:rFonts w:ascii="Times New Roman" w:hAnsi="Times New Roman"/>
          <w:i/>
          <w:iCs/>
          <w:sz w:val="20"/>
          <w:szCs w:val="20"/>
          <w:vertAlign w:val="superscript"/>
        </w:rPr>
        <w:t>2</w:t>
      </w:r>
      <w:r>
        <w:rPr>
          <w:rFonts w:ascii="Times New Roman" w:eastAsia="TimesNewRoman" w:hAnsi="Times New Roman"/>
          <w:sz w:val="20"/>
          <w:szCs w:val="20"/>
        </w:rPr>
        <w:t>must be high (</w:t>
      </w:r>
      <w:r>
        <w:rPr>
          <w:rFonts w:ascii="Times New Roman" w:eastAsia="CambriaMath" w:hAnsi="Times New Roman"/>
          <w:sz w:val="20"/>
          <w:szCs w:val="20"/>
        </w:rPr>
        <w:t>at least,≥</w:t>
      </w:r>
      <w:r>
        <w:rPr>
          <w:rFonts w:ascii="Times New Roman" w:eastAsia="TimesNewRoman" w:hAnsi="Times New Roman"/>
          <w:sz w:val="20"/>
          <w:szCs w:val="20"/>
        </w:rPr>
        <w:t>50%).</w:t>
      </w:r>
    </w:p>
    <w:p w:rsidR="004F3F42" w:rsidRDefault="004F3F42">
      <w:pPr>
        <w:pStyle w:val="ListParagraph"/>
        <w:autoSpaceDE w:val="0"/>
        <w:autoSpaceDN w:val="0"/>
        <w:adjustRightInd w:val="0"/>
        <w:spacing w:after="0" w:line="240" w:lineRule="auto"/>
        <w:ind w:left="0"/>
        <w:jc w:val="both"/>
        <w:rPr>
          <w:rFonts w:ascii="Times New Roman" w:eastAsia="TimesNewRoman" w:hAnsi="Times New Roman"/>
          <w:sz w:val="20"/>
          <w:szCs w:val="20"/>
        </w:rPr>
      </w:pPr>
    </w:p>
    <w:p w:rsidR="004F3F42" w:rsidRDefault="009A1E75">
      <w:pPr>
        <w:pStyle w:val="ListParagraph"/>
        <w:autoSpaceDE w:val="0"/>
        <w:autoSpaceDN w:val="0"/>
        <w:adjustRightInd w:val="0"/>
        <w:spacing w:after="0" w:line="240" w:lineRule="auto"/>
        <w:ind w:left="0"/>
        <w:jc w:val="both"/>
        <w:rPr>
          <w:rFonts w:ascii="Times New Roman" w:eastAsia="TimesNewRoman" w:hAnsi="Times New Roman"/>
          <w:b/>
          <w:i/>
          <w:sz w:val="20"/>
          <w:szCs w:val="20"/>
        </w:rPr>
      </w:pPr>
      <w:r>
        <w:rPr>
          <w:rFonts w:ascii="Times New Roman" w:hAnsi="Times New Roman"/>
          <w:b/>
          <w:i/>
          <w:sz w:val="20"/>
          <w:szCs w:val="20"/>
        </w:rPr>
        <w:t>R</w:t>
      </w:r>
      <w:r>
        <w:rPr>
          <w:rFonts w:ascii="Times New Roman" w:hAnsi="Times New Roman"/>
          <w:b/>
          <w:i/>
          <w:sz w:val="20"/>
          <w:szCs w:val="20"/>
          <w:vertAlign w:val="superscript"/>
        </w:rPr>
        <w:t>2</w:t>
      </w:r>
      <w:r w:rsidRPr="00547315">
        <w:rPr>
          <w:rFonts w:ascii="Times New Roman" w:hAnsi="Times New Roman"/>
          <w:b/>
          <w:i/>
          <w:position w:val="-24"/>
          <w:sz w:val="20"/>
          <w:szCs w:val="20"/>
        </w:rPr>
        <w:object w:dxaOrig="1035" w:dyaOrig="600">
          <v:shape id="_x0000_i1031" type="#_x0000_t75" style="width:51.75pt;height:30pt" o:ole="">
            <v:imagedata r:id="rId36" o:title=""/>
          </v:shape>
          <o:OLEObject Type="Embed" ProgID="Equation.3" ShapeID="_x0000_i1031" DrawAspect="Content" ObjectID="_1753933210" r:id="rId37"/>
        </w:object>
      </w:r>
      <w:r>
        <w:rPr>
          <w:rFonts w:ascii="Times New Roman" w:hAnsi="Times New Roman"/>
          <w:b/>
          <w:i/>
          <w:sz w:val="20"/>
          <w:szCs w:val="20"/>
        </w:rPr>
        <w:t>……………………….Eqn.19</w:t>
      </w:r>
    </w:p>
    <w:p w:rsidR="004F3F42" w:rsidRDefault="009A1E75">
      <w:pPr>
        <w:autoSpaceDE w:val="0"/>
        <w:autoSpaceDN w:val="0"/>
        <w:adjustRightInd w:val="0"/>
        <w:jc w:val="both"/>
        <w:rPr>
          <w:rFonts w:eastAsia="TimesNewRoman"/>
          <w:sz w:val="20"/>
          <w:szCs w:val="20"/>
        </w:rPr>
      </w:pPr>
      <w:r>
        <w:rPr>
          <w:rFonts w:eastAsia="TimesNewRoman"/>
          <w:sz w:val="20"/>
          <w:szCs w:val="20"/>
        </w:rPr>
        <w:t>Where; SSE=error sum of squares, SST=total sum of squares.</w:t>
      </w:r>
    </w:p>
    <w:p w:rsidR="004F3F42" w:rsidRDefault="004F3F42">
      <w:pPr>
        <w:autoSpaceDE w:val="0"/>
        <w:autoSpaceDN w:val="0"/>
        <w:adjustRightInd w:val="0"/>
        <w:jc w:val="both"/>
        <w:rPr>
          <w:rFonts w:eastAsia="TimesNewRoman"/>
          <w:sz w:val="20"/>
          <w:szCs w:val="20"/>
        </w:rPr>
      </w:pPr>
    </w:p>
    <w:p w:rsidR="004F3F42" w:rsidRDefault="009A1E75">
      <w:pPr>
        <w:autoSpaceDE w:val="0"/>
        <w:autoSpaceDN w:val="0"/>
        <w:adjustRightInd w:val="0"/>
        <w:jc w:val="both"/>
        <w:rPr>
          <w:rFonts w:eastAsia="TimesNewRoman"/>
          <w:sz w:val="20"/>
          <w:szCs w:val="20"/>
        </w:rPr>
      </w:pPr>
      <w:r>
        <w:rPr>
          <w:b/>
          <w:sz w:val="20"/>
          <w:szCs w:val="20"/>
        </w:rPr>
        <w:t xml:space="preserve">Root Mean Square Error (RMSE): </w:t>
      </w:r>
      <w:r>
        <w:rPr>
          <w:sz w:val="20"/>
          <w:szCs w:val="20"/>
        </w:rPr>
        <w:t>Represents the sample standard deviation of the differences between predicted and observed values. It estimates must be low as much as possible in order to reduce biased. The equation(s) with the highest R</w:t>
      </w:r>
      <w:r>
        <w:rPr>
          <w:position w:val="8"/>
          <w:sz w:val="20"/>
          <w:szCs w:val="20"/>
          <w:vertAlign w:val="superscript"/>
        </w:rPr>
        <w:t xml:space="preserve">2 </w:t>
      </w:r>
      <w:r>
        <w:rPr>
          <w:sz w:val="20"/>
          <w:szCs w:val="20"/>
        </w:rPr>
        <w:t xml:space="preserve">and lowest RMSE were chosen and adjudged the best. </w:t>
      </w:r>
    </w:p>
    <w:p w:rsidR="004F3F42" w:rsidRDefault="006D70E9">
      <w:pPr>
        <w:pStyle w:val="ListParagraph"/>
        <w:autoSpaceDE w:val="0"/>
        <w:autoSpaceDN w:val="0"/>
        <w:adjustRightInd w:val="0"/>
        <w:spacing w:after="0" w:line="240" w:lineRule="auto"/>
        <w:ind w:left="0"/>
        <w:rPr>
          <w:rFonts w:ascii="Times New Roman" w:hAnsi="Times New Roman"/>
          <w:b/>
          <w:i/>
          <w:sz w:val="20"/>
          <w:szCs w:val="20"/>
        </w:rPr>
      </w:pPr>
      <w:r w:rsidRPr="000209DD">
        <w:rPr>
          <w:rFonts w:ascii="Times New Roman" w:hAnsi="Times New Roman"/>
          <w:b/>
          <w:i/>
          <w:noProof/>
          <w:sz w:val="20"/>
          <w:szCs w:val="20"/>
          <w:lang w:val="en-US" w:eastAsia="zh-CN"/>
        </w:rPr>
        <w:lastRenderedPageBreak/>
        <w:drawing>
          <wp:inline distT="0" distB="0" distL="0" distR="0">
            <wp:extent cx="1704975" cy="51498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4975" cy="514985"/>
                    </a:xfrm>
                    <a:prstGeom prst="rect">
                      <a:avLst/>
                    </a:prstGeom>
                    <a:noFill/>
                    <a:ln>
                      <a:noFill/>
                    </a:ln>
                  </pic:spPr>
                </pic:pic>
              </a:graphicData>
            </a:graphic>
          </wp:inline>
        </w:drawing>
      </w:r>
      <w:r w:rsidR="009A1E75">
        <w:rPr>
          <w:rFonts w:ascii="Times New Roman" w:hAnsi="Times New Roman"/>
          <w:b/>
          <w:i/>
          <w:sz w:val="20"/>
          <w:szCs w:val="20"/>
        </w:rPr>
        <w:t>…………..Eqn.20</w:t>
      </w:r>
    </w:p>
    <w:p w:rsidR="00AB3A8B" w:rsidRDefault="00AB3A8B">
      <w:pPr>
        <w:pStyle w:val="ListParagraph"/>
        <w:autoSpaceDE w:val="0"/>
        <w:autoSpaceDN w:val="0"/>
        <w:adjustRightInd w:val="0"/>
        <w:spacing w:after="0" w:line="240" w:lineRule="auto"/>
        <w:ind w:left="0"/>
        <w:jc w:val="both"/>
        <w:rPr>
          <w:rFonts w:ascii="Times New Roman" w:hAnsi="Times New Roman"/>
          <w:b/>
          <w:color w:val="000000"/>
          <w:sz w:val="20"/>
          <w:szCs w:val="20"/>
        </w:rPr>
      </w:pPr>
    </w:p>
    <w:p w:rsidR="004F3F42" w:rsidRDefault="009A1E75">
      <w:pPr>
        <w:pStyle w:val="ListParagraph"/>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b/>
          <w:color w:val="000000"/>
          <w:sz w:val="20"/>
          <w:szCs w:val="20"/>
        </w:rPr>
        <w:t xml:space="preserve">Akaike information criterion (AIC): </w:t>
      </w:r>
      <w:r>
        <w:rPr>
          <w:rFonts w:ascii="Times New Roman" w:hAnsi="Times New Roman"/>
          <w:sz w:val="20"/>
          <w:szCs w:val="20"/>
        </w:rPr>
        <w:t xml:space="preserve">It is a criterion for equation selection among a finite set of equations </w:t>
      </w:r>
      <w:r>
        <w:rPr>
          <w:rFonts w:ascii="Times New Roman" w:hAnsi="Times New Roman"/>
          <w:color w:val="000000"/>
          <w:sz w:val="20"/>
          <w:szCs w:val="20"/>
        </w:rPr>
        <w:t>with the best fit</w:t>
      </w:r>
      <w:r>
        <w:rPr>
          <w:rFonts w:ascii="Times New Roman" w:hAnsi="Times New Roman"/>
          <w:sz w:val="20"/>
          <w:szCs w:val="20"/>
        </w:rPr>
        <w:t xml:space="preserve">; the model with the lowest AIC is preferred for model development </w:t>
      </w:r>
      <w:r>
        <w:rPr>
          <w:rFonts w:ascii="Times New Roman" w:hAnsi="Times New Roman"/>
          <w:color w:val="000000"/>
          <w:sz w:val="20"/>
          <w:szCs w:val="20"/>
        </w:rPr>
        <w:t xml:space="preserve">(Akaike, 1974; Chave </w:t>
      </w:r>
      <w:r w:rsidRPr="0041306F">
        <w:rPr>
          <w:rFonts w:ascii="Times New Roman" w:hAnsi="Times New Roman"/>
          <w:i/>
          <w:color w:val="000000"/>
          <w:sz w:val="20"/>
          <w:szCs w:val="20"/>
        </w:rPr>
        <w:t>et al</w:t>
      </w:r>
      <w:r>
        <w:rPr>
          <w:rFonts w:ascii="Times New Roman" w:hAnsi="Times New Roman"/>
          <w:color w:val="000000"/>
          <w:sz w:val="20"/>
          <w:szCs w:val="20"/>
        </w:rPr>
        <w:t>., 2005)</w:t>
      </w:r>
      <w:r>
        <w:rPr>
          <w:rFonts w:ascii="Times New Roman" w:hAnsi="Times New Roman"/>
          <w:sz w:val="20"/>
          <w:szCs w:val="20"/>
        </w:rPr>
        <w:t>. The mathematical expression for comparing</w:t>
      </w:r>
      <w:r w:rsidR="0041306F">
        <w:rPr>
          <w:rFonts w:ascii="Times New Roman" w:hAnsi="Times New Roman"/>
          <w:sz w:val="20"/>
          <w:szCs w:val="20"/>
        </w:rPr>
        <w:t xml:space="preserve">  </w:t>
      </w:r>
      <w:r>
        <w:rPr>
          <w:rFonts w:ascii="Times New Roman" w:hAnsi="Times New Roman"/>
          <w:sz w:val="20"/>
          <w:szCs w:val="20"/>
        </w:rPr>
        <w:t xml:space="preserve">maximum likelihood equations is defined as: </w:t>
      </w:r>
    </w:p>
    <w:p w:rsidR="004F3F42" w:rsidRDefault="009A1E75">
      <w:pPr>
        <w:autoSpaceDE w:val="0"/>
        <w:autoSpaceDN w:val="0"/>
        <w:adjustRightInd w:val="0"/>
        <w:jc w:val="both"/>
        <w:rPr>
          <w:b/>
          <w:i/>
          <w:sz w:val="20"/>
          <w:szCs w:val="20"/>
        </w:rPr>
      </w:pPr>
      <w:r>
        <w:rPr>
          <w:i/>
          <w:sz w:val="20"/>
          <w:szCs w:val="20"/>
        </w:rPr>
        <w:t xml:space="preserve">AIC ═ </w:t>
      </w:r>
      <m:oMath>
        <m:r>
          <w:rPr>
            <w:rFonts w:ascii="Cambria Math" w:hAnsi="Cambria Math"/>
            <w:sz w:val="20"/>
            <w:szCs w:val="20"/>
          </w:rPr>
          <m:t>NIn</m:t>
        </m:r>
        <m:r>
          <w:rPr>
            <w:rFonts w:asci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d>
              <m:dPr>
                <m:ctrlPr>
                  <w:rPr>
                    <w:rFonts w:ascii="Cambria Math" w:hAnsi="Cambria Math"/>
                    <w:i/>
                    <w:sz w:val="20"/>
                    <w:szCs w:val="20"/>
                  </w:rPr>
                </m:ctrlPr>
              </m:dPr>
              <m:e>
                <m:r>
                  <w:rPr>
                    <w:rFonts w:ascii="Cambria Math" w:hAnsi="Cambria Math"/>
                    <w:sz w:val="20"/>
                    <w:szCs w:val="20"/>
                  </w:rPr>
                  <m:t>yi-</m:t>
                </m:r>
                <m:r>
                  <w:rPr>
                    <w:rFonts w:ascii="Cambria Math"/>
                    <w:sz w:val="20"/>
                    <w:szCs w:val="20"/>
                  </w:rPr>
                  <m:t>ý</m:t>
                </m:r>
              </m:e>
            </m:d>
            <m:r>
              <w:rPr>
                <w:rFonts w:ascii="Cambria Math"/>
                <w:sz w:val="20"/>
                <w:szCs w:val="20"/>
              </w:rPr>
              <m:t>2/</m:t>
            </m:r>
            <m:r>
              <w:rPr>
                <w:rFonts w:ascii="Cambria Math" w:hAnsi="Cambria Math"/>
                <w:sz w:val="20"/>
                <w:szCs w:val="20"/>
              </w:rPr>
              <m:t>n</m:t>
            </m:r>
            <m:r>
              <w:rPr>
                <w:rFonts w:ascii="Cambria Math"/>
                <w:sz w:val="20"/>
                <w:szCs w:val="20"/>
              </w:rPr>
              <m:t>)+2</m:t>
            </m:r>
            <m:r>
              <w:rPr>
                <w:rFonts w:ascii="Cambria Math" w:hAnsi="Cambria Math"/>
                <w:sz w:val="20"/>
                <w:szCs w:val="20"/>
              </w:rPr>
              <m:t>K</m:t>
            </m:r>
          </m:e>
        </m:nary>
      </m:oMath>
      <w:r>
        <w:rPr>
          <w:rFonts w:eastAsia="Times New Roman"/>
          <w:i/>
          <w:sz w:val="20"/>
          <w:szCs w:val="20"/>
        </w:rPr>
        <w:t>…………</w:t>
      </w:r>
      <w:r>
        <w:rPr>
          <w:rFonts w:eastAsia="Times New Roman"/>
          <w:b/>
          <w:i/>
          <w:sz w:val="20"/>
          <w:szCs w:val="20"/>
        </w:rPr>
        <w:t>Eqn. 21</w:t>
      </w:r>
    </w:p>
    <w:p w:rsidR="004F3F42" w:rsidRDefault="009A1E75">
      <w:pPr>
        <w:autoSpaceDE w:val="0"/>
        <w:autoSpaceDN w:val="0"/>
        <w:adjustRightInd w:val="0"/>
        <w:jc w:val="both"/>
        <w:rPr>
          <w:sz w:val="20"/>
          <w:szCs w:val="20"/>
        </w:rPr>
      </w:pPr>
      <w:r>
        <w:rPr>
          <w:sz w:val="20"/>
          <w:szCs w:val="20"/>
        </w:rPr>
        <w:t>Where:   y</w:t>
      </w:r>
      <w:r>
        <w:rPr>
          <w:sz w:val="20"/>
          <w:szCs w:val="20"/>
          <w:vertAlign w:val="subscript"/>
        </w:rPr>
        <w:t>i</w:t>
      </w:r>
      <w:r>
        <w:rPr>
          <w:sz w:val="20"/>
          <w:szCs w:val="20"/>
        </w:rPr>
        <w:t xml:space="preserve"> = observed value; ŷ</w:t>
      </w:r>
      <w:r>
        <w:rPr>
          <w:sz w:val="20"/>
          <w:szCs w:val="20"/>
          <w:vertAlign w:val="subscript"/>
        </w:rPr>
        <w:t>i</w:t>
      </w:r>
      <w:r>
        <w:rPr>
          <w:sz w:val="20"/>
          <w:szCs w:val="20"/>
        </w:rPr>
        <w:t xml:space="preserve"> = predicted value; N = number of observations; K = number of parameters estimated.</w:t>
      </w:r>
    </w:p>
    <w:p w:rsidR="004F3F42" w:rsidRDefault="004F3F42">
      <w:pPr>
        <w:autoSpaceDE w:val="0"/>
        <w:autoSpaceDN w:val="0"/>
        <w:adjustRightInd w:val="0"/>
        <w:jc w:val="both"/>
        <w:rPr>
          <w:sz w:val="20"/>
          <w:szCs w:val="20"/>
        </w:rPr>
      </w:pPr>
    </w:p>
    <w:p w:rsidR="004F3F42" w:rsidRDefault="009A1E75">
      <w:pPr>
        <w:autoSpaceDE w:val="0"/>
        <w:autoSpaceDN w:val="0"/>
        <w:adjustRightInd w:val="0"/>
        <w:jc w:val="both"/>
        <w:rPr>
          <w:sz w:val="20"/>
          <w:szCs w:val="20"/>
        </w:rPr>
      </w:pPr>
      <w:r>
        <w:rPr>
          <w:b/>
          <w:sz w:val="20"/>
          <w:szCs w:val="20"/>
        </w:rPr>
        <w:t>Mean Absolute Percentage Error</w:t>
      </w:r>
      <w:r w:rsidR="0041306F">
        <w:rPr>
          <w:b/>
          <w:sz w:val="20"/>
          <w:szCs w:val="20"/>
        </w:rPr>
        <w:t xml:space="preserve"> </w:t>
      </w:r>
      <w:r>
        <w:rPr>
          <w:b/>
          <w:sz w:val="20"/>
          <w:szCs w:val="20"/>
        </w:rPr>
        <w:t>(MAPE)</w:t>
      </w:r>
      <w:r>
        <w:rPr>
          <w:sz w:val="20"/>
          <w:szCs w:val="20"/>
        </w:rPr>
        <w:t>: It is also known as mean absolute percentage deviation and it is essentially used as a measure of prediction accuracy of a forecasting method (de Myttenaere, 2016). MAPE value of less than 10% shows that the model is highly accurate, 11–20% indicates a good model, while 21–50% suggests a reasonable model and more than 50% indicates inaccurate (Lewis, 1982).</w:t>
      </w:r>
    </w:p>
    <w:p w:rsidR="004F3F42" w:rsidRDefault="009A1E75">
      <w:pPr>
        <w:autoSpaceDE w:val="0"/>
        <w:autoSpaceDN w:val="0"/>
        <w:adjustRightInd w:val="0"/>
        <w:jc w:val="both"/>
        <w:rPr>
          <w:b/>
          <w:i/>
          <w:sz w:val="20"/>
          <w:szCs w:val="20"/>
        </w:rPr>
      </w:pPr>
      <w:r>
        <w:rPr>
          <w:b/>
          <w:i/>
          <w:sz w:val="20"/>
          <w:szCs w:val="20"/>
        </w:rPr>
        <w:t xml:space="preserve">MAPE=  </w:t>
      </w:r>
      <m:oMath>
        <m:r>
          <m:rPr>
            <m:sty m:val="bi"/>
          </m:rPr>
          <w:rPr>
            <w:rFonts w:ascii="Cambria Math" w:hAnsi="Cambria Math"/>
            <w:sz w:val="20"/>
            <w:szCs w:val="20"/>
          </w:rPr>
          <m:t>1</m:t>
        </m:r>
        <m:r>
          <m:rPr>
            <m:sty m:val="bi"/>
          </m:rPr>
          <w:rPr>
            <w:rFonts w:ascii="Cambria Math"/>
            <w:sz w:val="20"/>
            <w:szCs w:val="20"/>
          </w:rPr>
          <m:t>/</m:t>
        </m:r>
        <m:r>
          <m:rPr>
            <m:sty m:val="bi"/>
          </m:rPr>
          <w:rPr>
            <w:rFonts w:ascii="Cambria Math" w:hAnsi="Cambria Math"/>
            <w:sz w:val="20"/>
            <w:szCs w:val="20"/>
          </w:rPr>
          <m:t>n</m:t>
        </m:r>
        <m:nary>
          <m:naryPr>
            <m:chr m:val="∑"/>
            <m:limLoc m:val="undOvr"/>
            <m:ctrlPr>
              <w:rPr>
                <w:rFonts w:ascii="Cambria Math" w:hAnsi="Cambria Math"/>
                <w:b/>
                <w:i/>
                <w:sz w:val="20"/>
                <w:szCs w:val="20"/>
              </w:rPr>
            </m:ctrlPr>
          </m:naryPr>
          <m:sub>
            <m:r>
              <m:rPr>
                <m:sty m:val="bi"/>
              </m:rPr>
              <w:rPr>
                <w:rFonts w:ascii="Cambria Math" w:hAnsi="Cambria Math"/>
                <w:sz w:val="20"/>
                <w:szCs w:val="20"/>
              </w:rPr>
              <m:t>i</m:t>
            </m:r>
            <m:r>
              <m:rPr>
                <m:sty m:val="bi"/>
              </m:rPr>
              <w:rPr>
                <w:rFonts w:ascii="Cambria Math"/>
                <w:sz w:val="20"/>
                <w:szCs w:val="20"/>
              </w:rPr>
              <m:t>=</m:t>
            </m:r>
            <m:r>
              <m:rPr>
                <m:sty m:val="bi"/>
              </m:rPr>
              <w:rPr>
                <w:rFonts w:ascii="Cambria Math" w:hAnsi="Cambria Math"/>
                <w:sz w:val="20"/>
                <w:szCs w:val="20"/>
              </w:rPr>
              <m:t>1</m:t>
            </m:r>
          </m:sub>
          <m:sup>
            <m:r>
              <m:rPr>
                <m:sty m:val="bi"/>
              </m:rPr>
              <w:rPr>
                <w:rFonts w:ascii="Cambria Math" w:hAnsi="Cambria Math"/>
                <w:sz w:val="20"/>
                <w:szCs w:val="20"/>
              </w:rPr>
              <m:t>n</m:t>
            </m:r>
          </m:sup>
          <m:e>
            <m:d>
              <m:dPr>
                <m:ctrlPr>
                  <w:rPr>
                    <w:rFonts w:ascii="Cambria Math" w:hAnsi="Cambria Math"/>
                    <w:b/>
                    <w:i/>
                    <w:sz w:val="20"/>
                    <w:szCs w:val="20"/>
                  </w:rPr>
                </m:ctrlPr>
              </m:dPr>
              <m:e>
                <m:r>
                  <m:rPr>
                    <m:sty m:val="bi"/>
                  </m:rPr>
                  <w:rPr>
                    <w:rFonts w:ascii="Cambria Math" w:hAnsi="Cambria Math"/>
                    <w:sz w:val="20"/>
                    <w:szCs w:val="20"/>
                  </w:rPr>
                  <m:t>γ</m:t>
                </m:r>
                <m:r>
                  <m:rPr>
                    <m:sty m:val="bi"/>
                  </m:rPr>
                  <w:rPr>
                    <w:rFonts w:ascii="Cambria Math" w:hAnsi="Cambria Math"/>
                    <w:sz w:val="20"/>
                    <w:szCs w:val="20"/>
                  </w:rPr>
                  <m:t>1-</m:t>
                </m:r>
                <m:f>
                  <m:fPr>
                    <m:ctrlPr>
                      <w:rPr>
                        <w:rFonts w:ascii="Cambria Math" w:hAnsi="Cambria Math"/>
                        <w:b/>
                        <w:i/>
                        <w:sz w:val="20"/>
                        <w:szCs w:val="20"/>
                      </w:rPr>
                    </m:ctrlPr>
                  </m:fPr>
                  <m:num>
                    <m:r>
                      <m:rPr>
                        <m:sty m:val="bi"/>
                      </m:rPr>
                      <w:rPr>
                        <w:rFonts w:ascii="Cambria Math" w:hAnsi="Cambria Math"/>
                        <w:sz w:val="20"/>
                        <w:szCs w:val="20"/>
                      </w:rPr>
                      <m:t>γt</m:t>
                    </m:r>
                  </m:num>
                  <m:den>
                    <m:r>
                      <m:rPr>
                        <m:sty m:val="bi"/>
                      </m:rPr>
                      <w:rPr>
                        <w:rFonts w:ascii="Cambria Math" w:hAnsi="Cambria Math"/>
                        <w:sz w:val="20"/>
                        <w:szCs w:val="20"/>
                      </w:rPr>
                      <m:t>γ</m:t>
                    </m:r>
                    <m:r>
                      <m:rPr>
                        <m:sty m:val="bi"/>
                      </m:rPr>
                      <w:rPr>
                        <w:rFonts w:ascii="Cambria Math" w:hAnsi="Cambria Math"/>
                        <w:sz w:val="20"/>
                        <w:szCs w:val="20"/>
                      </w:rPr>
                      <m:t>1</m:t>
                    </m:r>
                  </m:den>
                </m:f>
              </m:e>
            </m:d>
            <m:r>
              <m:rPr>
                <m:sty m:val="bi"/>
              </m:rPr>
              <w:rPr>
                <w:rFonts w:ascii="Cambria Math"/>
                <w:sz w:val="20"/>
                <w:szCs w:val="20"/>
              </w:rPr>
              <m:t>×</m:t>
            </m:r>
            <m:r>
              <m:rPr>
                <m:sty m:val="bi"/>
              </m:rPr>
              <w:rPr>
                <w:rFonts w:ascii="Cambria Math" w:hAnsi="Cambria Math"/>
                <w:sz w:val="20"/>
                <w:szCs w:val="20"/>
              </w:rPr>
              <m:t>100</m:t>
            </m:r>
          </m:e>
        </m:nary>
      </m:oMath>
      <w:r>
        <w:rPr>
          <w:rFonts w:eastAsia="Times New Roman"/>
          <w:b/>
          <w:i/>
          <w:sz w:val="20"/>
          <w:szCs w:val="20"/>
        </w:rPr>
        <w:t xml:space="preserve"> …..Eqn. 22</w:t>
      </w:r>
    </w:p>
    <w:p w:rsidR="004F3F42" w:rsidRDefault="009A1E75">
      <w:pPr>
        <w:autoSpaceDE w:val="0"/>
        <w:autoSpaceDN w:val="0"/>
        <w:adjustRightInd w:val="0"/>
        <w:jc w:val="both"/>
        <w:rPr>
          <w:sz w:val="20"/>
          <w:szCs w:val="20"/>
        </w:rPr>
      </w:pPr>
      <w:r>
        <w:rPr>
          <w:sz w:val="20"/>
          <w:szCs w:val="20"/>
        </w:rPr>
        <w:t xml:space="preserve">Where;  </w:t>
      </w:r>
      <m:oMath>
        <m:r>
          <w:rPr>
            <w:rFonts w:ascii="Cambria Math" w:hAnsi="Cambria Math"/>
            <w:sz w:val="20"/>
            <w:szCs w:val="20"/>
          </w:rPr>
          <m:t>γ</m:t>
        </m:r>
        <m:r>
          <w:rPr>
            <w:rFonts w:ascii="Cambria Math"/>
            <w:sz w:val="20"/>
            <w:szCs w:val="20"/>
          </w:rPr>
          <m:t>1</m:t>
        </m:r>
      </m:oMath>
      <w:r>
        <w:rPr>
          <w:sz w:val="20"/>
          <w:szCs w:val="20"/>
        </w:rPr>
        <w:t xml:space="preserve"> = observed value; </w:t>
      </w:r>
      <m:oMath>
        <m:r>
          <w:rPr>
            <w:rFonts w:ascii="Cambria Math" w:hAnsi="Cambria Math"/>
            <w:sz w:val="20"/>
            <w:szCs w:val="20"/>
          </w:rPr>
          <m:t>γt</m:t>
        </m:r>
      </m:oMath>
      <w:r>
        <w:rPr>
          <w:sz w:val="20"/>
          <w:szCs w:val="20"/>
        </w:rPr>
        <w:t>= predicted value of the model</w:t>
      </w:r>
    </w:p>
    <w:p w:rsidR="004F3F42" w:rsidRDefault="004F3F42">
      <w:pPr>
        <w:autoSpaceDE w:val="0"/>
        <w:autoSpaceDN w:val="0"/>
        <w:adjustRightInd w:val="0"/>
        <w:jc w:val="both"/>
        <w:rPr>
          <w:b/>
          <w:bCs/>
          <w:color w:val="000000"/>
          <w:sz w:val="20"/>
          <w:szCs w:val="20"/>
        </w:rPr>
      </w:pPr>
    </w:p>
    <w:p w:rsidR="004F3F42" w:rsidRDefault="009A1E75">
      <w:pPr>
        <w:autoSpaceDE w:val="0"/>
        <w:autoSpaceDN w:val="0"/>
        <w:adjustRightInd w:val="0"/>
        <w:jc w:val="both"/>
        <w:rPr>
          <w:b/>
          <w:bCs/>
          <w:color w:val="000000"/>
          <w:sz w:val="20"/>
          <w:szCs w:val="20"/>
        </w:rPr>
      </w:pPr>
      <w:r>
        <w:rPr>
          <w:b/>
          <w:bCs/>
          <w:color w:val="000000"/>
          <w:sz w:val="20"/>
          <w:szCs w:val="20"/>
        </w:rPr>
        <w:t>Model Validation</w:t>
      </w:r>
    </w:p>
    <w:p w:rsidR="004F3F42" w:rsidRDefault="009A1E75">
      <w:pPr>
        <w:autoSpaceDE w:val="0"/>
        <w:autoSpaceDN w:val="0"/>
        <w:adjustRightInd w:val="0"/>
        <w:ind w:firstLine="720"/>
        <w:jc w:val="both"/>
        <w:rPr>
          <w:rFonts w:eastAsia="TimesNewRoman"/>
          <w:sz w:val="20"/>
          <w:szCs w:val="20"/>
        </w:rPr>
      </w:pPr>
      <w:r>
        <w:rPr>
          <w:rFonts w:eastAsia="TimesNewRoman"/>
          <w:sz w:val="20"/>
          <w:szCs w:val="20"/>
        </w:rPr>
        <w:t xml:space="preserve">For model validation, data were divided into two sets (i.e. model-formulating set and model-validating set). The model formulating set was used for </w:t>
      </w:r>
      <w:r>
        <w:rPr>
          <w:rFonts w:eastAsia="TimesNewRoman"/>
          <w:sz w:val="20"/>
          <w:szCs w:val="20"/>
        </w:rPr>
        <w:lastRenderedPageBreak/>
        <w:t>developing the models and the usefulness of the models were validated using the model validating set. The following statistics were then computed:</w:t>
      </w:r>
    </w:p>
    <w:p w:rsidR="0041306F" w:rsidRDefault="0041306F">
      <w:pPr>
        <w:autoSpaceDE w:val="0"/>
        <w:autoSpaceDN w:val="0"/>
        <w:adjustRightInd w:val="0"/>
        <w:jc w:val="both"/>
        <w:rPr>
          <w:b/>
          <w:i/>
          <w:iCs/>
          <w:sz w:val="20"/>
          <w:szCs w:val="20"/>
        </w:rPr>
      </w:pPr>
    </w:p>
    <w:p w:rsidR="004F3F42" w:rsidRPr="0041306F" w:rsidRDefault="009A1E75">
      <w:pPr>
        <w:autoSpaceDE w:val="0"/>
        <w:autoSpaceDN w:val="0"/>
        <w:adjustRightInd w:val="0"/>
        <w:jc w:val="both"/>
        <w:rPr>
          <w:b/>
          <w:iCs/>
          <w:sz w:val="20"/>
          <w:szCs w:val="20"/>
        </w:rPr>
      </w:pPr>
      <w:r w:rsidRPr="0041306F">
        <w:rPr>
          <w:b/>
          <w:iCs/>
          <w:sz w:val="20"/>
          <w:szCs w:val="20"/>
        </w:rPr>
        <w:t>The student t-test</w:t>
      </w:r>
    </w:p>
    <w:p w:rsidR="004F3F42" w:rsidRDefault="009A1E75">
      <w:pPr>
        <w:autoSpaceDE w:val="0"/>
        <w:autoSpaceDN w:val="0"/>
        <w:adjustRightInd w:val="0"/>
        <w:jc w:val="both"/>
        <w:rPr>
          <w:rFonts w:eastAsia="TimesNewRoman"/>
          <w:sz w:val="20"/>
          <w:szCs w:val="20"/>
        </w:rPr>
      </w:pPr>
      <w:r>
        <w:rPr>
          <w:rFonts w:eastAsia="TimesNewRoman"/>
          <w:sz w:val="20"/>
          <w:szCs w:val="20"/>
        </w:rPr>
        <w:t>This was used to test for significant differences between the actual carbon in log values and the model outputs (predicted values) of the various models developed.</w:t>
      </w:r>
    </w:p>
    <w:p w:rsidR="0041306F" w:rsidRDefault="0041306F">
      <w:pPr>
        <w:autoSpaceDE w:val="0"/>
        <w:autoSpaceDN w:val="0"/>
        <w:adjustRightInd w:val="0"/>
        <w:jc w:val="both"/>
        <w:rPr>
          <w:b/>
          <w:i/>
          <w:iCs/>
          <w:sz w:val="20"/>
          <w:szCs w:val="20"/>
        </w:rPr>
      </w:pPr>
    </w:p>
    <w:p w:rsidR="004F3F42" w:rsidRPr="0041306F" w:rsidRDefault="009A1E75">
      <w:pPr>
        <w:autoSpaceDE w:val="0"/>
        <w:autoSpaceDN w:val="0"/>
        <w:adjustRightInd w:val="0"/>
        <w:jc w:val="both"/>
        <w:rPr>
          <w:b/>
          <w:iCs/>
          <w:sz w:val="20"/>
          <w:szCs w:val="20"/>
        </w:rPr>
      </w:pPr>
      <w:r w:rsidRPr="0041306F">
        <w:rPr>
          <w:b/>
          <w:iCs/>
          <w:sz w:val="20"/>
          <w:szCs w:val="20"/>
        </w:rPr>
        <w:t>Bias</w:t>
      </w:r>
    </w:p>
    <w:p w:rsidR="004F3F42" w:rsidRDefault="009A1E75">
      <w:pPr>
        <w:autoSpaceDE w:val="0"/>
        <w:autoSpaceDN w:val="0"/>
        <w:adjustRightInd w:val="0"/>
        <w:jc w:val="both"/>
        <w:rPr>
          <w:rFonts w:eastAsia="TimesNewRoman"/>
          <w:sz w:val="20"/>
          <w:szCs w:val="20"/>
        </w:rPr>
      </w:pPr>
      <w:r>
        <w:rPr>
          <w:rFonts w:eastAsia="TimesNewRoman"/>
          <w:sz w:val="20"/>
          <w:szCs w:val="20"/>
        </w:rPr>
        <w:t>This was used to examine the absolute differences between the computed volumes and the model outputs, as:</w:t>
      </w:r>
    </w:p>
    <w:p w:rsidR="004F3F42" w:rsidRDefault="004F3F42">
      <w:pPr>
        <w:pStyle w:val="ListParagraph"/>
        <w:autoSpaceDE w:val="0"/>
        <w:autoSpaceDN w:val="0"/>
        <w:adjustRightInd w:val="0"/>
        <w:spacing w:after="0" w:line="240" w:lineRule="auto"/>
        <w:ind w:left="0"/>
        <w:rPr>
          <w:rFonts w:ascii="Times New Roman" w:hAnsi="Times New Roman"/>
          <w:b/>
          <w:sz w:val="20"/>
          <w:szCs w:val="20"/>
        </w:rPr>
      </w:pPr>
    </w:p>
    <w:p w:rsidR="004F3F42" w:rsidRPr="0041306F" w:rsidRDefault="006D70E9" w:rsidP="0041306F">
      <w:pPr>
        <w:autoSpaceDE w:val="0"/>
        <w:autoSpaceDN w:val="0"/>
        <w:adjustRightInd w:val="0"/>
        <w:jc w:val="both"/>
        <w:rPr>
          <w:b/>
          <w:i/>
          <w:sz w:val="20"/>
          <w:szCs w:val="20"/>
        </w:rPr>
      </w:pPr>
      <m:oMath>
        <m:r>
          <m:rPr>
            <m:sty m:val="bi"/>
          </m:rPr>
          <w:rPr>
            <w:rFonts w:ascii="Cambria Math" w:hAnsi="Cambria Math"/>
            <w:sz w:val="20"/>
            <w:szCs w:val="20"/>
          </w:rPr>
          <m:t>Bias</m:t>
        </m:r>
        <m:r>
          <m:rPr>
            <m:sty m:val="bi"/>
          </m:rPr>
          <w:rPr>
            <w:rFonts w:ascii="Cambria Math"/>
            <w:sz w:val="20"/>
            <w:szCs w:val="20"/>
          </w:rPr>
          <m:t>=</m:t>
        </m:r>
        <m:r>
          <m:rPr>
            <m:sty m:val="bi"/>
          </m:rPr>
          <w:rPr>
            <w:rFonts w:ascii="Cambria Math"/>
            <w:sz w:val="20"/>
            <w:szCs w:val="20"/>
          </w:rPr>
          <m:t>∑</m:t>
        </m:r>
        <m:f>
          <m:fPr>
            <m:ctrlPr>
              <w:rPr>
                <w:rFonts w:ascii="Cambria Math" w:hAnsi="Cambria Math"/>
                <w:b/>
                <w:i/>
                <w:sz w:val="20"/>
                <w:szCs w:val="20"/>
              </w:rPr>
            </m:ctrlPr>
          </m:fPr>
          <m:num>
            <m:r>
              <m:rPr>
                <m:sty m:val="bi"/>
              </m:rPr>
              <w:rPr>
                <w:rFonts w:ascii="Cambria Math"/>
                <w:sz w:val="20"/>
                <w:szCs w:val="20"/>
              </w:rPr>
              <m:t>CSLog</m:t>
            </m:r>
            <m:r>
              <m:rPr>
                <m:sty m:val="bi"/>
              </m:rPr>
              <w:rPr>
                <w:rFonts w:ascii="Cambria Math"/>
                <w:sz w:val="20"/>
                <w:szCs w:val="20"/>
              </w:rPr>
              <m:t>2</m:t>
            </m:r>
            <m:r>
              <m:rPr>
                <m:sty m:val="bi"/>
              </m:rPr>
              <w:rPr>
                <w:rFonts w:ascii="Cambria Math" w:hAnsi="Cambria Math"/>
                <w:sz w:val="20"/>
                <w:szCs w:val="20"/>
              </w:rPr>
              <m:t>-</m:t>
            </m:r>
            <m:r>
              <m:rPr>
                <m:sty m:val="bi"/>
              </m:rPr>
              <w:rPr>
                <w:rFonts w:ascii="Cambria Math"/>
                <w:sz w:val="20"/>
                <w:szCs w:val="20"/>
              </w:rPr>
              <m:t>CSLog</m:t>
            </m:r>
            <m:r>
              <m:rPr>
                <m:sty m:val="bi"/>
              </m:rPr>
              <w:rPr>
                <w:rFonts w:ascii="Cambria Math"/>
                <w:sz w:val="20"/>
                <w:szCs w:val="20"/>
              </w:rPr>
              <m:t>1</m:t>
            </m:r>
          </m:num>
          <m:den>
            <m:r>
              <m:rPr>
                <m:sty m:val="bi"/>
              </m:rPr>
              <w:rPr>
                <w:rFonts w:ascii="Cambria Math" w:hAnsi="Cambria Math"/>
                <w:sz w:val="20"/>
                <w:szCs w:val="20"/>
              </w:rPr>
              <m:t>CSlog</m:t>
            </m:r>
            <m:r>
              <m:rPr>
                <m:sty m:val="bi"/>
              </m:rPr>
              <w:rPr>
                <w:rFonts w:ascii="Cambria Math" w:hAnsi="Cambria Math"/>
                <w:sz w:val="20"/>
                <w:szCs w:val="20"/>
              </w:rPr>
              <m:t>2</m:t>
            </m:r>
          </m:den>
        </m:f>
      </m:oMath>
      <w:r w:rsidR="009A1E75">
        <w:rPr>
          <w:b/>
          <w:i/>
          <w:sz w:val="20"/>
          <w:szCs w:val="20"/>
        </w:rPr>
        <w:t xml:space="preserve">  …………….Eqn.23</w:t>
      </w:r>
    </w:p>
    <w:p w:rsidR="004F3F42" w:rsidRDefault="009A1E75">
      <w:pPr>
        <w:autoSpaceDE w:val="0"/>
        <w:autoSpaceDN w:val="0"/>
        <w:adjustRightInd w:val="0"/>
        <w:jc w:val="both"/>
        <w:rPr>
          <w:rFonts w:eastAsia="TimesNewRoman"/>
          <w:sz w:val="20"/>
          <w:szCs w:val="20"/>
        </w:rPr>
      </w:pPr>
      <w:r>
        <w:rPr>
          <w:rFonts w:eastAsia="TimesNewRoman"/>
          <w:sz w:val="20"/>
          <w:szCs w:val="20"/>
        </w:rPr>
        <w:t>Where; CSlog</w:t>
      </w:r>
      <w:r>
        <w:rPr>
          <w:rFonts w:eastAsia="TimesNewRoman"/>
          <w:sz w:val="20"/>
          <w:szCs w:val="20"/>
          <w:vertAlign w:val="subscript"/>
        </w:rPr>
        <w:t>2</w:t>
      </w:r>
      <w:r>
        <w:rPr>
          <w:rFonts w:eastAsia="TimesNewRoman"/>
          <w:sz w:val="20"/>
          <w:szCs w:val="20"/>
        </w:rPr>
        <w:t>=actual (observed) carbon stock in logs, CSlog</w:t>
      </w:r>
      <w:r>
        <w:rPr>
          <w:rFonts w:eastAsia="TimesNewRoman"/>
          <w:sz w:val="20"/>
          <w:szCs w:val="20"/>
          <w:vertAlign w:val="subscript"/>
        </w:rPr>
        <w:t>1</w:t>
      </w:r>
      <w:r>
        <w:rPr>
          <w:rFonts w:eastAsia="TimesNewRoman"/>
          <w:sz w:val="20"/>
          <w:szCs w:val="20"/>
        </w:rPr>
        <w:t>=predicted carbon stock in logs from the models.</w:t>
      </w:r>
    </w:p>
    <w:p w:rsidR="004F3F42" w:rsidRDefault="004F3F42">
      <w:pPr>
        <w:jc w:val="both"/>
        <w:rPr>
          <w:sz w:val="20"/>
          <w:szCs w:val="20"/>
        </w:rPr>
      </w:pPr>
    </w:p>
    <w:p w:rsidR="004F3F42" w:rsidRDefault="009A1E75">
      <w:pPr>
        <w:jc w:val="both"/>
        <w:rPr>
          <w:b/>
          <w:sz w:val="20"/>
          <w:szCs w:val="20"/>
        </w:rPr>
      </w:pPr>
      <w:r>
        <w:rPr>
          <w:b/>
          <w:sz w:val="20"/>
          <w:szCs w:val="20"/>
        </w:rPr>
        <w:t xml:space="preserve">3. Results </w:t>
      </w:r>
    </w:p>
    <w:p w:rsidR="004F3F42" w:rsidRDefault="009A1E75">
      <w:pPr>
        <w:pStyle w:val="NoSpacing"/>
        <w:ind w:left="720" w:hanging="720"/>
        <w:jc w:val="both"/>
        <w:rPr>
          <w:rFonts w:ascii="Times New Roman" w:hAnsi="Times New Roman"/>
          <w:b/>
          <w:sz w:val="20"/>
          <w:szCs w:val="20"/>
        </w:rPr>
      </w:pPr>
      <w:r>
        <w:rPr>
          <w:rFonts w:ascii="Times New Roman" w:hAnsi="Times New Roman"/>
          <w:b/>
          <w:sz w:val="20"/>
          <w:szCs w:val="20"/>
        </w:rPr>
        <w:t>Characterization of Wood Species</w:t>
      </w:r>
    </w:p>
    <w:p w:rsidR="004F3F42" w:rsidRDefault="009A1E75">
      <w:pPr>
        <w:pStyle w:val="ListParagraph"/>
        <w:autoSpaceDE w:val="0"/>
        <w:autoSpaceDN w:val="0"/>
        <w:adjustRightInd w:val="0"/>
        <w:spacing w:after="0" w:line="240" w:lineRule="auto"/>
        <w:ind w:left="0"/>
        <w:jc w:val="both"/>
        <w:rPr>
          <w:rFonts w:ascii="Times New Roman" w:hAnsi="Times New Roman"/>
          <w:sz w:val="20"/>
          <w:szCs w:val="20"/>
        </w:rPr>
        <w:sectPr w:rsidR="004F3F42">
          <w:footnotePr>
            <w:pos w:val="beneathText"/>
          </w:footnotePr>
          <w:type w:val="continuous"/>
          <w:pgSz w:w="12240" w:h="15840"/>
          <w:pgMar w:top="1440" w:right="1183" w:bottom="1440" w:left="1440" w:header="720" w:footer="720" w:gutter="0"/>
          <w:cols w:num="2" w:space="576"/>
          <w:docGrid w:linePitch="360"/>
        </w:sectPr>
      </w:pPr>
      <w:r>
        <w:rPr>
          <w:rFonts w:ascii="Times New Roman" w:hAnsi="Times New Roman"/>
          <w:color w:val="000000"/>
          <w:sz w:val="20"/>
          <w:szCs w:val="20"/>
        </w:rPr>
        <w:t xml:space="preserve">The study sampled total of five hundred and twenty-eight (528) commercial valuable trees comprising.   sixteen (16)  identified species were selected being among the most commonly harvested from the forest area belonging to </w:t>
      </w:r>
      <w:r>
        <w:rPr>
          <w:rFonts w:ascii="Times New Roman" w:hAnsi="Times New Roman"/>
          <w:sz w:val="20"/>
          <w:szCs w:val="20"/>
        </w:rPr>
        <w:t>eleven (11) families. The highest were Fabaceae with (22.0%) followed by</w:t>
      </w:r>
      <w:r w:rsidR="0041306F">
        <w:rPr>
          <w:rFonts w:ascii="Times New Roman" w:hAnsi="Times New Roman"/>
          <w:sz w:val="20"/>
          <w:szCs w:val="20"/>
        </w:rPr>
        <w:t xml:space="preserve"> </w:t>
      </w:r>
      <w:r>
        <w:rPr>
          <w:rStyle w:val="st"/>
          <w:rFonts w:ascii="Times New Roman" w:hAnsi="Times New Roman"/>
          <w:sz w:val="20"/>
          <w:szCs w:val="20"/>
        </w:rPr>
        <w:t>Rubiaceae</w:t>
      </w:r>
      <w:r>
        <w:rPr>
          <w:rFonts w:ascii="Times New Roman" w:hAnsi="Times New Roman"/>
          <w:sz w:val="20"/>
          <w:szCs w:val="20"/>
        </w:rPr>
        <w:t xml:space="preserve"> (18.8%), Meliceae</w:t>
      </w:r>
      <w:r>
        <w:rPr>
          <w:rStyle w:val="st"/>
          <w:rFonts w:ascii="Times New Roman" w:hAnsi="Times New Roman"/>
          <w:sz w:val="20"/>
          <w:szCs w:val="20"/>
        </w:rPr>
        <w:t xml:space="preserve"> (14.4%)</w:t>
      </w:r>
      <w:r>
        <w:rPr>
          <w:rFonts w:ascii="Times New Roman" w:hAnsi="Times New Roman"/>
          <w:sz w:val="20"/>
          <w:szCs w:val="20"/>
        </w:rPr>
        <w:t xml:space="preserve">, Malvaceae (9.5%), Apocynaceae (9.3%), Boraginaceae and </w:t>
      </w:r>
      <w:r>
        <w:rPr>
          <w:rStyle w:val="st"/>
          <w:rFonts w:ascii="Times New Roman" w:hAnsi="Times New Roman"/>
          <w:sz w:val="20"/>
          <w:szCs w:val="20"/>
        </w:rPr>
        <w:t>Sterculiaceae</w:t>
      </w:r>
      <w:r>
        <w:rPr>
          <w:rFonts w:ascii="Times New Roman" w:hAnsi="Times New Roman"/>
          <w:sz w:val="20"/>
          <w:szCs w:val="20"/>
        </w:rPr>
        <w:t xml:space="preserve"> (7.4%). Others had (3.4%, 3.0%) for Combretaceae and Ochnaceae. The least were Moraceae and Guttiferae (2.7, 2.3%) of the total number of families (Table 1).</w:t>
      </w:r>
    </w:p>
    <w:p w:rsidR="004F3F42" w:rsidRDefault="004F3F42">
      <w:pPr>
        <w:jc w:val="both"/>
        <w:rPr>
          <w:sz w:val="20"/>
          <w:szCs w:val="20"/>
        </w:rPr>
      </w:pPr>
    </w:p>
    <w:p w:rsidR="004F3F42" w:rsidRDefault="009A1E75">
      <w:pPr>
        <w:pStyle w:val="ListParagraph"/>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Table 1. Composition of Wood species in the study area</w:t>
      </w:r>
    </w:p>
    <w:tbl>
      <w:tblPr>
        <w:tblW w:w="9097" w:type="dxa"/>
        <w:jc w:val="center"/>
        <w:tblBorders>
          <w:top w:val="single" w:sz="4" w:space="0" w:color="auto"/>
          <w:bottom w:val="single" w:sz="4" w:space="0" w:color="auto"/>
        </w:tblBorders>
        <w:tblLook w:val="04A0" w:firstRow="1" w:lastRow="0" w:firstColumn="1" w:lastColumn="0" w:noHBand="0" w:noVBand="1"/>
      </w:tblPr>
      <w:tblGrid>
        <w:gridCol w:w="2030"/>
        <w:gridCol w:w="2704"/>
        <w:gridCol w:w="1871"/>
        <w:gridCol w:w="1037"/>
        <w:gridCol w:w="1455"/>
      </w:tblGrid>
      <w:tr w:rsidR="004F3F42" w:rsidTr="003353F2">
        <w:trPr>
          <w:trHeight w:val="341"/>
          <w:jc w:val="center"/>
        </w:trPr>
        <w:tc>
          <w:tcPr>
            <w:tcW w:w="2030" w:type="dxa"/>
            <w:tcBorders>
              <w:top w:val="single" w:sz="4" w:space="0" w:color="auto"/>
              <w:bottom w:val="single" w:sz="4" w:space="0" w:color="auto"/>
            </w:tcBorders>
          </w:tcPr>
          <w:p w:rsidR="004F3F42" w:rsidRDefault="009A1E75">
            <w:pPr>
              <w:autoSpaceDE w:val="0"/>
              <w:autoSpaceDN w:val="0"/>
              <w:adjustRightInd w:val="0"/>
              <w:jc w:val="both"/>
              <w:rPr>
                <w:b/>
                <w:sz w:val="20"/>
                <w:szCs w:val="20"/>
              </w:rPr>
            </w:pPr>
            <w:r>
              <w:rPr>
                <w:b/>
                <w:sz w:val="20"/>
                <w:szCs w:val="20"/>
              </w:rPr>
              <w:t>Families</w:t>
            </w:r>
          </w:p>
        </w:tc>
        <w:tc>
          <w:tcPr>
            <w:tcW w:w="2704" w:type="dxa"/>
            <w:tcBorders>
              <w:top w:val="single" w:sz="4" w:space="0" w:color="auto"/>
              <w:bottom w:val="single" w:sz="4" w:space="0" w:color="auto"/>
            </w:tcBorders>
          </w:tcPr>
          <w:p w:rsidR="004F3F42" w:rsidRDefault="009A1E75">
            <w:pPr>
              <w:autoSpaceDE w:val="0"/>
              <w:autoSpaceDN w:val="0"/>
              <w:adjustRightInd w:val="0"/>
              <w:jc w:val="both"/>
              <w:rPr>
                <w:b/>
                <w:sz w:val="20"/>
                <w:szCs w:val="20"/>
              </w:rPr>
            </w:pPr>
            <w:r>
              <w:rPr>
                <w:b/>
                <w:sz w:val="20"/>
                <w:szCs w:val="20"/>
              </w:rPr>
              <w:t>Scientific Names</w:t>
            </w:r>
          </w:p>
        </w:tc>
        <w:tc>
          <w:tcPr>
            <w:tcW w:w="1871" w:type="dxa"/>
            <w:tcBorders>
              <w:top w:val="single" w:sz="4" w:space="0" w:color="auto"/>
              <w:bottom w:val="single" w:sz="4" w:space="0" w:color="auto"/>
            </w:tcBorders>
          </w:tcPr>
          <w:p w:rsidR="004F3F42" w:rsidRDefault="009A1E75">
            <w:pPr>
              <w:autoSpaceDE w:val="0"/>
              <w:autoSpaceDN w:val="0"/>
              <w:adjustRightInd w:val="0"/>
              <w:jc w:val="both"/>
              <w:rPr>
                <w:b/>
                <w:sz w:val="20"/>
                <w:szCs w:val="20"/>
              </w:rPr>
            </w:pPr>
            <w:r>
              <w:rPr>
                <w:b/>
                <w:sz w:val="20"/>
                <w:szCs w:val="20"/>
              </w:rPr>
              <w:t>Local Names</w:t>
            </w:r>
          </w:p>
        </w:tc>
        <w:tc>
          <w:tcPr>
            <w:tcW w:w="1037" w:type="dxa"/>
            <w:tcBorders>
              <w:top w:val="single" w:sz="4" w:space="0" w:color="auto"/>
              <w:bottom w:val="single" w:sz="4" w:space="0" w:color="auto"/>
            </w:tcBorders>
          </w:tcPr>
          <w:p w:rsidR="004F3F42" w:rsidRDefault="009A1E75">
            <w:pPr>
              <w:autoSpaceDE w:val="0"/>
              <w:autoSpaceDN w:val="0"/>
              <w:adjustRightInd w:val="0"/>
              <w:jc w:val="both"/>
              <w:rPr>
                <w:b/>
                <w:sz w:val="20"/>
                <w:szCs w:val="20"/>
              </w:rPr>
            </w:pPr>
            <w:r>
              <w:rPr>
                <w:b/>
                <w:sz w:val="20"/>
                <w:szCs w:val="20"/>
              </w:rPr>
              <w:t>F</w:t>
            </w:r>
          </w:p>
        </w:tc>
        <w:tc>
          <w:tcPr>
            <w:tcW w:w="1455" w:type="dxa"/>
            <w:tcBorders>
              <w:top w:val="single" w:sz="4" w:space="0" w:color="auto"/>
              <w:bottom w:val="single" w:sz="4" w:space="0" w:color="auto"/>
            </w:tcBorders>
          </w:tcPr>
          <w:p w:rsidR="004F3F42" w:rsidRDefault="009A1E75">
            <w:pPr>
              <w:autoSpaceDE w:val="0"/>
              <w:autoSpaceDN w:val="0"/>
              <w:adjustRightInd w:val="0"/>
              <w:jc w:val="both"/>
              <w:rPr>
                <w:b/>
                <w:sz w:val="20"/>
                <w:szCs w:val="20"/>
              </w:rPr>
            </w:pPr>
            <w:r>
              <w:rPr>
                <w:b/>
                <w:sz w:val="20"/>
                <w:szCs w:val="20"/>
              </w:rPr>
              <w:t>%</w:t>
            </w:r>
          </w:p>
        </w:tc>
      </w:tr>
      <w:tr w:rsidR="004F3F42">
        <w:trPr>
          <w:trHeight w:val="306"/>
          <w:jc w:val="center"/>
        </w:trPr>
        <w:tc>
          <w:tcPr>
            <w:tcW w:w="2030" w:type="dxa"/>
            <w:tcBorders>
              <w:top w:val="single" w:sz="4" w:space="0" w:color="auto"/>
            </w:tcBorders>
          </w:tcPr>
          <w:p w:rsidR="004F3F42" w:rsidRDefault="009A1E75">
            <w:pPr>
              <w:autoSpaceDE w:val="0"/>
              <w:autoSpaceDN w:val="0"/>
              <w:adjustRightInd w:val="0"/>
              <w:jc w:val="both"/>
              <w:rPr>
                <w:b/>
                <w:sz w:val="20"/>
                <w:szCs w:val="20"/>
              </w:rPr>
            </w:pPr>
            <w:r>
              <w:rPr>
                <w:sz w:val="20"/>
                <w:szCs w:val="20"/>
              </w:rPr>
              <w:t>Apocynaceae</w:t>
            </w:r>
          </w:p>
        </w:tc>
        <w:tc>
          <w:tcPr>
            <w:tcW w:w="2704" w:type="dxa"/>
            <w:tcBorders>
              <w:top w:val="single" w:sz="4" w:space="0" w:color="auto"/>
            </w:tcBorders>
          </w:tcPr>
          <w:p w:rsidR="004F3F42" w:rsidRDefault="009A1E75">
            <w:pPr>
              <w:autoSpaceDE w:val="0"/>
              <w:autoSpaceDN w:val="0"/>
              <w:adjustRightInd w:val="0"/>
              <w:jc w:val="both"/>
              <w:rPr>
                <w:b/>
                <w:i/>
                <w:sz w:val="20"/>
                <w:szCs w:val="20"/>
              </w:rPr>
            </w:pPr>
            <w:r>
              <w:rPr>
                <w:i/>
                <w:sz w:val="20"/>
                <w:szCs w:val="20"/>
              </w:rPr>
              <w:t>Funtumia elastic</w:t>
            </w:r>
          </w:p>
        </w:tc>
        <w:tc>
          <w:tcPr>
            <w:tcW w:w="1871" w:type="dxa"/>
            <w:tcBorders>
              <w:top w:val="single" w:sz="4" w:space="0" w:color="auto"/>
            </w:tcBorders>
          </w:tcPr>
          <w:p w:rsidR="004F3F42" w:rsidRDefault="009A1E75">
            <w:pPr>
              <w:autoSpaceDE w:val="0"/>
              <w:autoSpaceDN w:val="0"/>
              <w:adjustRightInd w:val="0"/>
              <w:jc w:val="both"/>
              <w:rPr>
                <w:b/>
                <w:sz w:val="20"/>
                <w:szCs w:val="20"/>
              </w:rPr>
            </w:pPr>
            <w:r>
              <w:rPr>
                <w:sz w:val="20"/>
                <w:szCs w:val="20"/>
              </w:rPr>
              <w:t>Bush rubber</w:t>
            </w:r>
          </w:p>
        </w:tc>
        <w:tc>
          <w:tcPr>
            <w:tcW w:w="1037" w:type="dxa"/>
            <w:tcBorders>
              <w:top w:val="single" w:sz="4" w:space="0" w:color="auto"/>
            </w:tcBorders>
          </w:tcPr>
          <w:p w:rsidR="004F3F42" w:rsidRDefault="009A1E75">
            <w:pPr>
              <w:autoSpaceDE w:val="0"/>
              <w:autoSpaceDN w:val="0"/>
              <w:adjustRightInd w:val="0"/>
              <w:jc w:val="both"/>
              <w:rPr>
                <w:sz w:val="20"/>
                <w:szCs w:val="20"/>
              </w:rPr>
            </w:pPr>
            <w:r>
              <w:rPr>
                <w:sz w:val="20"/>
                <w:szCs w:val="20"/>
              </w:rPr>
              <w:t>49</w:t>
            </w:r>
          </w:p>
        </w:tc>
        <w:tc>
          <w:tcPr>
            <w:tcW w:w="1455" w:type="dxa"/>
            <w:tcBorders>
              <w:top w:val="single" w:sz="4" w:space="0" w:color="auto"/>
            </w:tcBorders>
          </w:tcPr>
          <w:p w:rsidR="004F3F42" w:rsidRDefault="009A1E75">
            <w:pPr>
              <w:autoSpaceDE w:val="0"/>
              <w:autoSpaceDN w:val="0"/>
              <w:adjustRightInd w:val="0"/>
              <w:jc w:val="both"/>
              <w:rPr>
                <w:sz w:val="20"/>
                <w:szCs w:val="20"/>
              </w:rPr>
            </w:pPr>
            <w:r>
              <w:rPr>
                <w:sz w:val="20"/>
                <w:szCs w:val="20"/>
              </w:rPr>
              <w:t>9.28</w:t>
            </w:r>
          </w:p>
        </w:tc>
      </w:tr>
      <w:tr w:rsidR="004F3F42">
        <w:trPr>
          <w:trHeight w:val="254"/>
          <w:jc w:val="center"/>
        </w:trPr>
        <w:tc>
          <w:tcPr>
            <w:tcW w:w="2030" w:type="dxa"/>
          </w:tcPr>
          <w:p w:rsidR="004F3F42" w:rsidRDefault="009A1E75">
            <w:pPr>
              <w:jc w:val="both"/>
              <w:rPr>
                <w:sz w:val="20"/>
                <w:szCs w:val="20"/>
              </w:rPr>
            </w:pPr>
            <w:r>
              <w:rPr>
                <w:sz w:val="20"/>
                <w:szCs w:val="20"/>
              </w:rPr>
              <w:t>Boraginaceae</w:t>
            </w:r>
          </w:p>
        </w:tc>
        <w:tc>
          <w:tcPr>
            <w:tcW w:w="2704" w:type="dxa"/>
          </w:tcPr>
          <w:p w:rsidR="004F3F42" w:rsidRDefault="009A1E75">
            <w:pPr>
              <w:autoSpaceDE w:val="0"/>
              <w:autoSpaceDN w:val="0"/>
              <w:adjustRightInd w:val="0"/>
              <w:jc w:val="both"/>
              <w:rPr>
                <w:i/>
                <w:iCs/>
                <w:sz w:val="20"/>
                <w:szCs w:val="20"/>
              </w:rPr>
            </w:pPr>
            <w:r>
              <w:rPr>
                <w:i/>
                <w:iCs/>
                <w:sz w:val="20"/>
                <w:szCs w:val="20"/>
              </w:rPr>
              <w:t>Xylopiaaethiopica</w:t>
            </w:r>
          </w:p>
        </w:tc>
        <w:tc>
          <w:tcPr>
            <w:tcW w:w="1871" w:type="dxa"/>
          </w:tcPr>
          <w:p w:rsidR="004F3F42" w:rsidRDefault="009A1E75">
            <w:pPr>
              <w:autoSpaceDE w:val="0"/>
              <w:autoSpaceDN w:val="0"/>
              <w:adjustRightInd w:val="0"/>
              <w:jc w:val="both"/>
              <w:rPr>
                <w:sz w:val="20"/>
                <w:szCs w:val="20"/>
              </w:rPr>
            </w:pPr>
            <w:r>
              <w:rPr>
                <w:sz w:val="20"/>
                <w:szCs w:val="20"/>
              </w:rPr>
              <w:t>Uder</w:t>
            </w:r>
          </w:p>
        </w:tc>
        <w:tc>
          <w:tcPr>
            <w:tcW w:w="1037" w:type="dxa"/>
          </w:tcPr>
          <w:p w:rsidR="004F3F42" w:rsidRDefault="009A1E75">
            <w:pPr>
              <w:autoSpaceDE w:val="0"/>
              <w:autoSpaceDN w:val="0"/>
              <w:adjustRightInd w:val="0"/>
              <w:jc w:val="both"/>
              <w:rPr>
                <w:sz w:val="20"/>
                <w:szCs w:val="20"/>
              </w:rPr>
            </w:pPr>
            <w:r>
              <w:rPr>
                <w:sz w:val="20"/>
                <w:szCs w:val="20"/>
              </w:rPr>
              <w:t>39</w:t>
            </w:r>
          </w:p>
        </w:tc>
        <w:tc>
          <w:tcPr>
            <w:tcW w:w="1455" w:type="dxa"/>
          </w:tcPr>
          <w:p w:rsidR="004F3F42" w:rsidRDefault="009A1E75">
            <w:pPr>
              <w:autoSpaceDE w:val="0"/>
              <w:autoSpaceDN w:val="0"/>
              <w:adjustRightInd w:val="0"/>
              <w:jc w:val="both"/>
              <w:rPr>
                <w:sz w:val="20"/>
                <w:szCs w:val="20"/>
              </w:rPr>
            </w:pPr>
            <w:r>
              <w:rPr>
                <w:sz w:val="20"/>
                <w:szCs w:val="20"/>
              </w:rPr>
              <w:t>7.39</w:t>
            </w:r>
          </w:p>
        </w:tc>
      </w:tr>
      <w:tr w:rsidR="004F3F42">
        <w:trPr>
          <w:trHeight w:val="254"/>
          <w:jc w:val="center"/>
        </w:trPr>
        <w:tc>
          <w:tcPr>
            <w:tcW w:w="2030" w:type="dxa"/>
          </w:tcPr>
          <w:p w:rsidR="004F3F42" w:rsidRDefault="009A1E75">
            <w:pPr>
              <w:jc w:val="both"/>
              <w:rPr>
                <w:sz w:val="20"/>
                <w:szCs w:val="20"/>
              </w:rPr>
            </w:pPr>
            <w:r>
              <w:rPr>
                <w:sz w:val="20"/>
                <w:szCs w:val="20"/>
              </w:rPr>
              <w:t>Combretaceae</w:t>
            </w:r>
          </w:p>
        </w:tc>
        <w:tc>
          <w:tcPr>
            <w:tcW w:w="2704" w:type="dxa"/>
          </w:tcPr>
          <w:p w:rsidR="004F3F42" w:rsidRDefault="009A1E75">
            <w:pPr>
              <w:autoSpaceDE w:val="0"/>
              <w:autoSpaceDN w:val="0"/>
              <w:adjustRightInd w:val="0"/>
              <w:jc w:val="both"/>
              <w:rPr>
                <w:b/>
                <w:i/>
                <w:sz w:val="20"/>
                <w:szCs w:val="20"/>
              </w:rPr>
            </w:pPr>
            <w:r>
              <w:rPr>
                <w:i/>
                <w:sz w:val="20"/>
                <w:szCs w:val="20"/>
              </w:rPr>
              <w:t>Terminalia ivorensis</w:t>
            </w:r>
          </w:p>
        </w:tc>
        <w:tc>
          <w:tcPr>
            <w:tcW w:w="1871" w:type="dxa"/>
          </w:tcPr>
          <w:p w:rsidR="004F3F42" w:rsidRDefault="009A1E75">
            <w:pPr>
              <w:autoSpaceDE w:val="0"/>
              <w:autoSpaceDN w:val="0"/>
              <w:adjustRightInd w:val="0"/>
              <w:jc w:val="both"/>
              <w:rPr>
                <w:b/>
                <w:sz w:val="20"/>
                <w:szCs w:val="20"/>
              </w:rPr>
            </w:pPr>
            <w:r>
              <w:rPr>
                <w:sz w:val="20"/>
                <w:szCs w:val="20"/>
              </w:rPr>
              <w:t>Black afar</w:t>
            </w:r>
          </w:p>
        </w:tc>
        <w:tc>
          <w:tcPr>
            <w:tcW w:w="1037" w:type="dxa"/>
          </w:tcPr>
          <w:p w:rsidR="004F3F42" w:rsidRDefault="009A1E75">
            <w:pPr>
              <w:autoSpaceDE w:val="0"/>
              <w:autoSpaceDN w:val="0"/>
              <w:adjustRightInd w:val="0"/>
              <w:jc w:val="both"/>
              <w:rPr>
                <w:sz w:val="20"/>
                <w:szCs w:val="20"/>
              </w:rPr>
            </w:pPr>
            <w:r>
              <w:rPr>
                <w:sz w:val="20"/>
                <w:szCs w:val="20"/>
              </w:rPr>
              <w:t>18</w:t>
            </w:r>
          </w:p>
        </w:tc>
        <w:tc>
          <w:tcPr>
            <w:tcW w:w="1455" w:type="dxa"/>
          </w:tcPr>
          <w:p w:rsidR="004F3F42" w:rsidRDefault="009A1E75">
            <w:pPr>
              <w:autoSpaceDE w:val="0"/>
              <w:autoSpaceDN w:val="0"/>
              <w:adjustRightInd w:val="0"/>
              <w:jc w:val="both"/>
              <w:rPr>
                <w:sz w:val="20"/>
                <w:szCs w:val="20"/>
              </w:rPr>
            </w:pPr>
            <w:r>
              <w:rPr>
                <w:sz w:val="20"/>
                <w:szCs w:val="20"/>
              </w:rPr>
              <w:t>3.41</w:t>
            </w:r>
          </w:p>
        </w:tc>
      </w:tr>
      <w:tr w:rsidR="004F3F42">
        <w:trPr>
          <w:trHeight w:val="254"/>
          <w:jc w:val="center"/>
        </w:trPr>
        <w:tc>
          <w:tcPr>
            <w:tcW w:w="2030" w:type="dxa"/>
          </w:tcPr>
          <w:p w:rsidR="004F3F42" w:rsidRDefault="009A1E75">
            <w:pPr>
              <w:jc w:val="both"/>
              <w:rPr>
                <w:sz w:val="20"/>
                <w:szCs w:val="20"/>
              </w:rPr>
            </w:pPr>
            <w:r>
              <w:rPr>
                <w:sz w:val="20"/>
                <w:szCs w:val="20"/>
              </w:rPr>
              <w:t>Fabaceae</w:t>
            </w:r>
          </w:p>
        </w:tc>
        <w:tc>
          <w:tcPr>
            <w:tcW w:w="2704" w:type="dxa"/>
          </w:tcPr>
          <w:p w:rsidR="004F3F42" w:rsidRDefault="009A1E75">
            <w:pPr>
              <w:autoSpaceDE w:val="0"/>
              <w:autoSpaceDN w:val="0"/>
              <w:adjustRightInd w:val="0"/>
              <w:jc w:val="both"/>
              <w:rPr>
                <w:i/>
                <w:iCs/>
                <w:sz w:val="20"/>
                <w:szCs w:val="20"/>
              </w:rPr>
            </w:pPr>
            <w:r>
              <w:rPr>
                <w:i/>
                <w:iCs/>
                <w:sz w:val="20"/>
                <w:szCs w:val="20"/>
              </w:rPr>
              <w:t>Brachystegiaeurycoma</w:t>
            </w:r>
          </w:p>
        </w:tc>
        <w:tc>
          <w:tcPr>
            <w:tcW w:w="1871" w:type="dxa"/>
          </w:tcPr>
          <w:p w:rsidR="004F3F42" w:rsidRDefault="009A1E75">
            <w:pPr>
              <w:autoSpaceDE w:val="0"/>
              <w:autoSpaceDN w:val="0"/>
              <w:adjustRightInd w:val="0"/>
              <w:jc w:val="both"/>
              <w:rPr>
                <w:sz w:val="20"/>
                <w:szCs w:val="20"/>
              </w:rPr>
            </w:pPr>
            <w:r>
              <w:rPr>
                <w:sz w:val="20"/>
                <w:szCs w:val="20"/>
              </w:rPr>
              <w:t>Achi</w:t>
            </w:r>
          </w:p>
        </w:tc>
        <w:tc>
          <w:tcPr>
            <w:tcW w:w="1037" w:type="dxa"/>
          </w:tcPr>
          <w:p w:rsidR="004F3F42" w:rsidRDefault="009A1E75">
            <w:pPr>
              <w:autoSpaceDE w:val="0"/>
              <w:autoSpaceDN w:val="0"/>
              <w:adjustRightInd w:val="0"/>
              <w:jc w:val="both"/>
              <w:rPr>
                <w:sz w:val="20"/>
                <w:szCs w:val="20"/>
              </w:rPr>
            </w:pPr>
            <w:r>
              <w:rPr>
                <w:sz w:val="20"/>
                <w:szCs w:val="20"/>
              </w:rPr>
              <w:t>14</w:t>
            </w:r>
          </w:p>
        </w:tc>
        <w:tc>
          <w:tcPr>
            <w:tcW w:w="1455" w:type="dxa"/>
          </w:tcPr>
          <w:p w:rsidR="004F3F42" w:rsidRDefault="009A1E75">
            <w:pPr>
              <w:autoSpaceDE w:val="0"/>
              <w:autoSpaceDN w:val="0"/>
              <w:adjustRightInd w:val="0"/>
              <w:jc w:val="both"/>
              <w:rPr>
                <w:sz w:val="20"/>
                <w:szCs w:val="20"/>
              </w:rPr>
            </w:pPr>
            <w:r>
              <w:rPr>
                <w:sz w:val="20"/>
                <w:szCs w:val="20"/>
              </w:rPr>
              <w:t>2.65</w:t>
            </w:r>
          </w:p>
        </w:tc>
      </w:tr>
      <w:tr w:rsidR="004F3F42">
        <w:trPr>
          <w:trHeight w:val="254"/>
          <w:jc w:val="center"/>
        </w:trPr>
        <w:tc>
          <w:tcPr>
            <w:tcW w:w="2030" w:type="dxa"/>
          </w:tcPr>
          <w:p w:rsidR="004F3F42" w:rsidRDefault="004F3F42">
            <w:pPr>
              <w:jc w:val="both"/>
              <w:rPr>
                <w:sz w:val="20"/>
                <w:szCs w:val="20"/>
              </w:rPr>
            </w:pPr>
          </w:p>
        </w:tc>
        <w:tc>
          <w:tcPr>
            <w:tcW w:w="2704" w:type="dxa"/>
          </w:tcPr>
          <w:p w:rsidR="004F3F42" w:rsidRDefault="009A1E75">
            <w:pPr>
              <w:autoSpaceDE w:val="0"/>
              <w:autoSpaceDN w:val="0"/>
              <w:adjustRightInd w:val="0"/>
              <w:jc w:val="both"/>
              <w:rPr>
                <w:i/>
                <w:sz w:val="20"/>
                <w:szCs w:val="20"/>
              </w:rPr>
            </w:pPr>
            <w:r>
              <w:rPr>
                <w:i/>
                <w:sz w:val="20"/>
                <w:szCs w:val="20"/>
              </w:rPr>
              <w:t>Pterocapuserinaceus</w:t>
            </w:r>
          </w:p>
        </w:tc>
        <w:tc>
          <w:tcPr>
            <w:tcW w:w="1871" w:type="dxa"/>
          </w:tcPr>
          <w:p w:rsidR="004F3F42" w:rsidRDefault="009A1E75">
            <w:pPr>
              <w:autoSpaceDE w:val="0"/>
              <w:autoSpaceDN w:val="0"/>
              <w:adjustRightInd w:val="0"/>
              <w:jc w:val="both"/>
              <w:rPr>
                <w:sz w:val="20"/>
                <w:szCs w:val="20"/>
              </w:rPr>
            </w:pPr>
            <w:r>
              <w:rPr>
                <w:sz w:val="20"/>
                <w:szCs w:val="20"/>
              </w:rPr>
              <w:t>Kosso</w:t>
            </w:r>
          </w:p>
        </w:tc>
        <w:tc>
          <w:tcPr>
            <w:tcW w:w="1037" w:type="dxa"/>
          </w:tcPr>
          <w:p w:rsidR="004F3F42" w:rsidRDefault="009A1E75">
            <w:pPr>
              <w:autoSpaceDE w:val="0"/>
              <w:autoSpaceDN w:val="0"/>
              <w:adjustRightInd w:val="0"/>
              <w:jc w:val="both"/>
              <w:rPr>
                <w:sz w:val="20"/>
                <w:szCs w:val="20"/>
              </w:rPr>
            </w:pPr>
            <w:r>
              <w:rPr>
                <w:sz w:val="20"/>
                <w:szCs w:val="20"/>
              </w:rPr>
              <w:t>50</w:t>
            </w:r>
          </w:p>
        </w:tc>
        <w:tc>
          <w:tcPr>
            <w:tcW w:w="1455" w:type="dxa"/>
          </w:tcPr>
          <w:p w:rsidR="004F3F42" w:rsidRDefault="009A1E75">
            <w:pPr>
              <w:autoSpaceDE w:val="0"/>
              <w:autoSpaceDN w:val="0"/>
              <w:adjustRightInd w:val="0"/>
              <w:jc w:val="both"/>
              <w:rPr>
                <w:sz w:val="20"/>
                <w:szCs w:val="20"/>
              </w:rPr>
            </w:pPr>
            <w:r>
              <w:rPr>
                <w:sz w:val="20"/>
                <w:szCs w:val="20"/>
              </w:rPr>
              <w:t>9.47</w:t>
            </w:r>
          </w:p>
        </w:tc>
      </w:tr>
      <w:tr w:rsidR="004F3F42">
        <w:trPr>
          <w:trHeight w:val="254"/>
          <w:jc w:val="center"/>
        </w:trPr>
        <w:tc>
          <w:tcPr>
            <w:tcW w:w="2030" w:type="dxa"/>
          </w:tcPr>
          <w:p w:rsidR="004F3F42" w:rsidRDefault="004F3F42">
            <w:pPr>
              <w:jc w:val="both"/>
              <w:rPr>
                <w:sz w:val="20"/>
                <w:szCs w:val="20"/>
              </w:rPr>
            </w:pPr>
          </w:p>
        </w:tc>
        <w:tc>
          <w:tcPr>
            <w:tcW w:w="2704" w:type="dxa"/>
          </w:tcPr>
          <w:p w:rsidR="004F3F42" w:rsidRDefault="009A1E75">
            <w:pPr>
              <w:autoSpaceDE w:val="0"/>
              <w:autoSpaceDN w:val="0"/>
              <w:adjustRightInd w:val="0"/>
              <w:jc w:val="both"/>
              <w:rPr>
                <w:i/>
                <w:iCs/>
                <w:sz w:val="20"/>
                <w:szCs w:val="20"/>
              </w:rPr>
            </w:pPr>
            <w:r>
              <w:rPr>
                <w:i/>
                <w:iCs/>
                <w:sz w:val="20"/>
                <w:szCs w:val="20"/>
              </w:rPr>
              <w:t>Pterocarpusosun</w:t>
            </w:r>
          </w:p>
        </w:tc>
        <w:tc>
          <w:tcPr>
            <w:tcW w:w="1871" w:type="dxa"/>
          </w:tcPr>
          <w:p w:rsidR="004F3F42" w:rsidRDefault="009A1E75">
            <w:pPr>
              <w:autoSpaceDE w:val="0"/>
              <w:autoSpaceDN w:val="0"/>
              <w:adjustRightInd w:val="0"/>
              <w:jc w:val="both"/>
              <w:rPr>
                <w:sz w:val="20"/>
                <w:szCs w:val="20"/>
              </w:rPr>
            </w:pPr>
            <w:r>
              <w:rPr>
                <w:i/>
                <w:iCs/>
                <w:sz w:val="20"/>
                <w:szCs w:val="20"/>
              </w:rPr>
              <w:t>boko</w:t>
            </w:r>
          </w:p>
        </w:tc>
        <w:tc>
          <w:tcPr>
            <w:tcW w:w="1037" w:type="dxa"/>
          </w:tcPr>
          <w:p w:rsidR="004F3F42" w:rsidRDefault="009A1E75">
            <w:pPr>
              <w:autoSpaceDE w:val="0"/>
              <w:autoSpaceDN w:val="0"/>
              <w:adjustRightInd w:val="0"/>
              <w:jc w:val="both"/>
              <w:rPr>
                <w:sz w:val="20"/>
                <w:szCs w:val="20"/>
              </w:rPr>
            </w:pPr>
            <w:r>
              <w:rPr>
                <w:sz w:val="20"/>
                <w:szCs w:val="20"/>
              </w:rPr>
              <w:t>26</w:t>
            </w:r>
          </w:p>
        </w:tc>
        <w:tc>
          <w:tcPr>
            <w:tcW w:w="1455" w:type="dxa"/>
          </w:tcPr>
          <w:p w:rsidR="004F3F42" w:rsidRDefault="009A1E75">
            <w:pPr>
              <w:autoSpaceDE w:val="0"/>
              <w:autoSpaceDN w:val="0"/>
              <w:adjustRightInd w:val="0"/>
              <w:jc w:val="both"/>
              <w:rPr>
                <w:sz w:val="20"/>
                <w:szCs w:val="20"/>
              </w:rPr>
            </w:pPr>
            <w:r>
              <w:rPr>
                <w:sz w:val="20"/>
                <w:szCs w:val="20"/>
              </w:rPr>
              <w:t>4.92</w:t>
            </w:r>
          </w:p>
        </w:tc>
      </w:tr>
      <w:tr w:rsidR="004F3F42">
        <w:trPr>
          <w:trHeight w:val="254"/>
          <w:jc w:val="center"/>
        </w:trPr>
        <w:tc>
          <w:tcPr>
            <w:tcW w:w="2030" w:type="dxa"/>
          </w:tcPr>
          <w:p w:rsidR="004F3F42" w:rsidRDefault="004F3F42">
            <w:pPr>
              <w:jc w:val="both"/>
              <w:rPr>
                <w:sz w:val="20"/>
                <w:szCs w:val="20"/>
              </w:rPr>
            </w:pPr>
          </w:p>
        </w:tc>
        <w:tc>
          <w:tcPr>
            <w:tcW w:w="2704" w:type="dxa"/>
          </w:tcPr>
          <w:p w:rsidR="004F3F42" w:rsidRDefault="009A1E75">
            <w:pPr>
              <w:autoSpaceDE w:val="0"/>
              <w:autoSpaceDN w:val="0"/>
              <w:adjustRightInd w:val="0"/>
              <w:jc w:val="both"/>
              <w:rPr>
                <w:i/>
                <w:iCs/>
                <w:sz w:val="20"/>
                <w:szCs w:val="20"/>
              </w:rPr>
            </w:pPr>
            <w:r>
              <w:rPr>
                <w:i/>
                <w:iCs/>
                <w:sz w:val="20"/>
                <w:szCs w:val="20"/>
              </w:rPr>
              <w:t>Petadethramacrophylla</w:t>
            </w:r>
          </w:p>
        </w:tc>
        <w:tc>
          <w:tcPr>
            <w:tcW w:w="1871" w:type="dxa"/>
          </w:tcPr>
          <w:p w:rsidR="004F3F42" w:rsidRDefault="009A1E75">
            <w:pPr>
              <w:autoSpaceDE w:val="0"/>
              <w:autoSpaceDN w:val="0"/>
              <w:adjustRightInd w:val="0"/>
              <w:jc w:val="both"/>
              <w:rPr>
                <w:sz w:val="20"/>
                <w:szCs w:val="20"/>
              </w:rPr>
            </w:pPr>
            <w:r>
              <w:rPr>
                <w:sz w:val="20"/>
                <w:szCs w:val="20"/>
              </w:rPr>
              <w:t>Ugba</w:t>
            </w:r>
          </w:p>
        </w:tc>
        <w:tc>
          <w:tcPr>
            <w:tcW w:w="1037" w:type="dxa"/>
          </w:tcPr>
          <w:p w:rsidR="004F3F42" w:rsidRDefault="009A1E75">
            <w:pPr>
              <w:autoSpaceDE w:val="0"/>
              <w:autoSpaceDN w:val="0"/>
              <w:adjustRightInd w:val="0"/>
              <w:jc w:val="both"/>
              <w:rPr>
                <w:sz w:val="20"/>
                <w:szCs w:val="20"/>
              </w:rPr>
            </w:pPr>
            <w:r>
              <w:rPr>
                <w:sz w:val="20"/>
                <w:szCs w:val="20"/>
              </w:rPr>
              <w:t>26</w:t>
            </w:r>
          </w:p>
        </w:tc>
        <w:tc>
          <w:tcPr>
            <w:tcW w:w="1455" w:type="dxa"/>
          </w:tcPr>
          <w:p w:rsidR="004F3F42" w:rsidRDefault="009A1E75">
            <w:pPr>
              <w:autoSpaceDE w:val="0"/>
              <w:autoSpaceDN w:val="0"/>
              <w:adjustRightInd w:val="0"/>
              <w:jc w:val="both"/>
              <w:rPr>
                <w:sz w:val="20"/>
                <w:szCs w:val="20"/>
              </w:rPr>
            </w:pPr>
            <w:r>
              <w:rPr>
                <w:sz w:val="20"/>
                <w:szCs w:val="20"/>
              </w:rPr>
              <w:t>4.92</w:t>
            </w:r>
          </w:p>
        </w:tc>
      </w:tr>
      <w:tr w:rsidR="004F3F42">
        <w:trPr>
          <w:trHeight w:val="254"/>
          <w:jc w:val="center"/>
        </w:trPr>
        <w:tc>
          <w:tcPr>
            <w:tcW w:w="2030" w:type="dxa"/>
          </w:tcPr>
          <w:p w:rsidR="004F3F42" w:rsidRDefault="009A1E75">
            <w:pPr>
              <w:jc w:val="both"/>
              <w:rPr>
                <w:sz w:val="20"/>
                <w:szCs w:val="20"/>
              </w:rPr>
            </w:pPr>
            <w:r>
              <w:rPr>
                <w:sz w:val="20"/>
                <w:szCs w:val="20"/>
              </w:rPr>
              <w:t>Malvaceae</w:t>
            </w:r>
          </w:p>
        </w:tc>
        <w:tc>
          <w:tcPr>
            <w:tcW w:w="2704" w:type="dxa"/>
          </w:tcPr>
          <w:p w:rsidR="004F3F42" w:rsidRDefault="009A1E75">
            <w:pPr>
              <w:autoSpaceDE w:val="0"/>
              <w:autoSpaceDN w:val="0"/>
              <w:adjustRightInd w:val="0"/>
              <w:jc w:val="both"/>
              <w:rPr>
                <w:i/>
                <w:sz w:val="20"/>
                <w:szCs w:val="20"/>
              </w:rPr>
            </w:pPr>
            <w:r>
              <w:rPr>
                <w:i/>
                <w:iCs/>
                <w:sz w:val="20"/>
                <w:szCs w:val="20"/>
              </w:rPr>
              <w:t>Ceibapentandra</w:t>
            </w:r>
          </w:p>
        </w:tc>
        <w:tc>
          <w:tcPr>
            <w:tcW w:w="1871" w:type="dxa"/>
          </w:tcPr>
          <w:p w:rsidR="004F3F42" w:rsidRDefault="009A1E75">
            <w:pPr>
              <w:autoSpaceDE w:val="0"/>
              <w:autoSpaceDN w:val="0"/>
              <w:adjustRightInd w:val="0"/>
              <w:jc w:val="both"/>
              <w:rPr>
                <w:sz w:val="20"/>
                <w:szCs w:val="20"/>
              </w:rPr>
            </w:pPr>
            <w:r>
              <w:rPr>
                <w:sz w:val="20"/>
                <w:szCs w:val="20"/>
              </w:rPr>
              <w:t>Silkcotton</w:t>
            </w:r>
          </w:p>
        </w:tc>
        <w:tc>
          <w:tcPr>
            <w:tcW w:w="1037" w:type="dxa"/>
          </w:tcPr>
          <w:p w:rsidR="004F3F42" w:rsidRDefault="009A1E75">
            <w:pPr>
              <w:autoSpaceDE w:val="0"/>
              <w:autoSpaceDN w:val="0"/>
              <w:adjustRightInd w:val="0"/>
              <w:jc w:val="both"/>
              <w:rPr>
                <w:sz w:val="20"/>
                <w:szCs w:val="20"/>
              </w:rPr>
            </w:pPr>
            <w:r>
              <w:rPr>
                <w:sz w:val="20"/>
                <w:szCs w:val="20"/>
              </w:rPr>
              <w:t>50</w:t>
            </w:r>
          </w:p>
        </w:tc>
        <w:tc>
          <w:tcPr>
            <w:tcW w:w="1455" w:type="dxa"/>
          </w:tcPr>
          <w:p w:rsidR="004F3F42" w:rsidRDefault="009A1E75">
            <w:pPr>
              <w:autoSpaceDE w:val="0"/>
              <w:autoSpaceDN w:val="0"/>
              <w:adjustRightInd w:val="0"/>
              <w:jc w:val="both"/>
              <w:rPr>
                <w:sz w:val="20"/>
                <w:szCs w:val="20"/>
              </w:rPr>
            </w:pPr>
            <w:r>
              <w:rPr>
                <w:sz w:val="20"/>
                <w:szCs w:val="20"/>
              </w:rPr>
              <w:t>9.47</w:t>
            </w:r>
          </w:p>
        </w:tc>
      </w:tr>
      <w:tr w:rsidR="004F3F42">
        <w:trPr>
          <w:trHeight w:val="254"/>
          <w:jc w:val="center"/>
        </w:trPr>
        <w:tc>
          <w:tcPr>
            <w:tcW w:w="2030" w:type="dxa"/>
          </w:tcPr>
          <w:p w:rsidR="004F3F42" w:rsidRDefault="009A1E75">
            <w:pPr>
              <w:jc w:val="both"/>
              <w:rPr>
                <w:sz w:val="20"/>
                <w:szCs w:val="20"/>
              </w:rPr>
            </w:pPr>
            <w:r>
              <w:rPr>
                <w:sz w:val="20"/>
                <w:szCs w:val="20"/>
              </w:rPr>
              <w:t>Guttiferae</w:t>
            </w:r>
          </w:p>
        </w:tc>
        <w:tc>
          <w:tcPr>
            <w:tcW w:w="2704" w:type="dxa"/>
          </w:tcPr>
          <w:p w:rsidR="004F3F42" w:rsidRDefault="009A1E75">
            <w:pPr>
              <w:autoSpaceDE w:val="0"/>
              <w:autoSpaceDN w:val="0"/>
              <w:adjustRightInd w:val="0"/>
              <w:jc w:val="both"/>
              <w:rPr>
                <w:i/>
                <w:iCs/>
                <w:sz w:val="20"/>
                <w:szCs w:val="20"/>
              </w:rPr>
            </w:pPr>
            <w:r>
              <w:rPr>
                <w:i/>
                <w:iCs/>
                <w:sz w:val="20"/>
                <w:szCs w:val="20"/>
              </w:rPr>
              <w:t>Symphoniaglobulifera</w:t>
            </w:r>
          </w:p>
        </w:tc>
        <w:tc>
          <w:tcPr>
            <w:tcW w:w="1871" w:type="dxa"/>
          </w:tcPr>
          <w:p w:rsidR="004F3F42" w:rsidRDefault="009A1E75">
            <w:pPr>
              <w:autoSpaceDE w:val="0"/>
              <w:autoSpaceDN w:val="0"/>
              <w:adjustRightInd w:val="0"/>
              <w:jc w:val="both"/>
              <w:rPr>
                <w:sz w:val="20"/>
                <w:szCs w:val="20"/>
              </w:rPr>
            </w:pPr>
            <w:r>
              <w:rPr>
                <w:sz w:val="20"/>
                <w:szCs w:val="20"/>
              </w:rPr>
              <w:t>Okololo</w:t>
            </w:r>
          </w:p>
        </w:tc>
        <w:tc>
          <w:tcPr>
            <w:tcW w:w="1037" w:type="dxa"/>
          </w:tcPr>
          <w:p w:rsidR="004F3F42" w:rsidRDefault="009A1E75">
            <w:pPr>
              <w:autoSpaceDE w:val="0"/>
              <w:autoSpaceDN w:val="0"/>
              <w:adjustRightInd w:val="0"/>
              <w:jc w:val="both"/>
              <w:rPr>
                <w:sz w:val="20"/>
                <w:szCs w:val="20"/>
              </w:rPr>
            </w:pPr>
            <w:r>
              <w:rPr>
                <w:sz w:val="20"/>
                <w:szCs w:val="20"/>
              </w:rPr>
              <w:t>12</w:t>
            </w:r>
          </w:p>
        </w:tc>
        <w:tc>
          <w:tcPr>
            <w:tcW w:w="1455" w:type="dxa"/>
          </w:tcPr>
          <w:p w:rsidR="004F3F42" w:rsidRDefault="009A1E75">
            <w:pPr>
              <w:autoSpaceDE w:val="0"/>
              <w:autoSpaceDN w:val="0"/>
              <w:adjustRightInd w:val="0"/>
              <w:jc w:val="both"/>
              <w:rPr>
                <w:sz w:val="20"/>
                <w:szCs w:val="20"/>
              </w:rPr>
            </w:pPr>
            <w:r>
              <w:rPr>
                <w:sz w:val="20"/>
                <w:szCs w:val="20"/>
              </w:rPr>
              <w:t>2.27</w:t>
            </w:r>
          </w:p>
        </w:tc>
      </w:tr>
      <w:tr w:rsidR="004F3F42">
        <w:trPr>
          <w:trHeight w:val="254"/>
          <w:jc w:val="center"/>
        </w:trPr>
        <w:tc>
          <w:tcPr>
            <w:tcW w:w="2030" w:type="dxa"/>
          </w:tcPr>
          <w:p w:rsidR="004F3F42" w:rsidRDefault="009A1E75">
            <w:pPr>
              <w:jc w:val="both"/>
              <w:rPr>
                <w:sz w:val="20"/>
                <w:szCs w:val="20"/>
              </w:rPr>
            </w:pPr>
            <w:r>
              <w:rPr>
                <w:sz w:val="20"/>
                <w:szCs w:val="20"/>
              </w:rPr>
              <w:t>Meliaceae</w:t>
            </w:r>
          </w:p>
        </w:tc>
        <w:tc>
          <w:tcPr>
            <w:tcW w:w="2704" w:type="dxa"/>
          </w:tcPr>
          <w:p w:rsidR="004F3F42" w:rsidRDefault="009A1E75">
            <w:pPr>
              <w:autoSpaceDE w:val="0"/>
              <w:autoSpaceDN w:val="0"/>
              <w:adjustRightInd w:val="0"/>
              <w:jc w:val="both"/>
              <w:rPr>
                <w:i/>
                <w:sz w:val="20"/>
                <w:szCs w:val="20"/>
              </w:rPr>
            </w:pPr>
            <w:r>
              <w:rPr>
                <w:sz w:val="20"/>
                <w:szCs w:val="20"/>
              </w:rPr>
              <w:t>Khayaivorensis</w:t>
            </w:r>
          </w:p>
        </w:tc>
        <w:tc>
          <w:tcPr>
            <w:tcW w:w="1871" w:type="dxa"/>
          </w:tcPr>
          <w:p w:rsidR="004F3F42" w:rsidRDefault="009A1E75">
            <w:pPr>
              <w:autoSpaceDE w:val="0"/>
              <w:autoSpaceDN w:val="0"/>
              <w:adjustRightInd w:val="0"/>
              <w:jc w:val="both"/>
              <w:rPr>
                <w:sz w:val="20"/>
                <w:szCs w:val="20"/>
              </w:rPr>
            </w:pPr>
            <w:r>
              <w:rPr>
                <w:sz w:val="20"/>
                <w:szCs w:val="20"/>
              </w:rPr>
              <w:t>Mahogany</w:t>
            </w:r>
          </w:p>
        </w:tc>
        <w:tc>
          <w:tcPr>
            <w:tcW w:w="1037" w:type="dxa"/>
          </w:tcPr>
          <w:p w:rsidR="004F3F42" w:rsidRDefault="009A1E75">
            <w:pPr>
              <w:autoSpaceDE w:val="0"/>
              <w:autoSpaceDN w:val="0"/>
              <w:adjustRightInd w:val="0"/>
              <w:jc w:val="both"/>
              <w:rPr>
                <w:sz w:val="20"/>
                <w:szCs w:val="20"/>
              </w:rPr>
            </w:pPr>
            <w:r>
              <w:rPr>
                <w:sz w:val="20"/>
                <w:szCs w:val="20"/>
              </w:rPr>
              <w:t>29</w:t>
            </w:r>
          </w:p>
        </w:tc>
        <w:tc>
          <w:tcPr>
            <w:tcW w:w="1455" w:type="dxa"/>
          </w:tcPr>
          <w:p w:rsidR="004F3F42" w:rsidRDefault="009A1E75">
            <w:pPr>
              <w:autoSpaceDE w:val="0"/>
              <w:autoSpaceDN w:val="0"/>
              <w:adjustRightInd w:val="0"/>
              <w:jc w:val="both"/>
              <w:rPr>
                <w:sz w:val="20"/>
                <w:szCs w:val="20"/>
              </w:rPr>
            </w:pPr>
            <w:r>
              <w:rPr>
                <w:sz w:val="20"/>
                <w:szCs w:val="20"/>
              </w:rPr>
              <w:t>5.49</w:t>
            </w:r>
          </w:p>
        </w:tc>
      </w:tr>
      <w:tr w:rsidR="004F3F42">
        <w:trPr>
          <w:trHeight w:val="254"/>
          <w:jc w:val="center"/>
        </w:trPr>
        <w:tc>
          <w:tcPr>
            <w:tcW w:w="2030" w:type="dxa"/>
          </w:tcPr>
          <w:p w:rsidR="004F3F42" w:rsidRDefault="004F3F42">
            <w:pPr>
              <w:jc w:val="both"/>
              <w:rPr>
                <w:sz w:val="20"/>
                <w:szCs w:val="20"/>
              </w:rPr>
            </w:pPr>
          </w:p>
        </w:tc>
        <w:tc>
          <w:tcPr>
            <w:tcW w:w="2704" w:type="dxa"/>
          </w:tcPr>
          <w:p w:rsidR="004F3F42" w:rsidRDefault="009A1E75">
            <w:pPr>
              <w:autoSpaceDE w:val="0"/>
              <w:autoSpaceDN w:val="0"/>
              <w:adjustRightInd w:val="0"/>
              <w:jc w:val="both"/>
              <w:rPr>
                <w:i/>
                <w:iCs/>
                <w:sz w:val="20"/>
                <w:szCs w:val="20"/>
              </w:rPr>
            </w:pPr>
            <w:r>
              <w:rPr>
                <w:i/>
                <w:iCs/>
                <w:sz w:val="20"/>
                <w:szCs w:val="20"/>
              </w:rPr>
              <w:t>Berlinia grandiflora</w:t>
            </w:r>
          </w:p>
        </w:tc>
        <w:tc>
          <w:tcPr>
            <w:tcW w:w="1871" w:type="dxa"/>
          </w:tcPr>
          <w:p w:rsidR="004F3F42" w:rsidRDefault="009A1E75">
            <w:pPr>
              <w:autoSpaceDE w:val="0"/>
              <w:autoSpaceDN w:val="0"/>
              <w:adjustRightInd w:val="0"/>
              <w:jc w:val="both"/>
              <w:rPr>
                <w:sz w:val="20"/>
                <w:szCs w:val="20"/>
              </w:rPr>
            </w:pPr>
            <w:r>
              <w:rPr>
                <w:sz w:val="20"/>
                <w:szCs w:val="20"/>
              </w:rPr>
              <w:t>ububa red</w:t>
            </w:r>
          </w:p>
        </w:tc>
        <w:tc>
          <w:tcPr>
            <w:tcW w:w="1037" w:type="dxa"/>
          </w:tcPr>
          <w:p w:rsidR="004F3F42" w:rsidRDefault="009A1E75">
            <w:pPr>
              <w:autoSpaceDE w:val="0"/>
              <w:autoSpaceDN w:val="0"/>
              <w:adjustRightInd w:val="0"/>
              <w:jc w:val="both"/>
              <w:rPr>
                <w:sz w:val="20"/>
                <w:szCs w:val="20"/>
              </w:rPr>
            </w:pPr>
            <w:r>
              <w:rPr>
                <w:sz w:val="20"/>
                <w:szCs w:val="20"/>
              </w:rPr>
              <w:t>47</w:t>
            </w:r>
          </w:p>
        </w:tc>
        <w:tc>
          <w:tcPr>
            <w:tcW w:w="1455" w:type="dxa"/>
          </w:tcPr>
          <w:p w:rsidR="004F3F42" w:rsidRDefault="009A1E75">
            <w:pPr>
              <w:autoSpaceDE w:val="0"/>
              <w:autoSpaceDN w:val="0"/>
              <w:adjustRightInd w:val="0"/>
              <w:jc w:val="both"/>
              <w:rPr>
                <w:sz w:val="20"/>
                <w:szCs w:val="20"/>
              </w:rPr>
            </w:pPr>
            <w:r>
              <w:rPr>
                <w:sz w:val="20"/>
                <w:szCs w:val="20"/>
              </w:rPr>
              <w:t>8.90</w:t>
            </w:r>
          </w:p>
        </w:tc>
      </w:tr>
      <w:tr w:rsidR="004F3F42">
        <w:trPr>
          <w:trHeight w:val="254"/>
          <w:jc w:val="center"/>
        </w:trPr>
        <w:tc>
          <w:tcPr>
            <w:tcW w:w="2030" w:type="dxa"/>
          </w:tcPr>
          <w:p w:rsidR="004F3F42" w:rsidRDefault="009A1E75">
            <w:pPr>
              <w:jc w:val="both"/>
              <w:rPr>
                <w:sz w:val="20"/>
                <w:szCs w:val="20"/>
              </w:rPr>
            </w:pPr>
            <w:r>
              <w:rPr>
                <w:sz w:val="20"/>
                <w:szCs w:val="20"/>
              </w:rPr>
              <w:t>Moraceae</w:t>
            </w:r>
          </w:p>
        </w:tc>
        <w:tc>
          <w:tcPr>
            <w:tcW w:w="2704" w:type="dxa"/>
          </w:tcPr>
          <w:p w:rsidR="004F3F42" w:rsidRDefault="009A1E75">
            <w:pPr>
              <w:autoSpaceDE w:val="0"/>
              <w:autoSpaceDN w:val="0"/>
              <w:adjustRightInd w:val="0"/>
              <w:jc w:val="both"/>
              <w:rPr>
                <w:i/>
                <w:sz w:val="20"/>
                <w:szCs w:val="20"/>
              </w:rPr>
            </w:pPr>
            <w:r>
              <w:rPr>
                <w:i/>
                <w:sz w:val="20"/>
                <w:szCs w:val="20"/>
              </w:rPr>
              <w:t>Milicia excels</w:t>
            </w:r>
          </w:p>
        </w:tc>
        <w:tc>
          <w:tcPr>
            <w:tcW w:w="1871" w:type="dxa"/>
          </w:tcPr>
          <w:p w:rsidR="004F3F42" w:rsidRDefault="009A1E75">
            <w:pPr>
              <w:autoSpaceDE w:val="0"/>
              <w:autoSpaceDN w:val="0"/>
              <w:adjustRightInd w:val="0"/>
              <w:jc w:val="both"/>
              <w:rPr>
                <w:sz w:val="20"/>
                <w:szCs w:val="20"/>
              </w:rPr>
            </w:pPr>
            <w:r>
              <w:rPr>
                <w:sz w:val="20"/>
                <w:szCs w:val="20"/>
              </w:rPr>
              <w:t>Iroko</w:t>
            </w:r>
          </w:p>
        </w:tc>
        <w:tc>
          <w:tcPr>
            <w:tcW w:w="1037" w:type="dxa"/>
          </w:tcPr>
          <w:p w:rsidR="004F3F42" w:rsidRDefault="009A1E75">
            <w:pPr>
              <w:autoSpaceDE w:val="0"/>
              <w:autoSpaceDN w:val="0"/>
              <w:adjustRightInd w:val="0"/>
              <w:jc w:val="both"/>
              <w:rPr>
                <w:sz w:val="20"/>
                <w:szCs w:val="20"/>
              </w:rPr>
            </w:pPr>
            <w:r>
              <w:rPr>
                <w:sz w:val="20"/>
                <w:szCs w:val="20"/>
              </w:rPr>
              <w:t>14</w:t>
            </w:r>
          </w:p>
        </w:tc>
        <w:tc>
          <w:tcPr>
            <w:tcW w:w="1455" w:type="dxa"/>
          </w:tcPr>
          <w:p w:rsidR="004F3F42" w:rsidRDefault="009A1E75">
            <w:pPr>
              <w:autoSpaceDE w:val="0"/>
              <w:autoSpaceDN w:val="0"/>
              <w:adjustRightInd w:val="0"/>
              <w:jc w:val="both"/>
              <w:rPr>
                <w:sz w:val="20"/>
                <w:szCs w:val="20"/>
              </w:rPr>
            </w:pPr>
            <w:r>
              <w:rPr>
                <w:sz w:val="20"/>
                <w:szCs w:val="20"/>
              </w:rPr>
              <w:t>2.65</w:t>
            </w:r>
          </w:p>
        </w:tc>
      </w:tr>
      <w:tr w:rsidR="004F3F42">
        <w:trPr>
          <w:trHeight w:val="254"/>
          <w:jc w:val="center"/>
        </w:trPr>
        <w:tc>
          <w:tcPr>
            <w:tcW w:w="2030" w:type="dxa"/>
          </w:tcPr>
          <w:p w:rsidR="004F3F42" w:rsidRDefault="009A1E75">
            <w:pPr>
              <w:jc w:val="both"/>
              <w:rPr>
                <w:sz w:val="20"/>
                <w:szCs w:val="20"/>
              </w:rPr>
            </w:pPr>
            <w:r>
              <w:rPr>
                <w:sz w:val="20"/>
                <w:szCs w:val="20"/>
              </w:rPr>
              <w:t>Ochnaceae</w:t>
            </w:r>
          </w:p>
        </w:tc>
        <w:tc>
          <w:tcPr>
            <w:tcW w:w="2704" w:type="dxa"/>
          </w:tcPr>
          <w:p w:rsidR="004F3F42" w:rsidRDefault="009A1E75">
            <w:pPr>
              <w:autoSpaceDE w:val="0"/>
              <w:autoSpaceDN w:val="0"/>
              <w:adjustRightInd w:val="0"/>
              <w:jc w:val="both"/>
              <w:rPr>
                <w:i/>
                <w:sz w:val="20"/>
                <w:szCs w:val="20"/>
              </w:rPr>
            </w:pPr>
            <w:r>
              <w:rPr>
                <w:i/>
                <w:iCs/>
                <w:sz w:val="20"/>
                <w:szCs w:val="20"/>
              </w:rPr>
              <w:t>Lophiraalata</w:t>
            </w:r>
          </w:p>
        </w:tc>
        <w:tc>
          <w:tcPr>
            <w:tcW w:w="1871" w:type="dxa"/>
          </w:tcPr>
          <w:p w:rsidR="004F3F42" w:rsidRDefault="009A1E75">
            <w:pPr>
              <w:autoSpaceDE w:val="0"/>
              <w:autoSpaceDN w:val="0"/>
              <w:adjustRightInd w:val="0"/>
              <w:jc w:val="both"/>
              <w:rPr>
                <w:sz w:val="20"/>
                <w:szCs w:val="20"/>
              </w:rPr>
            </w:pPr>
            <w:r>
              <w:rPr>
                <w:sz w:val="20"/>
                <w:szCs w:val="20"/>
              </w:rPr>
              <w:t>Ekki</w:t>
            </w:r>
          </w:p>
        </w:tc>
        <w:tc>
          <w:tcPr>
            <w:tcW w:w="1037" w:type="dxa"/>
          </w:tcPr>
          <w:p w:rsidR="004F3F42" w:rsidRDefault="009A1E75">
            <w:pPr>
              <w:autoSpaceDE w:val="0"/>
              <w:autoSpaceDN w:val="0"/>
              <w:adjustRightInd w:val="0"/>
              <w:jc w:val="both"/>
              <w:rPr>
                <w:sz w:val="20"/>
                <w:szCs w:val="20"/>
              </w:rPr>
            </w:pPr>
            <w:r>
              <w:rPr>
                <w:sz w:val="20"/>
                <w:szCs w:val="20"/>
              </w:rPr>
              <w:t>16</w:t>
            </w:r>
          </w:p>
        </w:tc>
        <w:tc>
          <w:tcPr>
            <w:tcW w:w="1455" w:type="dxa"/>
          </w:tcPr>
          <w:p w:rsidR="004F3F42" w:rsidRDefault="009A1E75">
            <w:pPr>
              <w:autoSpaceDE w:val="0"/>
              <w:autoSpaceDN w:val="0"/>
              <w:adjustRightInd w:val="0"/>
              <w:jc w:val="both"/>
              <w:rPr>
                <w:sz w:val="20"/>
                <w:szCs w:val="20"/>
              </w:rPr>
            </w:pPr>
            <w:r>
              <w:rPr>
                <w:sz w:val="20"/>
                <w:szCs w:val="20"/>
              </w:rPr>
              <w:t>3.03</w:t>
            </w:r>
          </w:p>
        </w:tc>
      </w:tr>
      <w:tr w:rsidR="004F3F42">
        <w:trPr>
          <w:trHeight w:val="254"/>
          <w:jc w:val="center"/>
        </w:trPr>
        <w:tc>
          <w:tcPr>
            <w:tcW w:w="2030" w:type="dxa"/>
          </w:tcPr>
          <w:p w:rsidR="004F3F42" w:rsidRDefault="009A1E75">
            <w:pPr>
              <w:jc w:val="both"/>
              <w:rPr>
                <w:sz w:val="20"/>
                <w:szCs w:val="20"/>
              </w:rPr>
            </w:pPr>
            <w:r>
              <w:rPr>
                <w:rStyle w:val="st"/>
                <w:sz w:val="20"/>
                <w:szCs w:val="20"/>
              </w:rPr>
              <w:t>Rubiaceae</w:t>
            </w:r>
          </w:p>
        </w:tc>
        <w:tc>
          <w:tcPr>
            <w:tcW w:w="2704" w:type="dxa"/>
          </w:tcPr>
          <w:p w:rsidR="004F3F42" w:rsidRDefault="009A1E75">
            <w:pPr>
              <w:autoSpaceDE w:val="0"/>
              <w:autoSpaceDN w:val="0"/>
              <w:adjustRightInd w:val="0"/>
              <w:jc w:val="both"/>
              <w:rPr>
                <w:i/>
                <w:sz w:val="20"/>
                <w:szCs w:val="20"/>
              </w:rPr>
            </w:pPr>
            <w:r>
              <w:rPr>
                <w:i/>
                <w:sz w:val="20"/>
                <w:szCs w:val="20"/>
              </w:rPr>
              <w:t>Mitragynacilitate</w:t>
            </w:r>
          </w:p>
        </w:tc>
        <w:tc>
          <w:tcPr>
            <w:tcW w:w="1871" w:type="dxa"/>
          </w:tcPr>
          <w:p w:rsidR="004F3F42" w:rsidRDefault="009A1E75">
            <w:pPr>
              <w:autoSpaceDE w:val="0"/>
              <w:autoSpaceDN w:val="0"/>
              <w:adjustRightInd w:val="0"/>
              <w:jc w:val="both"/>
              <w:rPr>
                <w:sz w:val="20"/>
                <w:szCs w:val="20"/>
              </w:rPr>
            </w:pPr>
            <w:r>
              <w:rPr>
                <w:sz w:val="20"/>
                <w:szCs w:val="20"/>
              </w:rPr>
              <w:t>Abura</w:t>
            </w:r>
          </w:p>
        </w:tc>
        <w:tc>
          <w:tcPr>
            <w:tcW w:w="1037" w:type="dxa"/>
          </w:tcPr>
          <w:p w:rsidR="004F3F42" w:rsidRDefault="009A1E75">
            <w:pPr>
              <w:autoSpaceDE w:val="0"/>
              <w:autoSpaceDN w:val="0"/>
              <w:adjustRightInd w:val="0"/>
              <w:jc w:val="both"/>
              <w:rPr>
                <w:sz w:val="20"/>
                <w:szCs w:val="20"/>
              </w:rPr>
            </w:pPr>
            <w:r>
              <w:rPr>
                <w:sz w:val="20"/>
                <w:szCs w:val="20"/>
              </w:rPr>
              <w:t>49</w:t>
            </w:r>
          </w:p>
        </w:tc>
        <w:tc>
          <w:tcPr>
            <w:tcW w:w="1455" w:type="dxa"/>
          </w:tcPr>
          <w:p w:rsidR="004F3F42" w:rsidRDefault="009A1E75">
            <w:pPr>
              <w:autoSpaceDE w:val="0"/>
              <w:autoSpaceDN w:val="0"/>
              <w:adjustRightInd w:val="0"/>
              <w:jc w:val="both"/>
              <w:rPr>
                <w:sz w:val="20"/>
                <w:szCs w:val="20"/>
              </w:rPr>
            </w:pPr>
            <w:r>
              <w:rPr>
                <w:sz w:val="20"/>
                <w:szCs w:val="20"/>
              </w:rPr>
              <w:t>9.28</w:t>
            </w:r>
          </w:p>
        </w:tc>
      </w:tr>
      <w:tr w:rsidR="004F3F42">
        <w:trPr>
          <w:trHeight w:val="254"/>
          <w:jc w:val="center"/>
        </w:trPr>
        <w:tc>
          <w:tcPr>
            <w:tcW w:w="2030" w:type="dxa"/>
          </w:tcPr>
          <w:p w:rsidR="004F3F42" w:rsidRDefault="004F3F42">
            <w:pPr>
              <w:jc w:val="both"/>
              <w:rPr>
                <w:rStyle w:val="st"/>
                <w:sz w:val="20"/>
                <w:szCs w:val="20"/>
              </w:rPr>
            </w:pPr>
          </w:p>
        </w:tc>
        <w:tc>
          <w:tcPr>
            <w:tcW w:w="2704" w:type="dxa"/>
          </w:tcPr>
          <w:p w:rsidR="004F3F42" w:rsidRDefault="009A1E75">
            <w:pPr>
              <w:autoSpaceDE w:val="0"/>
              <w:autoSpaceDN w:val="0"/>
              <w:adjustRightInd w:val="0"/>
              <w:jc w:val="both"/>
              <w:rPr>
                <w:i/>
                <w:sz w:val="20"/>
                <w:szCs w:val="20"/>
              </w:rPr>
            </w:pPr>
            <w:r>
              <w:rPr>
                <w:i/>
                <w:sz w:val="20"/>
                <w:szCs w:val="20"/>
              </w:rPr>
              <w:t>Naucleardiderrichii</w:t>
            </w:r>
          </w:p>
        </w:tc>
        <w:tc>
          <w:tcPr>
            <w:tcW w:w="1871" w:type="dxa"/>
          </w:tcPr>
          <w:p w:rsidR="004F3F42" w:rsidRDefault="009A1E75">
            <w:pPr>
              <w:autoSpaceDE w:val="0"/>
              <w:autoSpaceDN w:val="0"/>
              <w:adjustRightInd w:val="0"/>
              <w:jc w:val="both"/>
              <w:rPr>
                <w:sz w:val="20"/>
                <w:szCs w:val="20"/>
              </w:rPr>
            </w:pPr>
            <w:r>
              <w:rPr>
                <w:sz w:val="20"/>
                <w:szCs w:val="20"/>
              </w:rPr>
              <w:t>Opepe</w:t>
            </w:r>
          </w:p>
        </w:tc>
        <w:tc>
          <w:tcPr>
            <w:tcW w:w="1037" w:type="dxa"/>
          </w:tcPr>
          <w:p w:rsidR="004F3F42" w:rsidRDefault="009A1E75">
            <w:pPr>
              <w:autoSpaceDE w:val="0"/>
              <w:autoSpaceDN w:val="0"/>
              <w:adjustRightInd w:val="0"/>
              <w:jc w:val="both"/>
              <w:rPr>
                <w:sz w:val="20"/>
                <w:szCs w:val="20"/>
              </w:rPr>
            </w:pPr>
            <w:r>
              <w:rPr>
                <w:sz w:val="20"/>
                <w:szCs w:val="20"/>
              </w:rPr>
              <w:t>50</w:t>
            </w:r>
          </w:p>
        </w:tc>
        <w:tc>
          <w:tcPr>
            <w:tcW w:w="1455" w:type="dxa"/>
          </w:tcPr>
          <w:p w:rsidR="004F3F42" w:rsidRDefault="009A1E75">
            <w:pPr>
              <w:autoSpaceDE w:val="0"/>
              <w:autoSpaceDN w:val="0"/>
              <w:adjustRightInd w:val="0"/>
              <w:jc w:val="both"/>
              <w:rPr>
                <w:sz w:val="20"/>
                <w:szCs w:val="20"/>
              </w:rPr>
            </w:pPr>
            <w:r>
              <w:rPr>
                <w:sz w:val="20"/>
                <w:szCs w:val="20"/>
              </w:rPr>
              <w:t>9.47</w:t>
            </w:r>
          </w:p>
        </w:tc>
      </w:tr>
      <w:tr w:rsidR="004F3F42">
        <w:trPr>
          <w:trHeight w:val="254"/>
          <w:jc w:val="center"/>
        </w:trPr>
        <w:tc>
          <w:tcPr>
            <w:tcW w:w="2030" w:type="dxa"/>
          </w:tcPr>
          <w:p w:rsidR="004F3F42" w:rsidRDefault="009A1E75">
            <w:pPr>
              <w:jc w:val="both"/>
              <w:rPr>
                <w:sz w:val="20"/>
                <w:szCs w:val="20"/>
              </w:rPr>
            </w:pPr>
            <w:r>
              <w:rPr>
                <w:rStyle w:val="st"/>
                <w:sz w:val="20"/>
                <w:szCs w:val="20"/>
              </w:rPr>
              <w:t>Sterculiaceae</w:t>
            </w:r>
          </w:p>
        </w:tc>
        <w:tc>
          <w:tcPr>
            <w:tcW w:w="2704" w:type="dxa"/>
          </w:tcPr>
          <w:p w:rsidR="004F3F42" w:rsidRDefault="009A1E75">
            <w:pPr>
              <w:autoSpaceDE w:val="0"/>
              <w:autoSpaceDN w:val="0"/>
              <w:adjustRightInd w:val="0"/>
              <w:jc w:val="both"/>
              <w:rPr>
                <w:i/>
                <w:sz w:val="20"/>
                <w:szCs w:val="20"/>
              </w:rPr>
            </w:pPr>
            <w:r>
              <w:rPr>
                <w:i/>
                <w:sz w:val="20"/>
                <w:szCs w:val="20"/>
              </w:rPr>
              <w:t>Mansoniaaltissima</w:t>
            </w:r>
          </w:p>
        </w:tc>
        <w:tc>
          <w:tcPr>
            <w:tcW w:w="1871" w:type="dxa"/>
          </w:tcPr>
          <w:p w:rsidR="004F3F42" w:rsidRDefault="009A1E75">
            <w:pPr>
              <w:autoSpaceDE w:val="0"/>
              <w:autoSpaceDN w:val="0"/>
              <w:adjustRightInd w:val="0"/>
              <w:jc w:val="both"/>
              <w:rPr>
                <w:sz w:val="20"/>
                <w:szCs w:val="20"/>
              </w:rPr>
            </w:pPr>
            <w:r>
              <w:rPr>
                <w:sz w:val="20"/>
                <w:szCs w:val="20"/>
              </w:rPr>
              <w:t>Mansonia</w:t>
            </w:r>
          </w:p>
        </w:tc>
        <w:tc>
          <w:tcPr>
            <w:tcW w:w="1037" w:type="dxa"/>
          </w:tcPr>
          <w:p w:rsidR="004F3F42" w:rsidRDefault="009A1E75">
            <w:pPr>
              <w:autoSpaceDE w:val="0"/>
              <w:autoSpaceDN w:val="0"/>
              <w:adjustRightInd w:val="0"/>
              <w:jc w:val="both"/>
              <w:rPr>
                <w:sz w:val="20"/>
                <w:szCs w:val="20"/>
              </w:rPr>
            </w:pPr>
            <w:r>
              <w:rPr>
                <w:sz w:val="20"/>
                <w:szCs w:val="20"/>
              </w:rPr>
              <w:t>39</w:t>
            </w:r>
          </w:p>
        </w:tc>
        <w:tc>
          <w:tcPr>
            <w:tcW w:w="1455" w:type="dxa"/>
          </w:tcPr>
          <w:p w:rsidR="004F3F42" w:rsidRDefault="009A1E75">
            <w:pPr>
              <w:autoSpaceDE w:val="0"/>
              <w:autoSpaceDN w:val="0"/>
              <w:adjustRightInd w:val="0"/>
              <w:jc w:val="both"/>
              <w:rPr>
                <w:sz w:val="20"/>
                <w:szCs w:val="20"/>
              </w:rPr>
            </w:pPr>
            <w:r>
              <w:rPr>
                <w:sz w:val="20"/>
                <w:szCs w:val="20"/>
              </w:rPr>
              <w:t>7.39</w:t>
            </w:r>
          </w:p>
        </w:tc>
      </w:tr>
      <w:tr w:rsidR="004F3F42">
        <w:trPr>
          <w:trHeight w:val="306"/>
          <w:jc w:val="center"/>
        </w:trPr>
        <w:tc>
          <w:tcPr>
            <w:tcW w:w="2030" w:type="dxa"/>
          </w:tcPr>
          <w:p w:rsidR="004F3F42" w:rsidRDefault="004F3F42">
            <w:pPr>
              <w:jc w:val="both"/>
              <w:rPr>
                <w:rStyle w:val="st"/>
                <w:b/>
                <w:sz w:val="20"/>
                <w:szCs w:val="20"/>
              </w:rPr>
            </w:pPr>
          </w:p>
        </w:tc>
        <w:tc>
          <w:tcPr>
            <w:tcW w:w="2704" w:type="dxa"/>
          </w:tcPr>
          <w:p w:rsidR="004F3F42" w:rsidRDefault="009A1E75">
            <w:pPr>
              <w:autoSpaceDE w:val="0"/>
              <w:autoSpaceDN w:val="0"/>
              <w:adjustRightInd w:val="0"/>
              <w:jc w:val="both"/>
              <w:rPr>
                <w:b/>
                <w:sz w:val="20"/>
                <w:szCs w:val="20"/>
              </w:rPr>
            </w:pPr>
            <w:r>
              <w:rPr>
                <w:rStyle w:val="st"/>
                <w:b/>
                <w:sz w:val="20"/>
                <w:szCs w:val="20"/>
              </w:rPr>
              <w:t>Total</w:t>
            </w:r>
          </w:p>
        </w:tc>
        <w:tc>
          <w:tcPr>
            <w:tcW w:w="1871" w:type="dxa"/>
          </w:tcPr>
          <w:p w:rsidR="004F3F42" w:rsidRDefault="004F3F42">
            <w:pPr>
              <w:autoSpaceDE w:val="0"/>
              <w:autoSpaceDN w:val="0"/>
              <w:adjustRightInd w:val="0"/>
              <w:jc w:val="both"/>
              <w:rPr>
                <w:sz w:val="20"/>
                <w:szCs w:val="20"/>
              </w:rPr>
            </w:pPr>
          </w:p>
        </w:tc>
        <w:tc>
          <w:tcPr>
            <w:tcW w:w="1037" w:type="dxa"/>
          </w:tcPr>
          <w:p w:rsidR="004F3F42" w:rsidRDefault="009A1E75">
            <w:pPr>
              <w:autoSpaceDE w:val="0"/>
              <w:autoSpaceDN w:val="0"/>
              <w:adjustRightInd w:val="0"/>
              <w:jc w:val="both"/>
              <w:rPr>
                <w:b/>
                <w:sz w:val="20"/>
                <w:szCs w:val="20"/>
              </w:rPr>
            </w:pPr>
            <w:r>
              <w:rPr>
                <w:b/>
                <w:sz w:val="20"/>
                <w:szCs w:val="20"/>
              </w:rPr>
              <w:t>528</w:t>
            </w:r>
          </w:p>
        </w:tc>
        <w:tc>
          <w:tcPr>
            <w:tcW w:w="1455" w:type="dxa"/>
          </w:tcPr>
          <w:p w:rsidR="004F3F42" w:rsidRDefault="009A1E75">
            <w:pPr>
              <w:autoSpaceDE w:val="0"/>
              <w:autoSpaceDN w:val="0"/>
              <w:adjustRightInd w:val="0"/>
              <w:jc w:val="both"/>
              <w:rPr>
                <w:b/>
                <w:sz w:val="20"/>
                <w:szCs w:val="20"/>
              </w:rPr>
            </w:pPr>
            <w:r>
              <w:rPr>
                <w:b/>
                <w:sz w:val="20"/>
                <w:szCs w:val="20"/>
              </w:rPr>
              <w:t>100</w:t>
            </w:r>
          </w:p>
        </w:tc>
      </w:tr>
    </w:tbl>
    <w:p w:rsidR="004F3F42" w:rsidRDefault="004F3F42">
      <w:pPr>
        <w:rPr>
          <w:sz w:val="20"/>
          <w:szCs w:val="20"/>
        </w:rPr>
      </w:pPr>
    </w:p>
    <w:p w:rsidR="003353F2" w:rsidRDefault="003353F2">
      <w:pPr>
        <w:rPr>
          <w:sz w:val="20"/>
          <w:szCs w:val="20"/>
        </w:rPr>
        <w:sectPr w:rsidR="003353F2">
          <w:footnotePr>
            <w:pos w:val="beneathText"/>
          </w:footnotePr>
          <w:type w:val="continuous"/>
          <w:pgSz w:w="12240" w:h="15840"/>
          <w:pgMar w:top="1440" w:right="1440" w:bottom="1440" w:left="1440" w:header="720" w:footer="720" w:gutter="0"/>
          <w:cols w:space="425"/>
          <w:docGrid w:linePitch="360"/>
        </w:sectPr>
      </w:pPr>
    </w:p>
    <w:p w:rsidR="004F3F42" w:rsidRDefault="009A1E75">
      <w:pPr>
        <w:jc w:val="both"/>
        <w:rPr>
          <w:sz w:val="20"/>
          <w:szCs w:val="20"/>
        </w:rPr>
      </w:pPr>
      <w:r>
        <w:rPr>
          <w:sz w:val="20"/>
          <w:szCs w:val="20"/>
        </w:rPr>
        <w:lastRenderedPageBreak/>
        <w:t>The diameter of sampled logs ranged from 0.71cm to 1,10cm with a mean volume of 7.99m</w:t>
      </w:r>
      <w:r>
        <w:rPr>
          <w:sz w:val="20"/>
          <w:szCs w:val="20"/>
          <w:vertAlign w:val="superscript"/>
        </w:rPr>
        <w:t>3</w:t>
      </w:r>
      <w:r>
        <w:rPr>
          <w:sz w:val="20"/>
          <w:szCs w:val="20"/>
        </w:rPr>
        <w:t xml:space="preserve"> and biomass of 4.37Mg (table 2)</w:t>
      </w:r>
    </w:p>
    <w:p w:rsidR="004F3F42" w:rsidRDefault="004F3F42">
      <w:pPr>
        <w:jc w:val="both"/>
        <w:rPr>
          <w:sz w:val="20"/>
          <w:szCs w:val="20"/>
        </w:rPr>
      </w:pPr>
    </w:p>
    <w:p w:rsidR="004F3F42" w:rsidRDefault="009A1E75">
      <w:pPr>
        <w:jc w:val="both"/>
        <w:rPr>
          <w:sz w:val="20"/>
          <w:szCs w:val="20"/>
        </w:rPr>
      </w:pPr>
      <w:r>
        <w:rPr>
          <w:b/>
          <w:bCs/>
          <w:sz w:val="20"/>
          <w:szCs w:val="20"/>
        </w:rPr>
        <w:t xml:space="preserve">Relationship </w:t>
      </w:r>
      <w:r>
        <w:rPr>
          <w:b/>
          <w:sz w:val="20"/>
          <w:szCs w:val="20"/>
        </w:rPr>
        <w:t>between carbon stocks in log with   other parameters</w:t>
      </w:r>
      <w:r>
        <w:rPr>
          <w:sz w:val="20"/>
          <w:szCs w:val="20"/>
        </w:rPr>
        <w:t>.</w:t>
      </w:r>
    </w:p>
    <w:p w:rsidR="004F3F42" w:rsidRDefault="009A1E75">
      <w:pPr>
        <w:ind w:firstLine="720"/>
        <w:jc w:val="both"/>
        <w:rPr>
          <w:sz w:val="20"/>
          <w:szCs w:val="20"/>
        </w:rPr>
      </w:pPr>
      <w:r>
        <w:rPr>
          <w:sz w:val="20"/>
          <w:szCs w:val="20"/>
        </w:rPr>
        <w:t>Correlation analysis was used to test the degree of association between the measured log attributes. There is significant relationship between carbon stock in log and all the growth parameters (diameter, length, volume, wood basic density (dbc), biomass and carbon stored in wood product; FC) as they produced a p-value less than 0.05. Positive correlation were observed in carbon stock in log with diameter (r =0.641), length (r =0.651), volume (r =0.818),</w:t>
      </w:r>
      <w:r w:rsidR="0041306F">
        <w:rPr>
          <w:sz w:val="20"/>
          <w:szCs w:val="20"/>
        </w:rPr>
        <w:t xml:space="preserve"> </w:t>
      </w:r>
      <w:r>
        <w:rPr>
          <w:sz w:val="20"/>
          <w:szCs w:val="20"/>
        </w:rPr>
        <w:t xml:space="preserve">wood basic density (r =0.816), biomass (r =1.000) and carbon stored in wood product (FC;r =0.622) .This result indicates that the carbon stock in log tend to increase with variables. (Table 3).  </w:t>
      </w:r>
    </w:p>
    <w:p w:rsidR="004F3F42" w:rsidRDefault="009A1E75">
      <w:pPr>
        <w:jc w:val="both"/>
        <w:rPr>
          <w:sz w:val="20"/>
          <w:szCs w:val="20"/>
        </w:rPr>
      </w:pPr>
      <w:r>
        <w:rPr>
          <w:b/>
          <w:sz w:val="20"/>
          <w:szCs w:val="20"/>
        </w:rPr>
        <w:lastRenderedPageBreak/>
        <w:t>Carbon stock Model Development</w:t>
      </w:r>
    </w:p>
    <w:p w:rsidR="004F3F42" w:rsidRDefault="009A1E75">
      <w:pPr>
        <w:autoSpaceDE w:val="0"/>
        <w:autoSpaceDN w:val="0"/>
        <w:adjustRightInd w:val="0"/>
        <w:ind w:firstLine="720"/>
        <w:jc w:val="both"/>
        <w:rPr>
          <w:color w:val="000000"/>
          <w:sz w:val="20"/>
          <w:szCs w:val="20"/>
        </w:rPr>
      </w:pPr>
      <w:r>
        <w:rPr>
          <w:rFonts w:eastAsia="TimesNewRoman"/>
          <w:sz w:val="20"/>
          <w:szCs w:val="20"/>
        </w:rPr>
        <w:t>Various model functions were tested and assessed for carbon stock in sawn log. The model assessment results and parameter estimates of the selected models for the tested function is presented in Table 4.</w:t>
      </w:r>
      <w:r>
        <w:rPr>
          <w:color w:val="000000"/>
          <w:sz w:val="20"/>
          <w:szCs w:val="20"/>
        </w:rPr>
        <w:t>. Volume and biomass were good predictor of carbon stored in sawn logs. The selected models had the highest R</w:t>
      </w:r>
      <w:r w:rsidRPr="0041306F">
        <w:rPr>
          <w:color w:val="000000"/>
          <w:sz w:val="20"/>
          <w:szCs w:val="20"/>
          <w:vertAlign w:val="superscript"/>
        </w:rPr>
        <w:t>2</w:t>
      </w:r>
      <w:r>
        <w:rPr>
          <w:color w:val="000000"/>
          <w:sz w:val="20"/>
          <w:szCs w:val="20"/>
        </w:rPr>
        <w:t xml:space="preserve"> and least MAPE &amp; AIC respectively.</w:t>
      </w:r>
    </w:p>
    <w:p w:rsidR="004F3F42" w:rsidRDefault="004F3F42">
      <w:pPr>
        <w:jc w:val="both"/>
        <w:rPr>
          <w:b/>
          <w:sz w:val="20"/>
          <w:szCs w:val="20"/>
        </w:rPr>
      </w:pPr>
    </w:p>
    <w:p w:rsidR="004F3F42" w:rsidRDefault="009A1E75">
      <w:pPr>
        <w:jc w:val="both"/>
        <w:rPr>
          <w:sz w:val="20"/>
          <w:szCs w:val="20"/>
        </w:rPr>
      </w:pPr>
      <w:r>
        <w:rPr>
          <w:b/>
          <w:sz w:val="20"/>
          <w:szCs w:val="20"/>
        </w:rPr>
        <w:t>Model Validation</w:t>
      </w:r>
    </w:p>
    <w:p w:rsidR="004F3F42" w:rsidRDefault="009A1E75">
      <w:pPr>
        <w:autoSpaceDE w:val="0"/>
        <w:autoSpaceDN w:val="0"/>
        <w:adjustRightInd w:val="0"/>
        <w:ind w:firstLine="720"/>
        <w:jc w:val="both"/>
        <w:rPr>
          <w:sz w:val="20"/>
          <w:szCs w:val="20"/>
        </w:rPr>
        <w:sectPr w:rsidR="004F3F42">
          <w:footnotePr>
            <w:pos w:val="beneathText"/>
          </w:footnotePr>
          <w:type w:val="continuous"/>
          <w:pgSz w:w="12240" w:h="15840"/>
          <w:pgMar w:top="1440" w:right="1183" w:bottom="1440" w:left="1440" w:header="720" w:footer="720" w:gutter="0"/>
          <w:cols w:num="2" w:space="576"/>
          <w:docGrid w:linePitch="360"/>
        </w:sectPr>
      </w:pPr>
      <w:r>
        <w:rPr>
          <w:rFonts w:eastAsia="TimesNewRoman"/>
          <w:sz w:val="20"/>
          <w:szCs w:val="20"/>
        </w:rPr>
        <w:t>The results of model validation are presented in Table 5. The result revealed that in some of the developed models (Simple linear, double log and quadratic) there were no significant differences between the observed and predicted carbon stock. Hence these models are good for prediction purposes. However, the best model  for</w:t>
      </w:r>
      <w:r w:rsidR="0041306F">
        <w:rPr>
          <w:rFonts w:eastAsia="TimesNewRoman"/>
          <w:sz w:val="20"/>
          <w:szCs w:val="20"/>
        </w:rPr>
        <w:t xml:space="preserve"> </w:t>
      </w:r>
      <w:r>
        <w:rPr>
          <w:sz w:val="20"/>
          <w:szCs w:val="20"/>
        </w:rPr>
        <w:t>current and future prediction is the semi log function with the highest R</w:t>
      </w:r>
      <w:r>
        <w:rPr>
          <w:sz w:val="20"/>
          <w:szCs w:val="20"/>
          <w:vertAlign w:val="superscript"/>
        </w:rPr>
        <w:t>2</w:t>
      </w:r>
      <w:r>
        <w:rPr>
          <w:sz w:val="20"/>
          <w:szCs w:val="20"/>
        </w:rPr>
        <w:t xml:space="preserve"> and least MAPE value. </w:t>
      </w:r>
    </w:p>
    <w:p w:rsidR="004F3F42" w:rsidRDefault="004F3F42">
      <w:pPr>
        <w:rPr>
          <w:sz w:val="20"/>
          <w:szCs w:val="20"/>
          <w:lang w:eastAsia="zh-CN"/>
        </w:rPr>
      </w:pPr>
    </w:p>
    <w:p w:rsidR="004F3F42" w:rsidRDefault="009A1E75">
      <w:pPr>
        <w:autoSpaceDE w:val="0"/>
        <w:autoSpaceDN w:val="0"/>
        <w:adjustRightInd w:val="0"/>
        <w:jc w:val="both"/>
        <w:rPr>
          <w:sz w:val="20"/>
          <w:szCs w:val="20"/>
        </w:rPr>
      </w:pPr>
      <w:r>
        <w:rPr>
          <w:bCs/>
          <w:sz w:val="20"/>
          <w:szCs w:val="20"/>
        </w:rPr>
        <w:t>Table 2</w:t>
      </w:r>
      <w:r>
        <w:rPr>
          <w:bCs/>
          <w:i/>
          <w:sz w:val="20"/>
          <w:szCs w:val="20"/>
        </w:rPr>
        <w:t>.</w:t>
      </w:r>
      <w:r>
        <w:rPr>
          <w:sz w:val="20"/>
          <w:szCs w:val="20"/>
        </w:rPr>
        <w:t xml:space="preserve">Summary statistics of Wood variables used for modelling </w:t>
      </w:r>
    </w:p>
    <w:tbl>
      <w:tblPr>
        <w:tblW w:w="0" w:type="auto"/>
        <w:jc w:val="center"/>
        <w:tblBorders>
          <w:top w:val="single" w:sz="4" w:space="0" w:color="auto"/>
          <w:bottom w:val="single" w:sz="4" w:space="0" w:color="auto"/>
        </w:tblBorders>
        <w:tblLook w:val="04A0" w:firstRow="1" w:lastRow="0" w:firstColumn="1" w:lastColumn="0" w:noHBand="0" w:noVBand="1"/>
      </w:tblPr>
      <w:tblGrid>
        <w:gridCol w:w="1582"/>
        <w:gridCol w:w="1249"/>
        <w:gridCol w:w="1437"/>
        <w:gridCol w:w="1347"/>
        <w:gridCol w:w="2087"/>
        <w:gridCol w:w="1695"/>
      </w:tblGrid>
      <w:tr w:rsidR="004F3F42">
        <w:trPr>
          <w:trHeight w:val="430"/>
          <w:jc w:val="center"/>
        </w:trPr>
        <w:tc>
          <w:tcPr>
            <w:tcW w:w="1582" w:type="dxa"/>
            <w:tcBorders>
              <w:top w:val="single" w:sz="4" w:space="0" w:color="auto"/>
              <w:bottom w:val="single" w:sz="4" w:space="0" w:color="auto"/>
            </w:tcBorders>
          </w:tcPr>
          <w:p w:rsidR="004F3F42" w:rsidRDefault="009A1E75">
            <w:pPr>
              <w:autoSpaceDE w:val="0"/>
              <w:autoSpaceDN w:val="0"/>
              <w:adjustRightInd w:val="0"/>
              <w:jc w:val="both"/>
              <w:rPr>
                <w:rFonts w:eastAsia="TimesNewRoman"/>
                <w:b/>
                <w:sz w:val="20"/>
                <w:szCs w:val="20"/>
              </w:rPr>
            </w:pPr>
            <w:r>
              <w:rPr>
                <w:rFonts w:eastAsia="TimesNewRoman"/>
                <w:b/>
                <w:sz w:val="20"/>
                <w:szCs w:val="20"/>
              </w:rPr>
              <w:t>Variables</w:t>
            </w:r>
          </w:p>
        </w:tc>
        <w:tc>
          <w:tcPr>
            <w:tcW w:w="1249" w:type="dxa"/>
            <w:tcBorders>
              <w:top w:val="single" w:sz="4" w:space="0" w:color="auto"/>
              <w:bottom w:val="single" w:sz="4" w:space="0" w:color="auto"/>
            </w:tcBorders>
          </w:tcPr>
          <w:p w:rsidR="004F3F42" w:rsidRDefault="009A1E75">
            <w:pPr>
              <w:jc w:val="both"/>
              <w:rPr>
                <w:b/>
                <w:sz w:val="20"/>
                <w:szCs w:val="20"/>
              </w:rPr>
            </w:pPr>
            <w:r>
              <w:rPr>
                <w:b/>
                <w:sz w:val="20"/>
                <w:szCs w:val="20"/>
              </w:rPr>
              <w:t>Min</w:t>
            </w:r>
          </w:p>
        </w:tc>
        <w:tc>
          <w:tcPr>
            <w:tcW w:w="1437" w:type="dxa"/>
            <w:tcBorders>
              <w:top w:val="single" w:sz="4" w:space="0" w:color="auto"/>
              <w:bottom w:val="single" w:sz="4" w:space="0" w:color="auto"/>
            </w:tcBorders>
          </w:tcPr>
          <w:p w:rsidR="004F3F42" w:rsidRDefault="009A1E75">
            <w:pPr>
              <w:jc w:val="both"/>
              <w:rPr>
                <w:b/>
                <w:sz w:val="20"/>
                <w:szCs w:val="20"/>
              </w:rPr>
            </w:pPr>
            <w:r>
              <w:rPr>
                <w:b/>
                <w:sz w:val="20"/>
                <w:szCs w:val="20"/>
              </w:rPr>
              <w:t>Max.</w:t>
            </w:r>
          </w:p>
        </w:tc>
        <w:tc>
          <w:tcPr>
            <w:tcW w:w="1347" w:type="dxa"/>
            <w:tcBorders>
              <w:top w:val="single" w:sz="4" w:space="0" w:color="auto"/>
              <w:bottom w:val="single" w:sz="4" w:space="0" w:color="auto"/>
            </w:tcBorders>
          </w:tcPr>
          <w:p w:rsidR="004F3F42" w:rsidRDefault="009A1E75">
            <w:pPr>
              <w:jc w:val="both"/>
              <w:rPr>
                <w:b/>
                <w:sz w:val="20"/>
                <w:szCs w:val="20"/>
              </w:rPr>
            </w:pPr>
            <w:r>
              <w:rPr>
                <w:b/>
                <w:sz w:val="20"/>
                <w:szCs w:val="20"/>
              </w:rPr>
              <w:t>Mean</w:t>
            </w:r>
          </w:p>
        </w:tc>
        <w:tc>
          <w:tcPr>
            <w:tcW w:w="2087" w:type="dxa"/>
            <w:tcBorders>
              <w:top w:val="single" w:sz="4" w:space="0" w:color="auto"/>
              <w:bottom w:val="single" w:sz="4" w:space="0" w:color="auto"/>
            </w:tcBorders>
          </w:tcPr>
          <w:p w:rsidR="004F3F42" w:rsidRDefault="009A1E75">
            <w:pPr>
              <w:jc w:val="both"/>
              <w:rPr>
                <w:b/>
                <w:sz w:val="20"/>
                <w:szCs w:val="20"/>
              </w:rPr>
            </w:pPr>
            <w:r>
              <w:rPr>
                <w:b/>
                <w:sz w:val="20"/>
                <w:szCs w:val="20"/>
              </w:rPr>
              <w:t>Std.Error</w:t>
            </w:r>
          </w:p>
        </w:tc>
        <w:tc>
          <w:tcPr>
            <w:tcW w:w="1695" w:type="dxa"/>
            <w:tcBorders>
              <w:top w:val="single" w:sz="4" w:space="0" w:color="auto"/>
              <w:bottom w:val="single" w:sz="4" w:space="0" w:color="auto"/>
            </w:tcBorders>
          </w:tcPr>
          <w:p w:rsidR="004F3F42" w:rsidRDefault="009A1E75">
            <w:pPr>
              <w:jc w:val="both"/>
              <w:rPr>
                <w:b/>
                <w:sz w:val="20"/>
                <w:szCs w:val="20"/>
              </w:rPr>
            </w:pPr>
            <w:r>
              <w:rPr>
                <w:b/>
                <w:sz w:val="20"/>
                <w:szCs w:val="20"/>
              </w:rPr>
              <w:t>Std. Dev.</w:t>
            </w:r>
          </w:p>
        </w:tc>
      </w:tr>
      <w:tr w:rsidR="004F3F42">
        <w:trPr>
          <w:trHeight w:val="430"/>
          <w:jc w:val="center"/>
        </w:trPr>
        <w:tc>
          <w:tcPr>
            <w:tcW w:w="1582" w:type="dxa"/>
            <w:tcBorders>
              <w:top w:val="single" w:sz="4" w:space="0" w:color="auto"/>
            </w:tcBorders>
          </w:tcPr>
          <w:p w:rsidR="004F3F42" w:rsidRDefault="009A1E75">
            <w:pPr>
              <w:autoSpaceDE w:val="0"/>
              <w:autoSpaceDN w:val="0"/>
              <w:adjustRightInd w:val="0"/>
              <w:jc w:val="both"/>
              <w:rPr>
                <w:color w:val="000000"/>
                <w:sz w:val="20"/>
                <w:szCs w:val="20"/>
              </w:rPr>
            </w:pPr>
            <w:r>
              <w:rPr>
                <w:color w:val="000000"/>
                <w:sz w:val="20"/>
                <w:szCs w:val="20"/>
              </w:rPr>
              <w:t>D(cm)</w:t>
            </w:r>
          </w:p>
        </w:tc>
        <w:tc>
          <w:tcPr>
            <w:tcW w:w="1249" w:type="dxa"/>
            <w:tcBorders>
              <w:top w:val="single" w:sz="4" w:space="0" w:color="auto"/>
            </w:tcBorders>
            <w:vAlign w:val="center"/>
          </w:tcPr>
          <w:p w:rsidR="004F3F42" w:rsidRDefault="009A1E75">
            <w:pPr>
              <w:autoSpaceDE w:val="0"/>
              <w:autoSpaceDN w:val="0"/>
              <w:adjustRightInd w:val="0"/>
              <w:jc w:val="both"/>
              <w:rPr>
                <w:color w:val="000000"/>
                <w:sz w:val="20"/>
                <w:szCs w:val="20"/>
              </w:rPr>
            </w:pPr>
            <w:r>
              <w:rPr>
                <w:color w:val="000000"/>
                <w:sz w:val="20"/>
                <w:szCs w:val="20"/>
              </w:rPr>
              <w:t>0.71</w:t>
            </w:r>
          </w:p>
        </w:tc>
        <w:tc>
          <w:tcPr>
            <w:tcW w:w="1437" w:type="dxa"/>
            <w:tcBorders>
              <w:top w:val="single" w:sz="4" w:space="0" w:color="auto"/>
            </w:tcBorders>
            <w:vAlign w:val="center"/>
          </w:tcPr>
          <w:p w:rsidR="004F3F42" w:rsidRDefault="009A1E75">
            <w:pPr>
              <w:autoSpaceDE w:val="0"/>
              <w:autoSpaceDN w:val="0"/>
              <w:adjustRightInd w:val="0"/>
              <w:jc w:val="both"/>
              <w:rPr>
                <w:color w:val="000000"/>
                <w:sz w:val="20"/>
                <w:szCs w:val="20"/>
              </w:rPr>
            </w:pPr>
            <w:r>
              <w:rPr>
                <w:color w:val="000000"/>
                <w:sz w:val="20"/>
                <w:szCs w:val="20"/>
              </w:rPr>
              <w:t>1.10</w:t>
            </w:r>
          </w:p>
        </w:tc>
        <w:tc>
          <w:tcPr>
            <w:tcW w:w="1347" w:type="dxa"/>
            <w:tcBorders>
              <w:top w:val="single" w:sz="4" w:space="0" w:color="auto"/>
            </w:tcBorders>
            <w:vAlign w:val="center"/>
          </w:tcPr>
          <w:p w:rsidR="004F3F42" w:rsidRDefault="009A1E75">
            <w:pPr>
              <w:autoSpaceDE w:val="0"/>
              <w:autoSpaceDN w:val="0"/>
              <w:adjustRightInd w:val="0"/>
              <w:jc w:val="both"/>
              <w:rPr>
                <w:color w:val="000000"/>
                <w:sz w:val="20"/>
                <w:szCs w:val="20"/>
              </w:rPr>
            </w:pPr>
            <w:r>
              <w:rPr>
                <w:color w:val="000000"/>
                <w:sz w:val="20"/>
                <w:szCs w:val="20"/>
              </w:rPr>
              <w:t>0.85</w:t>
            </w:r>
          </w:p>
        </w:tc>
        <w:tc>
          <w:tcPr>
            <w:tcW w:w="2087" w:type="dxa"/>
            <w:tcBorders>
              <w:top w:val="single" w:sz="4" w:space="0" w:color="auto"/>
            </w:tcBorders>
            <w:vAlign w:val="center"/>
          </w:tcPr>
          <w:p w:rsidR="004F3F42" w:rsidRDefault="009A1E75">
            <w:pPr>
              <w:autoSpaceDE w:val="0"/>
              <w:autoSpaceDN w:val="0"/>
              <w:adjustRightInd w:val="0"/>
              <w:jc w:val="both"/>
              <w:rPr>
                <w:color w:val="000000"/>
                <w:sz w:val="20"/>
                <w:szCs w:val="20"/>
              </w:rPr>
            </w:pPr>
            <w:r>
              <w:rPr>
                <w:color w:val="000000"/>
                <w:sz w:val="20"/>
                <w:szCs w:val="20"/>
              </w:rPr>
              <w:t>0.00</w:t>
            </w:r>
          </w:p>
        </w:tc>
        <w:tc>
          <w:tcPr>
            <w:tcW w:w="1695" w:type="dxa"/>
            <w:tcBorders>
              <w:top w:val="single" w:sz="4" w:space="0" w:color="auto"/>
            </w:tcBorders>
            <w:vAlign w:val="center"/>
          </w:tcPr>
          <w:p w:rsidR="004F3F42" w:rsidRDefault="009A1E75">
            <w:pPr>
              <w:autoSpaceDE w:val="0"/>
              <w:autoSpaceDN w:val="0"/>
              <w:adjustRightInd w:val="0"/>
              <w:jc w:val="both"/>
              <w:rPr>
                <w:color w:val="000000"/>
                <w:sz w:val="20"/>
                <w:szCs w:val="20"/>
              </w:rPr>
            </w:pPr>
            <w:r>
              <w:rPr>
                <w:color w:val="000000"/>
                <w:sz w:val="20"/>
                <w:szCs w:val="20"/>
              </w:rPr>
              <w:t>0.07</w:t>
            </w:r>
          </w:p>
        </w:tc>
      </w:tr>
      <w:tr w:rsidR="004F3F42">
        <w:trPr>
          <w:trHeight w:val="375"/>
          <w:jc w:val="center"/>
        </w:trPr>
        <w:tc>
          <w:tcPr>
            <w:tcW w:w="1582" w:type="dxa"/>
          </w:tcPr>
          <w:p w:rsidR="004F3F42" w:rsidRDefault="009A1E75">
            <w:pPr>
              <w:autoSpaceDE w:val="0"/>
              <w:autoSpaceDN w:val="0"/>
              <w:adjustRightInd w:val="0"/>
              <w:jc w:val="both"/>
              <w:rPr>
                <w:color w:val="000000"/>
                <w:sz w:val="20"/>
                <w:szCs w:val="20"/>
              </w:rPr>
            </w:pPr>
            <w:r>
              <w:rPr>
                <w:color w:val="000000"/>
                <w:sz w:val="20"/>
                <w:szCs w:val="20"/>
              </w:rPr>
              <w:t>L(m)</w:t>
            </w:r>
          </w:p>
        </w:tc>
        <w:tc>
          <w:tcPr>
            <w:tcW w:w="1249" w:type="dxa"/>
            <w:vAlign w:val="center"/>
          </w:tcPr>
          <w:p w:rsidR="004F3F42" w:rsidRDefault="009A1E75">
            <w:pPr>
              <w:autoSpaceDE w:val="0"/>
              <w:autoSpaceDN w:val="0"/>
              <w:adjustRightInd w:val="0"/>
              <w:jc w:val="both"/>
              <w:rPr>
                <w:color w:val="000000"/>
                <w:sz w:val="20"/>
                <w:szCs w:val="20"/>
              </w:rPr>
            </w:pPr>
            <w:r>
              <w:rPr>
                <w:color w:val="000000"/>
                <w:sz w:val="20"/>
                <w:szCs w:val="20"/>
              </w:rPr>
              <w:t>3.51</w:t>
            </w:r>
          </w:p>
        </w:tc>
        <w:tc>
          <w:tcPr>
            <w:tcW w:w="1437" w:type="dxa"/>
            <w:vAlign w:val="center"/>
          </w:tcPr>
          <w:p w:rsidR="004F3F42" w:rsidRDefault="009A1E75">
            <w:pPr>
              <w:autoSpaceDE w:val="0"/>
              <w:autoSpaceDN w:val="0"/>
              <w:adjustRightInd w:val="0"/>
              <w:jc w:val="both"/>
              <w:rPr>
                <w:color w:val="000000"/>
                <w:sz w:val="20"/>
                <w:szCs w:val="20"/>
              </w:rPr>
            </w:pPr>
            <w:r>
              <w:rPr>
                <w:color w:val="000000"/>
                <w:sz w:val="20"/>
                <w:szCs w:val="20"/>
              </w:rPr>
              <w:t>4.27</w:t>
            </w:r>
          </w:p>
        </w:tc>
        <w:tc>
          <w:tcPr>
            <w:tcW w:w="1347" w:type="dxa"/>
            <w:vAlign w:val="center"/>
          </w:tcPr>
          <w:p w:rsidR="004F3F42" w:rsidRDefault="009A1E75">
            <w:pPr>
              <w:autoSpaceDE w:val="0"/>
              <w:autoSpaceDN w:val="0"/>
              <w:adjustRightInd w:val="0"/>
              <w:jc w:val="both"/>
              <w:rPr>
                <w:color w:val="000000"/>
                <w:sz w:val="20"/>
                <w:szCs w:val="20"/>
              </w:rPr>
            </w:pPr>
            <w:r>
              <w:rPr>
                <w:color w:val="000000"/>
                <w:sz w:val="20"/>
                <w:szCs w:val="20"/>
              </w:rPr>
              <w:t>3.68</w:t>
            </w:r>
          </w:p>
        </w:tc>
        <w:tc>
          <w:tcPr>
            <w:tcW w:w="2087" w:type="dxa"/>
            <w:vAlign w:val="center"/>
          </w:tcPr>
          <w:p w:rsidR="004F3F42" w:rsidRDefault="009A1E75">
            <w:pPr>
              <w:autoSpaceDE w:val="0"/>
              <w:autoSpaceDN w:val="0"/>
              <w:adjustRightInd w:val="0"/>
              <w:jc w:val="both"/>
              <w:rPr>
                <w:color w:val="000000"/>
                <w:sz w:val="20"/>
                <w:szCs w:val="20"/>
              </w:rPr>
            </w:pPr>
            <w:r>
              <w:rPr>
                <w:color w:val="000000"/>
                <w:sz w:val="20"/>
                <w:szCs w:val="20"/>
              </w:rPr>
              <w:t>0.01</w:t>
            </w:r>
          </w:p>
        </w:tc>
        <w:tc>
          <w:tcPr>
            <w:tcW w:w="1695" w:type="dxa"/>
            <w:vAlign w:val="center"/>
          </w:tcPr>
          <w:p w:rsidR="004F3F42" w:rsidRDefault="009A1E75">
            <w:pPr>
              <w:autoSpaceDE w:val="0"/>
              <w:autoSpaceDN w:val="0"/>
              <w:adjustRightInd w:val="0"/>
              <w:jc w:val="both"/>
              <w:rPr>
                <w:color w:val="000000"/>
                <w:sz w:val="20"/>
                <w:szCs w:val="20"/>
              </w:rPr>
            </w:pPr>
            <w:r>
              <w:rPr>
                <w:color w:val="000000"/>
                <w:sz w:val="20"/>
                <w:szCs w:val="20"/>
              </w:rPr>
              <w:t xml:space="preserve"> 0.18</w:t>
            </w:r>
          </w:p>
        </w:tc>
      </w:tr>
      <w:tr w:rsidR="004F3F42">
        <w:trPr>
          <w:trHeight w:val="375"/>
          <w:jc w:val="center"/>
        </w:trPr>
        <w:tc>
          <w:tcPr>
            <w:tcW w:w="1582" w:type="dxa"/>
          </w:tcPr>
          <w:p w:rsidR="004F3F42" w:rsidRDefault="009A1E75">
            <w:pPr>
              <w:autoSpaceDE w:val="0"/>
              <w:autoSpaceDN w:val="0"/>
              <w:adjustRightInd w:val="0"/>
              <w:jc w:val="both"/>
              <w:rPr>
                <w:color w:val="000000"/>
                <w:sz w:val="20"/>
                <w:szCs w:val="20"/>
              </w:rPr>
            </w:pPr>
            <w:r>
              <w:rPr>
                <w:color w:val="000000"/>
                <w:sz w:val="20"/>
                <w:szCs w:val="20"/>
              </w:rPr>
              <w:t xml:space="preserve"> Vol(m</w:t>
            </w:r>
            <w:r>
              <w:rPr>
                <w:color w:val="000000"/>
                <w:sz w:val="20"/>
                <w:szCs w:val="20"/>
                <w:vertAlign w:val="superscript"/>
              </w:rPr>
              <w:t>3</w:t>
            </w:r>
            <w:r>
              <w:rPr>
                <w:color w:val="000000"/>
                <w:sz w:val="20"/>
                <w:szCs w:val="20"/>
              </w:rPr>
              <w:t>)</w:t>
            </w:r>
          </w:p>
        </w:tc>
        <w:tc>
          <w:tcPr>
            <w:tcW w:w="1249" w:type="dxa"/>
            <w:vAlign w:val="center"/>
          </w:tcPr>
          <w:p w:rsidR="004F3F42" w:rsidRDefault="009A1E75">
            <w:pPr>
              <w:autoSpaceDE w:val="0"/>
              <w:autoSpaceDN w:val="0"/>
              <w:adjustRightInd w:val="0"/>
              <w:jc w:val="both"/>
              <w:rPr>
                <w:color w:val="000000"/>
                <w:sz w:val="20"/>
                <w:szCs w:val="20"/>
              </w:rPr>
            </w:pPr>
            <w:r>
              <w:rPr>
                <w:color w:val="000000"/>
                <w:sz w:val="20"/>
                <w:szCs w:val="20"/>
              </w:rPr>
              <w:t>5.58</w:t>
            </w:r>
          </w:p>
        </w:tc>
        <w:tc>
          <w:tcPr>
            <w:tcW w:w="1437" w:type="dxa"/>
            <w:vAlign w:val="center"/>
          </w:tcPr>
          <w:p w:rsidR="004F3F42" w:rsidRDefault="009A1E75">
            <w:pPr>
              <w:autoSpaceDE w:val="0"/>
              <w:autoSpaceDN w:val="0"/>
              <w:adjustRightInd w:val="0"/>
              <w:jc w:val="both"/>
              <w:rPr>
                <w:color w:val="000000"/>
                <w:sz w:val="20"/>
                <w:szCs w:val="20"/>
              </w:rPr>
            </w:pPr>
            <w:r>
              <w:rPr>
                <w:color w:val="000000"/>
                <w:sz w:val="20"/>
                <w:szCs w:val="20"/>
              </w:rPr>
              <w:t>12.66</w:t>
            </w:r>
          </w:p>
        </w:tc>
        <w:tc>
          <w:tcPr>
            <w:tcW w:w="1347" w:type="dxa"/>
            <w:vAlign w:val="center"/>
          </w:tcPr>
          <w:p w:rsidR="004F3F42" w:rsidRDefault="009A1E75">
            <w:pPr>
              <w:autoSpaceDE w:val="0"/>
              <w:autoSpaceDN w:val="0"/>
              <w:adjustRightInd w:val="0"/>
              <w:jc w:val="both"/>
              <w:rPr>
                <w:color w:val="000000"/>
                <w:sz w:val="20"/>
                <w:szCs w:val="20"/>
              </w:rPr>
            </w:pPr>
            <w:r>
              <w:rPr>
                <w:color w:val="000000"/>
                <w:sz w:val="20"/>
                <w:szCs w:val="20"/>
              </w:rPr>
              <w:t>7.99</w:t>
            </w:r>
          </w:p>
        </w:tc>
        <w:tc>
          <w:tcPr>
            <w:tcW w:w="2087" w:type="dxa"/>
            <w:vAlign w:val="center"/>
          </w:tcPr>
          <w:p w:rsidR="004F3F42" w:rsidRDefault="009A1E75">
            <w:pPr>
              <w:autoSpaceDE w:val="0"/>
              <w:autoSpaceDN w:val="0"/>
              <w:adjustRightInd w:val="0"/>
              <w:jc w:val="both"/>
              <w:rPr>
                <w:color w:val="000000"/>
                <w:sz w:val="20"/>
                <w:szCs w:val="20"/>
              </w:rPr>
            </w:pPr>
            <w:r>
              <w:rPr>
                <w:color w:val="000000"/>
                <w:sz w:val="20"/>
                <w:szCs w:val="20"/>
              </w:rPr>
              <w:t>0.06</w:t>
            </w:r>
          </w:p>
        </w:tc>
        <w:tc>
          <w:tcPr>
            <w:tcW w:w="1695" w:type="dxa"/>
            <w:vAlign w:val="center"/>
          </w:tcPr>
          <w:p w:rsidR="004F3F42" w:rsidRDefault="009A1E75">
            <w:pPr>
              <w:autoSpaceDE w:val="0"/>
              <w:autoSpaceDN w:val="0"/>
              <w:adjustRightInd w:val="0"/>
              <w:jc w:val="both"/>
              <w:rPr>
                <w:color w:val="000000"/>
                <w:sz w:val="20"/>
                <w:szCs w:val="20"/>
              </w:rPr>
            </w:pPr>
            <w:r>
              <w:rPr>
                <w:color w:val="000000"/>
                <w:sz w:val="20"/>
                <w:szCs w:val="20"/>
              </w:rPr>
              <w:t>1.46</w:t>
            </w:r>
          </w:p>
        </w:tc>
      </w:tr>
      <w:tr w:rsidR="004F3F42">
        <w:trPr>
          <w:trHeight w:val="375"/>
          <w:jc w:val="center"/>
        </w:trPr>
        <w:tc>
          <w:tcPr>
            <w:tcW w:w="1582" w:type="dxa"/>
          </w:tcPr>
          <w:p w:rsidR="004F3F42" w:rsidRDefault="009A1E75">
            <w:pPr>
              <w:autoSpaceDE w:val="0"/>
              <w:autoSpaceDN w:val="0"/>
              <w:adjustRightInd w:val="0"/>
              <w:jc w:val="both"/>
              <w:rPr>
                <w:color w:val="000000"/>
                <w:sz w:val="20"/>
                <w:szCs w:val="20"/>
              </w:rPr>
            </w:pPr>
            <w:r>
              <w:rPr>
                <w:sz w:val="20"/>
                <w:szCs w:val="20"/>
              </w:rPr>
              <w:t>Biomass(Mg)</w:t>
            </w:r>
          </w:p>
        </w:tc>
        <w:tc>
          <w:tcPr>
            <w:tcW w:w="1249" w:type="dxa"/>
            <w:vAlign w:val="center"/>
          </w:tcPr>
          <w:p w:rsidR="004F3F42" w:rsidRDefault="009A1E75">
            <w:pPr>
              <w:autoSpaceDE w:val="0"/>
              <w:autoSpaceDN w:val="0"/>
              <w:adjustRightInd w:val="0"/>
              <w:jc w:val="both"/>
              <w:rPr>
                <w:color w:val="000000"/>
                <w:sz w:val="20"/>
                <w:szCs w:val="20"/>
              </w:rPr>
            </w:pPr>
            <w:r>
              <w:rPr>
                <w:color w:val="000000"/>
                <w:sz w:val="20"/>
                <w:szCs w:val="20"/>
              </w:rPr>
              <w:t>2.26</w:t>
            </w:r>
          </w:p>
        </w:tc>
        <w:tc>
          <w:tcPr>
            <w:tcW w:w="1437" w:type="dxa"/>
            <w:vAlign w:val="center"/>
          </w:tcPr>
          <w:p w:rsidR="004F3F42" w:rsidRDefault="009A1E75">
            <w:pPr>
              <w:autoSpaceDE w:val="0"/>
              <w:autoSpaceDN w:val="0"/>
              <w:adjustRightInd w:val="0"/>
              <w:jc w:val="both"/>
              <w:rPr>
                <w:color w:val="000000"/>
                <w:sz w:val="20"/>
                <w:szCs w:val="20"/>
              </w:rPr>
            </w:pPr>
            <w:r>
              <w:rPr>
                <w:color w:val="000000"/>
                <w:sz w:val="20"/>
                <w:szCs w:val="20"/>
              </w:rPr>
              <w:t>9.46</w:t>
            </w:r>
          </w:p>
        </w:tc>
        <w:tc>
          <w:tcPr>
            <w:tcW w:w="1347" w:type="dxa"/>
            <w:vAlign w:val="center"/>
          </w:tcPr>
          <w:p w:rsidR="004F3F42" w:rsidRDefault="009A1E75">
            <w:pPr>
              <w:autoSpaceDE w:val="0"/>
              <w:autoSpaceDN w:val="0"/>
              <w:adjustRightInd w:val="0"/>
              <w:jc w:val="both"/>
              <w:rPr>
                <w:color w:val="000000"/>
                <w:sz w:val="20"/>
                <w:szCs w:val="20"/>
              </w:rPr>
            </w:pPr>
            <w:r>
              <w:rPr>
                <w:color w:val="000000"/>
                <w:sz w:val="20"/>
                <w:szCs w:val="20"/>
              </w:rPr>
              <w:t>4.37</w:t>
            </w:r>
          </w:p>
        </w:tc>
        <w:tc>
          <w:tcPr>
            <w:tcW w:w="2087" w:type="dxa"/>
            <w:vAlign w:val="center"/>
          </w:tcPr>
          <w:p w:rsidR="004F3F42" w:rsidRDefault="009A1E75">
            <w:pPr>
              <w:autoSpaceDE w:val="0"/>
              <w:autoSpaceDN w:val="0"/>
              <w:adjustRightInd w:val="0"/>
              <w:jc w:val="both"/>
              <w:rPr>
                <w:color w:val="000000"/>
                <w:sz w:val="20"/>
                <w:szCs w:val="20"/>
              </w:rPr>
            </w:pPr>
            <w:r>
              <w:rPr>
                <w:color w:val="000000"/>
                <w:sz w:val="20"/>
                <w:szCs w:val="20"/>
              </w:rPr>
              <w:t>0.61</w:t>
            </w:r>
          </w:p>
        </w:tc>
        <w:tc>
          <w:tcPr>
            <w:tcW w:w="1695" w:type="dxa"/>
            <w:vAlign w:val="center"/>
          </w:tcPr>
          <w:p w:rsidR="004F3F42" w:rsidRDefault="009A1E75">
            <w:pPr>
              <w:autoSpaceDE w:val="0"/>
              <w:autoSpaceDN w:val="0"/>
              <w:adjustRightInd w:val="0"/>
              <w:jc w:val="both"/>
              <w:rPr>
                <w:color w:val="000000"/>
                <w:sz w:val="20"/>
                <w:szCs w:val="20"/>
              </w:rPr>
            </w:pPr>
            <w:r>
              <w:rPr>
                <w:color w:val="000000"/>
                <w:sz w:val="20"/>
                <w:szCs w:val="20"/>
              </w:rPr>
              <w:t>1.39</w:t>
            </w:r>
          </w:p>
        </w:tc>
      </w:tr>
      <w:tr w:rsidR="004F3F42">
        <w:trPr>
          <w:trHeight w:val="375"/>
          <w:jc w:val="center"/>
        </w:trPr>
        <w:tc>
          <w:tcPr>
            <w:tcW w:w="1582" w:type="dxa"/>
          </w:tcPr>
          <w:p w:rsidR="004F3F42" w:rsidRDefault="009A1E75">
            <w:pPr>
              <w:autoSpaceDE w:val="0"/>
              <w:autoSpaceDN w:val="0"/>
              <w:adjustRightInd w:val="0"/>
              <w:jc w:val="both"/>
              <w:rPr>
                <w:color w:val="000000"/>
                <w:sz w:val="20"/>
                <w:szCs w:val="20"/>
              </w:rPr>
            </w:pPr>
            <w:r>
              <w:rPr>
                <w:color w:val="000000"/>
                <w:sz w:val="20"/>
                <w:szCs w:val="20"/>
              </w:rPr>
              <w:t>Dbc(g/cm</w:t>
            </w:r>
            <w:r>
              <w:rPr>
                <w:color w:val="000000"/>
                <w:sz w:val="20"/>
                <w:szCs w:val="20"/>
                <w:vertAlign w:val="superscript"/>
              </w:rPr>
              <w:t>3</w:t>
            </w:r>
            <w:r>
              <w:rPr>
                <w:color w:val="000000"/>
                <w:sz w:val="20"/>
                <w:szCs w:val="20"/>
              </w:rPr>
              <w:t>)</w:t>
            </w:r>
          </w:p>
        </w:tc>
        <w:tc>
          <w:tcPr>
            <w:tcW w:w="1249" w:type="dxa"/>
            <w:vAlign w:val="center"/>
          </w:tcPr>
          <w:p w:rsidR="004F3F42" w:rsidRDefault="009A1E75">
            <w:pPr>
              <w:autoSpaceDE w:val="0"/>
              <w:autoSpaceDN w:val="0"/>
              <w:adjustRightInd w:val="0"/>
              <w:jc w:val="both"/>
              <w:rPr>
                <w:color w:val="000000"/>
                <w:sz w:val="20"/>
                <w:szCs w:val="20"/>
              </w:rPr>
            </w:pPr>
            <w:r>
              <w:rPr>
                <w:color w:val="000000"/>
                <w:sz w:val="20"/>
                <w:szCs w:val="20"/>
              </w:rPr>
              <w:t>0.39</w:t>
            </w:r>
          </w:p>
        </w:tc>
        <w:tc>
          <w:tcPr>
            <w:tcW w:w="1437" w:type="dxa"/>
            <w:vAlign w:val="center"/>
          </w:tcPr>
          <w:p w:rsidR="004F3F42" w:rsidRDefault="009A1E75">
            <w:pPr>
              <w:autoSpaceDE w:val="0"/>
              <w:autoSpaceDN w:val="0"/>
              <w:adjustRightInd w:val="0"/>
              <w:jc w:val="both"/>
              <w:rPr>
                <w:color w:val="000000"/>
                <w:sz w:val="20"/>
                <w:szCs w:val="20"/>
              </w:rPr>
            </w:pPr>
            <w:r>
              <w:rPr>
                <w:color w:val="000000"/>
                <w:sz w:val="20"/>
                <w:szCs w:val="20"/>
              </w:rPr>
              <w:t>0.76</w:t>
            </w:r>
          </w:p>
        </w:tc>
        <w:tc>
          <w:tcPr>
            <w:tcW w:w="1347" w:type="dxa"/>
            <w:vAlign w:val="center"/>
          </w:tcPr>
          <w:p w:rsidR="004F3F42" w:rsidRDefault="009A1E75">
            <w:pPr>
              <w:autoSpaceDE w:val="0"/>
              <w:autoSpaceDN w:val="0"/>
              <w:adjustRightInd w:val="0"/>
              <w:jc w:val="both"/>
              <w:rPr>
                <w:color w:val="000000"/>
                <w:sz w:val="20"/>
                <w:szCs w:val="20"/>
              </w:rPr>
            </w:pPr>
            <w:r>
              <w:rPr>
                <w:color w:val="000000"/>
                <w:sz w:val="20"/>
                <w:szCs w:val="20"/>
              </w:rPr>
              <w:t>0.54</w:t>
            </w:r>
          </w:p>
        </w:tc>
        <w:tc>
          <w:tcPr>
            <w:tcW w:w="2087" w:type="dxa"/>
            <w:vAlign w:val="center"/>
          </w:tcPr>
          <w:p w:rsidR="004F3F42" w:rsidRDefault="009A1E75">
            <w:pPr>
              <w:autoSpaceDE w:val="0"/>
              <w:autoSpaceDN w:val="0"/>
              <w:adjustRightInd w:val="0"/>
              <w:jc w:val="both"/>
              <w:rPr>
                <w:color w:val="000000"/>
                <w:sz w:val="20"/>
                <w:szCs w:val="20"/>
              </w:rPr>
            </w:pPr>
            <w:r>
              <w:rPr>
                <w:color w:val="000000"/>
                <w:sz w:val="20"/>
                <w:szCs w:val="20"/>
              </w:rPr>
              <w:t>0.00</w:t>
            </w:r>
          </w:p>
        </w:tc>
        <w:tc>
          <w:tcPr>
            <w:tcW w:w="1695" w:type="dxa"/>
            <w:vAlign w:val="center"/>
          </w:tcPr>
          <w:p w:rsidR="004F3F42" w:rsidRDefault="009A1E75">
            <w:pPr>
              <w:autoSpaceDE w:val="0"/>
              <w:autoSpaceDN w:val="0"/>
              <w:adjustRightInd w:val="0"/>
              <w:jc w:val="both"/>
              <w:rPr>
                <w:color w:val="000000"/>
                <w:sz w:val="20"/>
                <w:szCs w:val="20"/>
              </w:rPr>
            </w:pPr>
            <w:r>
              <w:rPr>
                <w:color w:val="000000"/>
                <w:sz w:val="20"/>
                <w:szCs w:val="20"/>
              </w:rPr>
              <w:t>0.10</w:t>
            </w:r>
          </w:p>
        </w:tc>
      </w:tr>
      <w:tr w:rsidR="004F3F42">
        <w:trPr>
          <w:trHeight w:val="375"/>
          <w:jc w:val="center"/>
        </w:trPr>
        <w:tc>
          <w:tcPr>
            <w:tcW w:w="1582" w:type="dxa"/>
          </w:tcPr>
          <w:p w:rsidR="004F3F42" w:rsidRDefault="009A1E75">
            <w:pPr>
              <w:autoSpaceDE w:val="0"/>
              <w:autoSpaceDN w:val="0"/>
              <w:adjustRightInd w:val="0"/>
              <w:jc w:val="both"/>
              <w:rPr>
                <w:color w:val="000000"/>
                <w:sz w:val="20"/>
                <w:szCs w:val="20"/>
              </w:rPr>
            </w:pPr>
            <w:r>
              <w:rPr>
                <w:color w:val="000000"/>
                <w:sz w:val="20"/>
                <w:szCs w:val="20"/>
              </w:rPr>
              <w:t>FC(MgC)</w:t>
            </w:r>
          </w:p>
        </w:tc>
        <w:tc>
          <w:tcPr>
            <w:tcW w:w="1249" w:type="dxa"/>
            <w:vAlign w:val="center"/>
          </w:tcPr>
          <w:p w:rsidR="004F3F42" w:rsidRDefault="009A1E75">
            <w:pPr>
              <w:autoSpaceDE w:val="0"/>
              <w:autoSpaceDN w:val="0"/>
              <w:adjustRightInd w:val="0"/>
              <w:jc w:val="both"/>
              <w:rPr>
                <w:color w:val="000000"/>
                <w:sz w:val="20"/>
                <w:szCs w:val="20"/>
              </w:rPr>
            </w:pPr>
            <w:r>
              <w:rPr>
                <w:color w:val="000000"/>
                <w:sz w:val="20"/>
                <w:szCs w:val="20"/>
              </w:rPr>
              <w:t>0.08</w:t>
            </w:r>
          </w:p>
        </w:tc>
        <w:tc>
          <w:tcPr>
            <w:tcW w:w="1437" w:type="dxa"/>
            <w:vAlign w:val="center"/>
          </w:tcPr>
          <w:p w:rsidR="004F3F42" w:rsidRDefault="009A1E75">
            <w:pPr>
              <w:autoSpaceDE w:val="0"/>
              <w:autoSpaceDN w:val="0"/>
              <w:adjustRightInd w:val="0"/>
              <w:jc w:val="both"/>
              <w:rPr>
                <w:color w:val="000000"/>
                <w:sz w:val="20"/>
                <w:szCs w:val="20"/>
              </w:rPr>
            </w:pPr>
            <w:r>
              <w:rPr>
                <w:color w:val="000000"/>
                <w:sz w:val="20"/>
                <w:szCs w:val="20"/>
              </w:rPr>
              <w:t>13.66</w:t>
            </w:r>
          </w:p>
        </w:tc>
        <w:tc>
          <w:tcPr>
            <w:tcW w:w="1347" w:type="dxa"/>
            <w:vAlign w:val="center"/>
          </w:tcPr>
          <w:p w:rsidR="004F3F42" w:rsidRDefault="009A1E75">
            <w:pPr>
              <w:autoSpaceDE w:val="0"/>
              <w:autoSpaceDN w:val="0"/>
              <w:adjustRightInd w:val="0"/>
              <w:jc w:val="both"/>
              <w:rPr>
                <w:color w:val="000000"/>
                <w:sz w:val="20"/>
                <w:szCs w:val="20"/>
              </w:rPr>
            </w:pPr>
            <w:r>
              <w:rPr>
                <w:color w:val="000000"/>
                <w:sz w:val="20"/>
                <w:szCs w:val="20"/>
              </w:rPr>
              <w:t>8.79</w:t>
            </w:r>
          </w:p>
        </w:tc>
        <w:tc>
          <w:tcPr>
            <w:tcW w:w="2087" w:type="dxa"/>
            <w:vAlign w:val="center"/>
          </w:tcPr>
          <w:p w:rsidR="004F3F42" w:rsidRDefault="009A1E75">
            <w:pPr>
              <w:autoSpaceDE w:val="0"/>
              <w:autoSpaceDN w:val="0"/>
              <w:adjustRightInd w:val="0"/>
              <w:jc w:val="both"/>
              <w:rPr>
                <w:color w:val="000000"/>
                <w:sz w:val="20"/>
                <w:szCs w:val="20"/>
              </w:rPr>
            </w:pPr>
            <w:r>
              <w:rPr>
                <w:color w:val="000000"/>
                <w:sz w:val="20"/>
                <w:szCs w:val="20"/>
              </w:rPr>
              <w:t>0.07</w:t>
            </w:r>
          </w:p>
        </w:tc>
        <w:tc>
          <w:tcPr>
            <w:tcW w:w="1695" w:type="dxa"/>
          </w:tcPr>
          <w:p w:rsidR="004F3F42" w:rsidRDefault="009A1E75">
            <w:pPr>
              <w:autoSpaceDE w:val="0"/>
              <w:autoSpaceDN w:val="0"/>
              <w:adjustRightInd w:val="0"/>
              <w:jc w:val="both"/>
              <w:rPr>
                <w:color w:val="000000"/>
                <w:sz w:val="20"/>
                <w:szCs w:val="20"/>
              </w:rPr>
            </w:pPr>
            <w:r>
              <w:rPr>
                <w:color w:val="000000"/>
                <w:sz w:val="20"/>
                <w:szCs w:val="20"/>
              </w:rPr>
              <w:t>1.68</w:t>
            </w:r>
          </w:p>
        </w:tc>
      </w:tr>
      <w:tr w:rsidR="004F3F42">
        <w:trPr>
          <w:trHeight w:val="430"/>
          <w:jc w:val="center"/>
        </w:trPr>
        <w:tc>
          <w:tcPr>
            <w:tcW w:w="1582" w:type="dxa"/>
          </w:tcPr>
          <w:p w:rsidR="004F3F42" w:rsidRDefault="009A1E75">
            <w:pPr>
              <w:autoSpaceDE w:val="0"/>
              <w:autoSpaceDN w:val="0"/>
              <w:adjustRightInd w:val="0"/>
              <w:jc w:val="both"/>
              <w:rPr>
                <w:color w:val="000000"/>
                <w:sz w:val="20"/>
                <w:szCs w:val="20"/>
              </w:rPr>
            </w:pPr>
            <w:r>
              <w:rPr>
                <w:color w:val="000000"/>
                <w:sz w:val="20"/>
                <w:szCs w:val="20"/>
              </w:rPr>
              <w:t>CS(MgC)</w:t>
            </w:r>
          </w:p>
        </w:tc>
        <w:tc>
          <w:tcPr>
            <w:tcW w:w="1249" w:type="dxa"/>
            <w:vAlign w:val="center"/>
          </w:tcPr>
          <w:p w:rsidR="004F3F42" w:rsidRDefault="009A1E75">
            <w:pPr>
              <w:autoSpaceDE w:val="0"/>
              <w:autoSpaceDN w:val="0"/>
              <w:adjustRightInd w:val="0"/>
              <w:jc w:val="both"/>
              <w:rPr>
                <w:color w:val="000000"/>
                <w:sz w:val="20"/>
                <w:szCs w:val="20"/>
              </w:rPr>
            </w:pPr>
            <w:r>
              <w:rPr>
                <w:color w:val="000000"/>
                <w:sz w:val="20"/>
                <w:szCs w:val="20"/>
              </w:rPr>
              <w:t>1.13</w:t>
            </w:r>
          </w:p>
        </w:tc>
        <w:tc>
          <w:tcPr>
            <w:tcW w:w="1437" w:type="dxa"/>
            <w:vAlign w:val="center"/>
          </w:tcPr>
          <w:p w:rsidR="004F3F42" w:rsidRDefault="009A1E75">
            <w:pPr>
              <w:autoSpaceDE w:val="0"/>
              <w:autoSpaceDN w:val="0"/>
              <w:adjustRightInd w:val="0"/>
              <w:jc w:val="both"/>
              <w:rPr>
                <w:color w:val="000000"/>
                <w:sz w:val="20"/>
                <w:szCs w:val="20"/>
              </w:rPr>
            </w:pPr>
            <w:r>
              <w:rPr>
                <w:color w:val="000000"/>
                <w:sz w:val="20"/>
                <w:szCs w:val="20"/>
              </w:rPr>
              <w:t>4.73</w:t>
            </w:r>
          </w:p>
        </w:tc>
        <w:tc>
          <w:tcPr>
            <w:tcW w:w="1347" w:type="dxa"/>
            <w:vAlign w:val="center"/>
          </w:tcPr>
          <w:p w:rsidR="004F3F42" w:rsidRDefault="009A1E75">
            <w:pPr>
              <w:autoSpaceDE w:val="0"/>
              <w:autoSpaceDN w:val="0"/>
              <w:adjustRightInd w:val="0"/>
              <w:jc w:val="both"/>
              <w:rPr>
                <w:color w:val="000000"/>
                <w:sz w:val="20"/>
                <w:szCs w:val="20"/>
              </w:rPr>
            </w:pPr>
            <w:r>
              <w:rPr>
                <w:color w:val="000000"/>
                <w:sz w:val="20"/>
                <w:szCs w:val="20"/>
              </w:rPr>
              <w:t>2.18</w:t>
            </w:r>
          </w:p>
        </w:tc>
        <w:tc>
          <w:tcPr>
            <w:tcW w:w="2087" w:type="dxa"/>
            <w:vAlign w:val="center"/>
          </w:tcPr>
          <w:p w:rsidR="004F3F42" w:rsidRDefault="009A1E75">
            <w:pPr>
              <w:autoSpaceDE w:val="0"/>
              <w:autoSpaceDN w:val="0"/>
              <w:adjustRightInd w:val="0"/>
              <w:jc w:val="both"/>
              <w:rPr>
                <w:color w:val="000000"/>
                <w:sz w:val="20"/>
                <w:szCs w:val="20"/>
              </w:rPr>
            </w:pPr>
            <w:r>
              <w:rPr>
                <w:color w:val="000000"/>
                <w:sz w:val="20"/>
                <w:szCs w:val="20"/>
              </w:rPr>
              <w:t>0.03</w:t>
            </w:r>
          </w:p>
        </w:tc>
        <w:tc>
          <w:tcPr>
            <w:tcW w:w="1695" w:type="dxa"/>
            <w:vAlign w:val="center"/>
          </w:tcPr>
          <w:p w:rsidR="004F3F42" w:rsidRDefault="009A1E75">
            <w:pPr>
              <w:autoSpaceDE w:val="0"/>
              <w:autoSpaceDN w:val="0"/>
              <w:adjustRightInd w:val="0"/>
              <w:jc w:val="both"/>
              <w:rPr>
                <w:color w:val="000000"/>
                <w:sz w:val="20"/>
                <w:szCs w:val="20"/>
              </w:rPr>
            </w:pPr>
            <w:r>
              <w:rPr>
                <w:color w:val="000000"/>
                <w:sz w:val="20"/>
                <w:szCs w:val="20"/>
              </w:rPr>
              <w:t>0.70</w:t>
            </w:r>
          </w:p>
        </w:tc>
      </w:tr>
    </w:tbl>
    <w:p w:rsidR="004F3F42" w:rsidRDefault="009A1E75">
      <w:pPr>
        <w:autoSpaceDE w:val="0"/>
        <w:autoSpaceDN w:val="0"/>
        <w:adjustRightInd w:val="0"/>
        <w:jc w:val="both"/>
        <w:rPr>
          <w:b/>
          <w:sz w:val="20"/>
          <w:szCs w:val="20"/>
        </w:rPr>
      </w:pPr>
      <w:r>
        <w:rPr>
          <w:b/>
          <w:sz w:val="20"/>
          <w:szCs w:val="20"/>
        </w:rPr>
        <w:t xml:space="preserve">CS=Carbon stock, D=Diameter , L= length, Vol=Volume, Dbc= Wood basic density and </w:t>
      </w:r>
    </w:p>
    <w:p w:rsidR="004F3F42" w:rsidRDefault="009A1E75">
      <w:pPr>
        <w:autoSpaceDE w:val="0"/>
        <w:autoSpaceDN w:val="0"/>
        <w:adjustRightInd w:val="0"/>
        <w:jc w:val="both"/>
        <w:rPr>
          <w:b/>
          <w:sz w:val="20"/>
          <w:szCs w:val="20"/>
        </w:rPr>
      </w:pPr>
      <w:r>
        <w:rPr>
          <w:b/>
          <w:sz w:val="20"/>
          <w:szCs w:val="20"/>
        </w:rPr>
        <w:t>FC= Carbon stored in sawn wood</w:t>
      </w:r>
    </w:p>
    <w:p w:rsidR="004F3F42" w:rsidRDefault="004F3F42">
      <w:pPr>
        <w:autoSpaceDE w:val="0"/>
        <w:autoSpaceDN w:val="0"/>
        <w:adjustRightInd w:val="0"/>
        <w:jc w:val="both"/>
        <w:rPr>
          <w:bCs/>
          <w:sz w:val="20"/>
          <w:szCs w:val="20"/>
        </w:rPr>
      </w:pPr>
    </w:p>
    <w:p w:rsidR="004F3F42" w:rsidRDefault="009A1E75">
      <w:pPr>
        <w:autoSpaceDE w:val="0"/>
        <w:autoSpaceDN w:val="0"/>
        <w:adjustRightInd w:val="0"/>
        <w:jc w:val="both"/>
        <w:rPr>
          <w:color w:val="FF0000"/>
          <w:sz w:val="20"/>
          <w:szCs w:val="20"/>
        </w:rPr>
      </w:pPr>
      <w:r>
        <w:rPr>
          <w:bCs/>
          <w:sz w:val="20"/>
          <w:szCs w:val="20"/>
        </w:rPr>
        <w:t xml:space="preserve">Table 3: Correlation matrix between Carbon stock of log (CS) and Parameters </w:t>
      </w:r>
    </w:p>
    <w:tbl>
      <w:tblPr>
        <w:tblW w:w="9395" w:type="dxa"/>
        <w:jc w:val="center"/>
        <w:tblBorders>
          <w:top w:val="single" w:sz="4" w:space="0" w:color="auto"/>
          <w:bottom w:val="single" w:sz="4" w:space="0" w:color="auto"/>
        </w:tblBorders>
        <w:tblLook w:val="04A0" w:firstRow="1" w:lastRow="0" w:firstColumn="1" w:lastColumn="0" w:noHBand="0" w:noVBand="1"/>
      </w:tblPr>
      <w:tblGrid>
        <w:gridCol w:w="1170"/>
        <w:gridCol w:w="1064"/>
        <w:gridCol w:w="1405"/>
        <w:gridCol w:w="1147"/>
        <w:gridCol w:w="1076"/>
        <w:gridCol w:w="1236"/>
        <w:gridCol w:w="1156"/>
        <w:gridCol w:w="1141"/>
      </w:tblGrid>
      <w:tr w:rsidR="004F3F42">
        <w:trPr>
          <w:trHeight w:val="372"/>
          <w:jc w:val="center"/>
        </w:trPr>
        <w:tc>
          <w:tcPr>
            <w:tcW w:w="1167" w:type="dxa"/>
            <w:tcBorders>
              <w:bottom w:val="single" w:sz="4" w:space="0" w:color="auto"/>
            </w:tcBorders>
          </w:tcPr>
          <w:p w:rsidR="004F3F42" w:rsidRDefault="004F3F42">
            <w:pPr>
              <w:autoSpaceDE w:val="0"/>
              <w:autoSpaceDN w:val="0"/>
              <w:adjustRightInd w:val="0"/>
              <w:rPr>
                <w:b/>
                <w:sz w:val="20"/>
                <w:szCs w:val="20"/>
              </w:rPr>
            </w:pPr>
          </w:p>
        </w:tc>
        <w:tc>
          <w:tcPr>
            <w:tcW w:w="1064" w:type="dxa"/>
            <w:tcBorders>
              <w:bottom w:val="single" w:sz="4" w:space="0" w:color="auto"/>
            </w:tcBorders>
            <w:vAlign w:val="bottom"/>
          </w:tcPr>
          <w:p w:rsidR="004F3F42" w:rsidRDefault="009A1E75">
            <w:pPr>
              <w:autoSpaceDE w:val="0"/>
              <w:autoSpaceDN w:val="0"/>
              <w:adjustRightInd w:val="0"/>
              <w:jc w:val="center"/>
              <w:rPr>
                <w:b/>
                <w:color w:val="000000"/>
                <w:sz w:val="20"/>
                <w:szCs w:val="20"/>
              </w:rPr>
            </w:pPr>
            <w:r>
              <w:rPr>
                <w:b/>
                <w:color w:val="000000"/>
                <w:sz w:val="20"/>
                <w:szCs w:val="20"/>
              </w:rPr>
              <w:t>CS</w:t>
            </w:r>
            <w:r>
              <w:rPr>
                <w:b/>
                <w:sz w:val="20"/>
                <w:szCs w:val="20"/>
              </w:rPr>
              <w:t>(MgC)</w:t>
            </w:r>
          </w:p>
        </w:tc>
        <w:tc>
          <w:tcPr>
            <w:tcW w:w="1402" w:type="dxa"/>
            <w:tcBorders>
              <w:bottom w:val="single" w:sz="4" w:space="0" w:color="auto"/>
            </w:tcBorders>
            <w:vAlign w:val="bottom"/>
          </w:tcPr>
          <w:p w:rsidR="004F3F42" w:rsidRDefault="009A1E75">
            <w:pPr>
              <w:autoSpaceDE w:val="0"/>
              <w:autoSpaceDN w:val="0"/>
              <w:adjustRightInd w:val="0"/>
              <w:jc w:val="center"/>
              <w:rPr>
                <w:b/>
                <w:color w:val="000000"/>
                <w:sz w:val="20"/>
                <w:szCs w:val="20"/>
              </w:rPr>
            </w:pPr>
            <w:r>
              <w:rPr>
                <w:b/>
                <w:color w:val="000000"/>
                <w:sz w:val="20"/>
                <w:szCs w:val="20"/>
              </w:rPr>
              <w:t>Diameter</w:t>
            </w:r>
            <w:r>
              <w:rPr>
                <w:b/>
                <w:sz w:val="20"/>
                <w:szCs w:val="20"/>
              </w:rPr>
              <w:t>(cm)</w:t>
            </w:r>
          </w:p>
        </w:tc>
        <w:tc>
          <w:tcPr>
            <w:tcW w:w="1149" w:type="dxa"/>
            <w:tcBorders>
              <w:bottom w:val="single" w:sz="4" w:space="0" w:color="auto"/>
            </w:tcBorders>
            <w:vAlign w:val="bottom"/>
          </w:tcPr>
          <w:p w:rsidR="004F3F42" w:rsidRDefault="009A1E75">
            <w:pPr>
              <w:autoSpaceDE w:val="0"/>
              <w:autoSpaceDN w:val="0"/>
              <w:adjustRightInd w:val="0"/>
              <w:jc w:val="center"/>
              <w:rPr>
                <w:b/>
                <w:color w:val="000000"/>
                <w:sz w:val="20"/>
                <w:szCs w:val="20"/>
              </w:rPr>
            </w:pPr>
            <w:r>
              <w:rPr>
                <w:b/>
                <w:color w:val="000000"/>
                <w:sz w:val="20"/>
                <w:szCs w:val="20"/>
              </w:rPr>
              <w:t>L</w:t>
            </w:r>
            <w:r>
              <w:rPr>
                <w:b/>
                <w:sz w:val="20"/>
                <w:szCs w:val="20"/>
              </w:rPr>
              <w:t>(m)</w:t>
            </w:r>
          </w:p>
        </w:tc>
        <w:tc>
          <w:tcPr>
            <w:tcW w:w="1078" w:type="dxa"/>
            <w:tcBorders>
              <w:bottom w:val="single" w:sz="4" w:space="0" w:color="auto"/>
            </w:tcBorders>
            <w:vAlign w:val="bottom"/>
          </w:tcPr>
          <w:p w:rsidR="004F3F42" w:rsidRDefault="009A1E75">
            <w:pPr>
              <w:autoSpaceDE w:val="0"/>
              <w:autoSpaceDN w:val="0"/>
              <w:adjustRightInd w:val="0"/>
              <w:jc w:val="center"/>
              <w:rPr>
                <w:b/>
                <w:color w:val="000000"/>
                <w:sz w:val="20"/>
                <w:szCs w:val="20"/>
              </w:rPr>
            </w:pPr>
            <w:r>
              <w:rPr>
                <w:b/>
                <w:color w:val="000000"/>
                <w:sz w:val="20"/>
                <w:szCs w:val="20"/>
              </w:rPr>
              <w:t>V</w:t>
            </w:r>
            <w:r>
              <w:rPr>
                <w:b/>
                <w:sz w:val="20"/>
                <w:szCs w:val="20"/>
              </w:rPr>
              <w:t>(m</w:t>
            </w:r>
            <w:r>
              <w:rPr>
                <w:b/>
                <w:sz w:val="20"/>
                <w:szCs w:val="20"/>
                <w:vertAlign w:val="superscript"/>
              </w:rPr>
              <w:t>3</w:t>
            </w:r>
            <w:r>
              <w:rPr>
                <w:b/>
                <w:sz w:val="20"/>
                <w:szCs w:val="20"/>
              </w:rPr>
              <w:t>)</w:t>
            </w:r>
          </w:p>
        </w:tc>
        <w:tc>
          <w:tcPr>
            <w:tcW w:w="1236" w:type="dxa"/>
            <w:tcBorders>
              <w:bottom w:val="single" w:sz="4" w:space="0" w:color="auto"/>
            </w:tcBorders>
            <w:vAlign w:val="bottom"/>
          </w:tcPr>
          <w:p w:rsidR="004F3F42" w:rsidRDefault="009A1E75">
            <w:pPr>
              <w:autoSpaceDE w:val="0"/>
              <w:autoSpaceDN w:val="0"/>
              <w:adjustRightInd w:val="0"/>
              <w:jc w:val="center"/>
              <w:rPr>
                <w:b/>
                <w:color w:val="000000"/>
                <w:sz w:val="20"/>
                <w:szCs w:val="20"/>
              </w:rPr>
            </w:pPr>
            <w:r>
              <w:rPr>
                <w:b/>
                <w:color w:val="000000"/>
                <w:sz w:val="20"/>
                <w:szCs w:val="20"/>
              </w:rPr>
              <w:t>Dbc</w:t>
            </w:r>
            <w:r>
              <w:rPr>
                <w:b/>
                <w:sz w:val="20"/>
                <w:szCs w:val="20"/>
              </w:rPr>
              <w:t>(g/cm</w:t>
            </w:r>
            <w:r>
              <w:rPr>
                <w:b/>
                <w:sz w:val="20"/>
                <w:szCs w:val="20"/>
                <w:vertAlign w:val="superscript"/>
              </w:rPr>
              <w:t>3</w:t>
            </w:r>
            <w:r>
              <w:rPr>
                <w:b/>
                <w:sz w:val="20"/>
                <w:szCs w:val="20"/>
              </w:rPr>
              <w:t>)</w:t>
            </w:r>
          </w:p>
        </w:tc>
        <w:tc>
          <w:tcPr>
            <w:tcW w:w="1158" w:type="dxa"/>
            <w:tcBorders>
              <w:bottom w:val="single" w:sz="4" w:space="0" w:color="auto"/>
            </w:tcBorders>
            <w:vAlign w:val="bottom"/>
          </w:tcPr>
          <w:p w:rsidR="004F3F42" w:rsidRDefault="009A1E75">
            <w:pPr>
              <w:autoSpaceDE w:val="0"/>
              <w:autoSpaceDN w:val="0"/>
              <w:adjustRightInd w:val="0"/>
              <w:jc w:val="center"/>
              <w:rPr>
                <w:b/>
                <w:color w:val="000000"/>
                <w:sz w:val="20"/>
                <w:szCs w:val="20"/>
              </w:rPr>
            </w:pPr>
            <w:r>
              <w:rPr>
                <w:b/>
                <w:color w:val="000000"/>
                <w:sz w:val="20"/>
                <w:szCs w:val="20"/>
              </w:rPr>
              <w:t>B</w:t>
            </w:r>
            <w:r>
              <w:rPr>
                <w:b/>
                <w:sz w:val="20"/>
                <w:szCs w:val="20"/>
              </w:rPr>
              <w:t>(Mg)</w:t>
            </w:r>
          </w:p>
        </w:tc>
        <w:tc>
          <w:tcPr>
            <w:tcW w:w="1141" w:type="dxa"/>
            <w:tcBorders>
              <w:bottom w:val="single" w:sz="4" w:space="0" w:color="auto"/>
            </w:tcBorders>
            <w:vAlign w:val="bottom"/>
          </w:tcPr>
          <w:p w:rsidR="004F3F42" w:rsidRDefault="009A1E75">
            <w:pPr>
              <w:autoSpaceDE w:val="0"/>
              <w:autoSpaceDN w:val="0"/>
              <w:adjustRightInd w:val="0"/>
              <w:jc w:val="center"/>
              <w:rPr>
                <w:b/>
                <w:color w:val="000000"/>
                <w:sz w:val="20"/>
                <w:szCs w:val="20"/>
              </w:rPr>
            </w:pPr>
            <w:r>
              <w:rPr>
                <w:b/>
                <w:color w:val="000000"/>
                <w:sz w:val="20"/>
                <w:szCs w:val="20"/>
              </w:rPr>
              <w:t>FC</w:t>
            </w:r>
            <w:r>
              <w:rPr>
                <w:b/>
                <w:sz w:val="20"/>
                <w:szCs w:val="20"/>
              </w:rPr>
              <w:t>(MgC)</w:t>
            </w:r>
          </w:p>
        </w:tc>
      </w:tr>
      <w:tr w:rsidR="004F3F42">
        <w:trPr>
          <w:trHeight w:val="372"/>
          <w:jc w:val="center"/>
        </w:trPr>
        <w:tc>
          <w:tcPr>
            <w:tcW w:w="1167" w:type="dxa"/>
            <w:tcBorders>
              <w:top w:val="single" w:sz="4" w:space="0" w:color="auto"/>
              <w:bottom w:val="nil"/>
            </w:tcBorders>
          </w:tcPr>
          <w:p w:rsidR="004F3F42" w:rsidRDefault="009A1E75">
            <w:pPr>
              <w:autoSpaceDE w:val="0"/>
              <w:autoSpaceDN w:val="0"/>
              <w:adjustRightInd w:val="0"/>
              <w:rPr>
                <w:b/>
                <w:sz w:val="20"/>
                <w:szCs w:val="20"/>
              </w:rPr>
            </w:pPr>
            <w:r>
              <w:rPr>
                <w:b/>
                <w:sz w:val="20"/>
                <w:szCs w:val="20"/>
              </w:rPr>
              <w:t>CS(MgC)</w:t>
            </w:r>
          </w:p>
        </w:tc>
        <w:tc>
          <w:tcPr>
            <w:tcW w:w="1064" w:type="dxa"/>
            <w:tcBorders>
              <w:top w:val="single" w:sz="4" w:space="0" w:color="auto"/>
              <w:bottom w:val="nil"/>
            </w:tcBorders>
          </w:tcPr>
          <w:p w:rsidR="004F3F42" w:rsidRDefault="009A1E75">
            <w:pPr>
              <w:autoSpaceDE w:val="0"/>
              <w:autoSpaceDN w:val="0"/>
              <w:adjustRightInd w:val="0"/>
              <w:rPr>
                <w:sz w:val="20"/>
                <w:szCs w:val="20"/>
              </w:rPr>
            </w:pPr>
            <w:r>
              <w:rPr>
                <w:sz w:val="20"/>
                <w:szCs w:val="20"/>
              </w:rPr>
              <w:t>1</w:t>
            </w:r>
          </w:p>
        </w:tc>
        <w:tc>
          <w:tcPr>
            <w:tcW w:w="1402" w:type="dxa"/>
            <w:tcBorders>
              <w:top w:val="single" w:sz="4" w:space="0" w:color="auto"/>
              <w:bottom w:val="nil"/>
            </w:tcBorders>
          </w:tcPr>
          <w:p w:rsidR="004F3F42" w:rsidRDefault="004F3F42">
            <w:pPr>
              <w:autoSpaceDE w:val="0"/>
              <w:autoSpaceDN w:val="0"/>
              <w:adjustRightInd w:val="0"/>
              <w:rPr>
                <w:sz w:val="20"/>
                <w:szCs w:val="20"/>
              </w:rPr>
            </w:pPr>
          </w:p>
        </w:tc>
        <w:tc>
          <w:tcPr>
            <w:tcW w:w="1149" w:type="dxa"/>
            <w:tcBorders>
              <w:top w:val="single" w:sz="4" w:space="0" w:color="auto"/>
              <w:bottom w:val="nil"/>
            </w:tcBorders>
          </w:tcPr>
          <w:p w:rsidR="004F3F42" w:rsidRDefault="004F3F42">
            <w:pPr>
              <w:autoSpaceDE w:val="0"/>
              <w:autoSpaceDN w:val="0"/>
              <w:adjustRightInd w:val="0"/>
              <w:rPr>
                <w:sz w:val="20"/>
                <w:szCs w:val="20"/>
              </w:rPr>
            </w:pPr>
          </w:p>
        </w:tc>
        <w:tc>
          <w:tcPr>
            <w:tcW w:w="1078" w:type="dxa"/>
            <w:tcBorders>
              <w:top w:val="single" w:sz="4" w:space="0" w:color="auto"/>
              <w:bottom w:val="nil"/>
            </w:tcBorders>
          </w:tcPr>
          <w:p w:rsidR="004F3F42" w:rsidRDefault="004F3F42">
            <w:pPr>
              <w:autoSpaceDE w:val="0"/>
              <w:autoSpaceDN w:val="0"/>
              <w:adjustRightInd w:val="0"/>
              <w:rPr>
                <w:sz w:val="20"/>
                <w:szCs w:val="20"/>
              </w:rPr>
            </w:pPr>
          </w:p>
        </w:tc>
        <w:tc>
          <w:tcPr>
            <w:tcW w:w="1236" w:type="dxa"/>
            <w:tcBorders>
              <w:top w:val="single" w:sz="4" w:space="0" w:color="auto"/>
              <w:bottom w:val="nil"/>
            </w:tcBorders>
          </w:tcPr>
          <w:p w:rsidR="004F3F42" w:rsidRDefault="004F3F42">
            <w:pPr>
              <w:autoSpaceDE w:val="0"/>
              <w:autoSpaceDN w:val="0"/>
              <w:adjustRightInd w:val="0"/>
              <w:rPr>
                <w:sz w:val="20"/>
                <w:szCs w:val="20"/>
              </w:rPr>
            </w:pPr>
          </w:p>
        </w:tc>
        <w:tc>
          <w:tcPr>
            <w:tcW w:w="1158" w:type="dxa"/>
            <w:tcBorders>
              <w:top w:val="single" w:sz="4" w:space="0" w:color="auto"/>
              <w:bottom w:val="nil"/>
            </w:tcBorders>
          </w:tcPr>
          <w:p w:rsidR="004F3F42" w:rsidRDefault="004F3F42">
            <w:pPr>
              <w:autoSpaceDE w:val="0"/>
              <w:autoSpaceDN w:val="0"/>
              <w:adjustRightInd w:val="0"/>
              <w:rPr>
                <w:sz w:val="20"/>
                <w:szCs w:val="20"/>
              </w:rPr>
            </w:pPr>
          </w:p>
        </w:tc>
        <w:tc>
          <w:tcPr>
            <w:tcW w:w="1141" w:type="dxa"/>
            <w:tcBorders>
              <w:top w:val="single" w:sz="4" w:space="0" w:color="auto"/>
              <w:bottom w:val="nil"/>
            </w:tcBorders>
          </w:tcPr>
          <w:p w:rsidR="004F3F42" w:rsidRDefault="004F3F42">
            <w:pPr>
              <w:autoSpaceDE w:val="0"/>
              <w:autoSpaceDN w:val="0"/>
              <w:adjustRightInd w:val="0"/>
              <w:rPr>
                <w:sz w:val="20"/>
                <w:szCs w:val="20"/>
              </w:rPr>
            </w:pPr>
          </w:p>
        </w:tc>
      </w:tr>
      <w:tr w:rsidR="004F3F42">
        <w:trPr>
          <w:trHeight w:val="672"/>
          <w:jc w:val="center"/>
        </w:trPr>
        <w:tc>
          <w:tcPr>
            <w:tcW w:w="1167" w:type="dxa"/>
            <w:tcBorders>
              <w:top w:val="nil"/>
            </w:tcBorders>
          </w:tcPr>
          <w:p w:rsidR="004F3F42" w:rsidRDefault="009A1E75">
            <w:pPr>
              <w:autoSpaceDE w:val="0"/>
              <w:autoSpaceDN w:val="0"/>
              <w:adjustRightInd w:val="0"/>
              <w:rPr>
                <w:b/>
                <w:sz w:val="20"/>
                <w:szCs w:val="20"/>
              </w:rPr>
            </w:pPr>
            <w:r>
              <w:rPr>
                <w:b/>
                <w:sz w:val="20"/>
                <w:szCs w:val="20"/>
              </w:rPr>
              <w:t>Diameter</w:t>
            </w:r>
          </w:p>
          <w:p w:rsidR="004F3F42" w:rsidRDefault="009A1E75">
            <w:pPr>
              <w:autoSpaceDE w:val="0"/>
              <w:autoSpaceDN w:val="0"/>
              <w:adjustRightInd w:val="0"/>
              <w:rPr>
                <w:b/>
                <w:sz w:val="20"/>
                <w:szCs w:val="20"/>
              </w:rPr>
            </w:pPr>
            <w:r>
              <w:rPr>
                <w:b/>
                <w:sz w:val="20"/>
                <w:szCs w:val="20"/>
              </w:rPr>
              <w:t>(cm)</w:t>
            </w:r>
          </w:p>
        </w:tc>
        <w:tc>
          <w:tcPr>
            <w:tcW w:w="1064" w:type="dxa"/>
            <w:tcBorders>
              <w:top w:val="nil"/>
            </w:tcBorders>
            <w:vAlign w:val="center"/>
          </w:tcPr>
          <w:p w:rsidR="004F3F42" w:rsidRDefault="009A1E75">
            <w:pPr>
              <w:autoSpaceDE w:val="0"/>
              <w:autoSpaceDN w:val="0"/>
              <w:adjustRightInd w:val="0"/>
              <w:jc w:val="right"/>
              <w:rPr>
                <w:color w:val="000000"/>
                <w:sz w:val="20"/>
                <w:szCs w:val="20"/>
              </w:rPr>
            </w:pPr>
            <w:r>
              <w:rPr>
                <w:color w:val="000000"/>
                <w:sz w:val="20"/>
                <w:szCs w:val="20"/>
              </w:rPr>
              <w:t>0.641</w:t>
            </w:r>
            <w:r>
              <w:rPr>
                <w:color w:val="000000"/>
                <w:sz w:val="20"/>
                <w:szCs w:val="20"/>
                <w:vertAlign w:val="superscript"/>
              </w:rPr>
              <w:t>*</w:t>
            </w:r>
          </w:p>
        </w:tc>
        <w:tc>
          <w:tcPr>
            <w:tcW w:w="1402" w:type="dxa"/>
            <w:tcBorders>
              <w:top w:val="nil"/>
            </w:tcBorders>
            <w:vAlign w:val="center"/>
          </w:tcPr>
          <w:p w:rsidR="004F3F42" w:rsidRDefault="009A1E75">
            <w:pPr>
              <w:autoSpaceDE w:val="0"/>
              <w:autoSpaceDN w:val="0"/>
              <w:adjustRightInd w:val="0"/>
              <w:jc w:val="right"/>
              <w:rPr>
                <w:color w:val="000000"/>
                <w:sz w:val="20"/>
                <w:szCs w:val="20"/>
              </w:rPr>
            </w:pPr>
            <w:r>
              <w:rPr>
                <w:color w:val="000000"/>
                <w:sz w:val="20"/>
                <w:szCs w:val="20"/>
              </w:rPr>
              <w:t>1</w:t>
            </w:r>
          </w:p>
        </w:tc>
        <w:tc>
          <w:tcPr>
            <w:tcW w:w="1149" w:type="dxa"/>
            <w:tcBorders>
              <w:top w:val="nil"/>
            </w:tcBorders>
          </w:tcPr>
          <w:p w:rsidR="004F3F42" w:rsidRDefault="004F3F42">
            <w:pPr>
              <w:autoSpaceDE w:val="0"/>
              <w:autoSpaceDN w:val="0"/>
              <w:adjustRightInd w:val="0"/>
              <w:rPr>
                <w:sz w:val="20"/>
                <w:szCs w:val="20"/>
              </w:rPr>
            </w:pPr>
          </w:p>
        </w:tc>
        <w:tc>
          <w:tcPr>
            <w:tcW w:w="1078" w:type="dxa"/>
            <w:tcBorders>
              <w:top w:val="nil"/>
            </w:tcBorders>
          </w:tcPr>
          <w:p w:rsidR="004F3F42" w:rsidRDefault="004F3F42">
            <w:pPr>
              <w:autoSpaceDE w:val="0"/>
              <w:autoSpaceDN w:val="0"/>
              <w:adjustRightInd w:val="0"/>
              <w:rPr>
                <w:sz w:val="20"/>
                <w:szCs w:val="20"/>
              </w:rPr>
            </w:pPr>
          </w:p>
        </w:tc>
        <w:tc>
          <w:tcPr>
            <w:tcW w:w="1236" w:type="dxa"/>
            <w:tcBorders>
              <w:top w:val="nil"/>
            </w:tcBorders>
          </w:tcPr>
          <w:p w:rsidR="004F3F42" w:rsidRDefault="004F3F42">
            <w:pPr>
              <w:autoSpaceDE w:val="0"/>
              <w:autoSpaceDN w:val="0"/>
              <w:adjustRightInd w:val="0"/>
              <w:rPr>
                <w:sz w:val="20"/>
                <w:szCs w:val="20"/>
              </w:rPr>
            </w:pPr>
          </w:p>
        </w:tc>
        <w:tc>
          <w:tcPr>
            <w:tcW w:w="1158" w:type="dxa"/>
            <w:tcBorders>
              <w:top w:val="nil"/>
            </w:tcBorders>
          </w:tcPr>
          <w:p w:rsidR="004F3F42" w:rsidRDefault="004F3F42">
            <w:pPr>
              <w:autoSpaceDE w:val="0"/>
              <w:autoSpaceDN w:val="0"/>
              <w:adjustRightInd w:val="0"/>
              <w:rPr>
                <w:sz w:val="20"/>
                <w:szCs w:val="20"/>
              </w:rPr>
            </w:pPr>
          </w:p>
        </w:tc>
        <w:tc>
          <w:tcPr>
            <w:tcW w:w="1141" w:type="dxa"/>
            <w:tcBorders>
              <w:top w:val="nil"/>
            </w:tcBorders>
          </w:tcPr>
          <w:p w:rsidR="004F3F42" w:rsidRDefault="004F3F42">
            <w:pPr>
              <w:autoSpaceDE w:val="0"/>
              <w:autoSpaceDN w:val="0"/>
              <w:adjustRightInd w:val="0"/>
              <w:rPr>
                <w:sz w:val="20"/>
                <w:szCs w:val="20"/>
              </w:rPr>
            </w:pPr>
          </w:p>
        </w:tc>
      </w:tr>
      <w:tr w:rsidR="004F3F42">
        <w:trPr>
          <w:trHeight w:val="335"/>
          <w:jc w:val="center"/>
        </w:trPr>
        <w:tc>
          <w:tcPr>
            <w:tcW w:w="1167" w:type="dxa"/>
          </w:tcPr>
          <w:p w:rsidR="004F3F42" w:rsidRDefault="009A1E75">
            <w:pPr>
              <w:autoSpaceDE w:val="0"/>
              <w:autoSpaceDN w:val="0"/>
              <w:adjustRightInd w:val="0"/>
              <w:rPr>
                <w:b/>
                <w:sz w:val="20"/>
                <w:szCs w:val="20"/>
              </w:rPr>
            </w:pPr>
            <w:r>
              <w:rPr>
                <w:b/>
                <w:sz w:val="20"/>
                <w:szCs w:val="20"/>
              </w:rPr>
              <w:t>L(m)</w:t>
            </w:r>
          </w:p>
        </w:tc>
        <w:tc>
          <w:tcPr>
            <w:tcW w:w="1064" w:type="dxa"/>
            <w:vAlign w:val="center"/>
          </w:tcPr>
          <w:p w:rsidR="004F3F42" w:rsidRDefault="009A1E75">
            <w:pPr>
              <w:autoSpaceDE w:val="0"/>
              <w:autoSpaceDN w:val="0"/>
              <w:adjustRightInd w:val="0"/>
              <w:jc w:val="right"/>
              <w:rPr>
                <w:color w:val="000000"/>
                <w:sz w:val="20"/>
                <w:szCs w:val="20"/>
              </w:rPr>
            </w:pPr>
            <w:r>
              <w:rPr>
                <w:color w:val="000000"/>
                <w:sz w:val="20"/>
                <w:szCs w:val="20"/>
              </w:rPr>
              <w:t>0.651</w:t>
            </w:r>
            <w:r>
              <w:rPr>
                <w:color w:val="000000"/>
                <w:sz w:val="20"/>
                <w:szCs w:val="20"/>
                <w:vertAlign w:val="superscript"/>
              </w:rPr>
              <w:t>*</w:t>
            </w:r>
          </w:p>
        </w:tc>
        <w:tc>
          <w:tcPr>
            <w:tcW w:w="1402" w:type="dxa"/>
            <w:vAlign w:val="center"/>
          </w:tcPr>
          <w:p w:rsidR="004F3F42" w:rsidRDefault="009A1E75">
            <w:pPr>
              <w:autoSpaceDE w:val="0"/>
              <w:autoSpaceDN w:val="0"/>
              <w:adjustRightInd w:val="0"/>
              <w:jc w:val="right"/>
              <w:rPr>
                <w:color w:val="000000"/>
                <w:sz w:val="20"/>
                <w:szCs w:val="20"/>
              </w:rPr>
            </w:pPr>
            <w:r>
              <w:rPr>
                <w:color w:val="000000"/>
                <w:sz w:val="20"/>
                <w:szCs w:val="20"/>
              </w:rPr>
              <w:t>0.275</w:t>
            </w:r>
            <w:r>
              <w:rPr>
                <w:color w:val="000000"/>
                <w:sz w:val="20"/>
                <w:szCs w:val="20"/>
                <w:vertAlign w:val="superscript"/>
              </w:rPr>
              <w:t>*</w:t>
            </w:r>
          </w:p>
        </w:tc>
        <w:tc>
          <w:tcPr>
            <w:tcW w:w="1149" w:type="dxa"/>
            <w:vAlign w:val="center"/>
          </w:tcPr>
          <w:p w:rsidR="004F3F42" w:rsidRDefault="009A1E75">
            <w:pPr>
              <w:autoSpaceDE w:val="0"/>
              <w:autoSpaceDN w:val="0"/>
              <w:adjustRightInd w:val="0"/>
              <w:jc w:val="right"/>
              <w:rPr>
                <w:color w:val="000000"/>
                <w:sz w:val="20"/>
                <w:szCs w:val="20"/>
              </w:rPr>
            </w:pPr>
            <w:r>
              <w:rPr>
                <w:color w:val="000000"/>
                <w:sz w:val="20"/>
                <w:szCs w:val="20"/>
              </w:rPr>
              <w:t>1</w:t>
            </w:r>
          </w:p>
        </w:tc>
        <w:tc>
          <w:tcPr>
            <w:tcW w:w="1078" w:type="dxa"/>
          </w:tcPr>
          <w:p w:rsidR="004F3F42" w:rsidRDefault="004F3F42">
            <w:pPr>
              <w:autoSpaceDE w:val="0"/>
              <w:autoSpaceDN w:val="0"/>
              <w:adjustRightInd w:val="0"/>
              <w:rPr>
                <w:sz w:val="20"/>
                <w:szCs w:val="20"/>
              </w:rPr>
            </w:pPr>
          </w:p>
        </w:tc>
        <w:tc>
          <w:tcPr>
            <w:tcW w:w="1236" w:type="dxa"/>
          </w:tcPr>
          <w:p w:rsidR="004F3F42" w:rsidRDefault="004F3F42">
            <w:pPr>
              <w:autoSpaceDE w:val="0"/>
              <w:autoSpaceDN w:val="0"/>
              <w:adjustRightInd w:val="0"/>
              <w:rPr>
                <w:sz w:val="20"/>
                <w:szCs w:val="20"/>
              </w:rPr>
            </w:pPr>
          </w:p>
        </w:tc>
        <w:tc>
          <w:tcPr>
            <w:tcW w:w="1158" w:type="dxa"/>
          </w:tcPr>
          <w:p w:rsidR="004F3F42" w:rsidRDefault="004F3F42">
            <w:pPr>
              <w:autoSpaceDE w:val="0"/>
              <w:autoSpaceDN w:val="0"/>
              <w:adjustRightInd w:val="0"/>
              <w:rPr>
                <w:sz w:val="20"/>
                <w:szCs w:val="20"/>
              </w:rPr>
            </w:pPr>
          </w:p>
        </w:tc>
        <w:tc>
          <w:tcPr>
            <w:tcW w:w="1141" w:type="dxa"/>
          </w:tcPr>
          <w:p w:rsidR="004F3F42" w:rsidRDefault="004F3F42">
            <w:pPr>
              <w:autoSpaceDE w:val="0"/>
              <w:autoSpaceDN w:val="0"/>
              <w:adjustRightInd w:val="0"/>
              <w:rPr>
                <w:sz w:val="20"/>
                <w:szCs w:val="20"/>
              </w:rPr>
            </w:pPr>
          </w:p>
        </w:tc>
      </w:tr>
      <w:tr w:rsidR="004F3F42">
        <w:trPr>
          <w:trHeight w:val="335"/>
          <w:jc w:val="center"/>
        </w:trPr>
        <w:tc>
          <w:tcPr>
            <w:tcW w:w="1167" w:type="dxa"/>
          </w:tcPr>
          <w:p w:rsidR="004F3F42" w:rsidRDefault="009A1E75">
            <w:pPr>
              <w:autoSpaceDE w:val="0"/>
              <w:autoSpaceDN w:val="0"/>
              <w:adjustRightInd w:val="0"/>
              <w:rPr>
                <w:b/>
                <w:sz w:val="20"/>
                <w:szCs w:val="20"/>
              </w:rPr>
            </w:pPr>
            <w:r>
              <w:rPr>
                <w:b/>
                <w:sz w:val="20"/>
                <w:szCs w:val="20"/>
              </w:rPr>
              <w:t>V(m</w:t>
            </w:r>
            <w:r>
              <w:rPr>
                <w:b/>
                <w:sz w:val="20"/>
                <w:szCs w:val="20"/>
                <w:vertAlign w:val="superscript"/>
              </w:rPr>
              <w:t>3</w:t>
            </w:r>
            <w:r>
              <w:rPr>
                <w:b/>
                <w:sz w:val="20"/>
                <w:szCs w:val="20"/>
              </w:rPr>
              <w:t>)</w:t>
            </w:r>
          </w:p>
        </w:tc>
        <w:tc>
          <w:tcPr>
            <w:tcW w:w="1064" w:type="dxa"/>
            <w:vAlign w:val="center"/>
          </w:tcPr>
          <w:p w:rsidR="004F3F42" w:rsidRDefault="009A1E75">
            <w:pPr>
              <w:autoSpaceDE w:val="0"/>
              <w:autoSpaceDN w:val="0"/>
              <w:adjustRightInd w:val="0"/>
              <w:jc w:val="right"/>
              <w:rPr>
                <w:color w:val="000000"/>
                <w:sz w:val="20"/>
                <w:szCs w:val="20"/>
              </w:rPr>
            </w:pPr>
            <w:r>
              <w:rPr>
                <w:color w:val="000000"/>
                <w:sz w:val="20"/>
                <w:szCs w:val="20"/>
              </w:rPr>
              <w:t>0.818</w:t>
            </w:r>
            <w:r>
              <w:rPr>
                <w:color w:val="000000"/>
                <w:sz w:val="20"/>
                <w:szCs w:val="20"/>
                <w:vertAlign w:val="superscript"/>
              </w:rPr>
              <w:t>*</w:t>
            </w:r>
          </w:p>
        </w:tc>
        <w:tc>
          <w:tcPr>
            <w:tcW w:w="1402" w:type="dxa"/>
            <w:vAlign w:val="center"/>
          </w:tcPr>
          <w:p w:rsidR="004F3F42" w:rsidRDefault="009A1E75">
            <w:pPr>
              <w:autoSpaceDE w:val="0"/>
              <w:autoSpaceDN w:val="0"/>
              <w:adjustRightInd w:val="0"/>
              <w:jc w:val="right"/>
              <w:rPr>
                <w:color w:val="000000"/>
                <w:sz w:val="20"/>
                <w:szCs w:val="20"/>
              </w:rPr>
            </w:pPr>
            <w:r>
              <w:rPr>
                <w:color w:val="000000"/>
                <w:sz w:val="20"/>
                <w:szCs w:val="20"/>
              </w:rPr>
              <w:t>0.860</w:t>
            </w:r>
            <w:r>
              <w:rPr>
                <w:color w:val="000000"/>
                <w:sz w:val="20"/>
                <w:szCs w:val="20"/>
                <w:vertAlign w:val="superscript"/>
              </w:rPr>
              <w:t>*</w:t>
            </w:r>
          </w:p>
        </w:tc>
        <w:tc>
          <w:tcPr>
            <w:tcW w:w="1149" w:type="dxa"/>
            <w:vAlign w:val="center"/>
          </w:tcPr>
          <w:p w:rsidR="004F3F42" w:rsidRDefault="009A1E75">
            <w:pPr>
              <w:autoSpaceDE w:val="0"/>
              <w:autoSpaceDN w:val="0"/>
              <w:adjustRightInd w:val="0"/>
              <w:jc w:val="right"/>
              <w:rPr>
                <w:color w:val="000000"/>
                <w:sz w:val="20"/>
                <w:szCs w:val="20"/>
              </w:rPr>
            </w:pPr>
            <w:r>
              <w:rPr>
                <w:color w:val="000000"/>
                <w:sz w:val="20"/>
                <w:szCs w:val="20"/>
              </w:rPr>
              <w:t>0.590</w:t>
            </w:r>
            <w:r>
              <w:rPr>
                <w:color w:val="000000"/>
                <w:sz w:val="20"/>
                <w:szCs w:val="20"/>
                <w:vertAlign w:val="superscript"/>
              </w:rPr>
              <w:t>*</w:t>
            </w:r>
          </w:p>
        </w:tc>
        <w:tc>
          <w:tcPr>
            <w:tcW w:w="1078" w:type="dxa"/>
            <w:vAlign w:val="center"/>
          </w:tcPr>
          <w:p w:rsidR="004F3F42" w:rsidRDefault="009A1E75">
            <w:pPr>
              <w:autoSpaceDE w:val="0"/>
              <w:autoSpaceDN w:val="0"/>
              <w:adjustRightInd w:val="0"/>
              <w:jc w:val="right"/>
              <w:rPr>
                <w:color w:val="000000"/>
                <w:sz w:val="20"/>
                <w:szCs w:val="20"/>
              </w:rPr>
            </w:pPr>
            <w:r>
              <w:rPr>
                <w:color w:val="000000"/>
                <w:sz w:val="20"/>
                <w:szCs w:val="20"/>
              </w:rPr>
              <w:t>1</w:t>
            </w:r>
          </w:p>
        </w:tc>
        <w:tc>
          <w:tcPr>
            <w:tcW w:w="1236" w:type="dxa"/>
          </w:tcPr>
          <w:p w:rsidR="004F3F42" w:rsidRDefault="004F3F42">
            <w:pPr>
              <w:autoSpaceDE w:val="0"/>
              <w:autoSpaceDN w:val="0"/>
              <w:adjustRightInd w:val="0"/>
              <w:rPr>
                <w:sz w:val="20"/>
                <w:szCs w:val="20"/>
              </w:rPr>
            </w:pPr>
          </w:p>
        </w:tc>
        <w:tc>
          <w:tcPr>
            <w:tcW w:w="1158" w:type="dxa"/>
          </w:tcPr>
          <w:p w:rsidR="004F3F42" w:rsidRDefault="004F3F42">
            <w:pPr>
              <w:autoSpaceDE w:val="0"/>
              <w:autoSpaceDN w:val="0"/>
              <w:adjustRightInd w:val="0"/>
              <w:rPr>
                <w:sz w:val="20"/>
                <w:szCs w:val="20"/>
              </w:rPr>
            </w:pPr>
          </w:p>
        </w:tc>
        <w:tc>
          <w:tcPr>
            <w:tcW w:w="1141" w:type="dxa"/>
          </w:tcPr>
          <w:p w:rsidR="004F3F42" w:rsidRDefault="004F3F42">
            <w:pPr>
              <w:autoSpaceDE w:val="0"/>
              <w:autoSpaceDN w:val="0"/>
              <w:adjustRightInd w:val="0"/>
              <w:rPr>
                <w:sz w:val="20"/>
                <w:szCs w:val="20"/>
              </w:rPr>
            </w:pPr>
          </w:p>
        </w:tc>
      </w:tr>
      <w:tr w:rsidR="004F3F42">
        <w:trPr>
          <w:trHeight w:val="335"/>
          <w:jc w:val="center"/>
        </w:trPr>
        <w:tc>
          <w:tcPr>
            <w:tcW w:w="1167" w:type="dxa"/>
          </w:tcPr>
          <w:p w:rsidR="004F3F42" w:rsidRDefault="009A1E75">
            <w:pPr>
              <w:autoSpaceDE w:val="0"/>
              <w:autoSpaceDN w:val="0"/>
              <w:adjustRightInd w:val="0"/>
              <w:rPr>
                <w:b/>
                <w:sz w:val="20"/>
                <w:szCs w:val="20"/>
              </w:rPr>
            </w:pPr>
            <w:r>
              <w:rPr>
                <w:b/>
                <w:sz w:val="20"/>
                <w:szCs w:val="20"/>
              </w:rPr>
              <w:t>Dbc(g/cm</w:t>
            </w:r>
            <w:r>
              <w:rPr>
                <w:b/>
                <w:sz w:val="20"/>
                <w:szCs w:val="20"/>
                <w:vertAlign w:val="superscript"/>
              </w:rPr>
              <w:t>3</w:t>
            </w:r>
            <w:r>
              <w:rPr>
                <w:b/>
                <w:sz w:val="20"/>
                <w:szCs w:val="20"/>
              </w:rPr>
              <w:t>)</w:t>
            </w:r>
          </w:p>
        </w:tc>
        <w:tc>
          <w:tcPr>
            <w:tcW w:w="1064" w:type="dxa"/>
            <w:vAlign w:val="center"/>
          </w:tcPr>
          <w:p w:rsidR="004F3F42" w:rsidRDefault="009A1E75">
            <w:pPr>
              <w:autoSpaceDE w:val="0"/>
              <w:autoSpaceDN w:val="0"/>
              <w:adjustRightInd w:val="0"/>
              <w:jc w:val="right"/>
              <w:rPr>
                <w:color w:val="000000"/>
                <w:sz w:val="20"/>
                <w:szCs w:val="20"/>
              </w:rPr>
            </w:pPr>
            <w:r>
              <w:rPr>
                <w:color w:val="000000"/>
                <w:sz w:val="20"/>
                <w:szCs w:val="20"/>
              </w:rPr>
              <w:t>0.816</w:t>
            </w:r>
            <w:r>
              <w:rPr>
                <w:color w:val="000000"/>
                <w:sz w:val="20"/>
                <w:szCs w:val="20"/>
                <w:vertAlign w:val="superscript"/>
              </w:rPr>
              <w:t>*</w:t>
            </w:r>
          </w:p>
        </w:tc>
        <w:tc>
          <w:tcPr>
            <w:tcW w:w="1402" w:type="dxa"/>
            <w:vAlign w:val="center"/>
          </w:tcPr>
          <w:p w:rsidR="004F3F42" w:rsidRDefault="009A1E75">
            <w:pPr>
              <w:autoSpaceDE w:val="0"/>
              <w:autoSpaceDN w:val="0"/>
              <w:adjustRightInd w:val="0"/>
              <w:jc w:val="right"/>
              <w:rPr>
                <w:color w:val="000000"/>
                <w:sz w:val="20"/>
                <w:szCs w:val="20"/>
              </w:rPr>
            </w:pPr>
            <w:r>
              <w:rPr>
                <w:color w:val="000000"/>
                <w:sz w:val="20"/>
                <w:szCs w:val="20"/>
              </w:rPr>
              <w:t>0.227</w:t>
            </w:r>
            <w:r>
              <w:rPr>
                <w:color w:val="000000"/>
                <w:sz w:val="20"/>
                <w:szCs w:val="20"/>
                <w:vertAlign w:val="superscript"/>
              </w:rPr>
              <w:t>*</w:t>
            </w:r>
          </w:p>
        </w:tc>
        <w:tc>
          <w:tcPr>
            <w:tcW w:w="1149" w:type="dxa"/>
            <w:vAlign w:val="center"/>
          </w:tcPr>
          <w:p w:rsidR="004F3F42" w:rsidRDefault="009A1E75">
            <w:pPr>
              <w:autoSpaceDE w:val="0"/>
              <w:autoSpaceDN w:val="0"/>
              <w:adjustRightInd w:val="0"/>
              <w:jc w:val="right"/>
              <w:rPr>
                <w:color w:val="000000"/>
                <w:sz w:val="20"/>
                <w:szCs w:val="20"/>
              </w:rPr>
            </w:pPr>
            <w:r>
              <w:rPr>
                <w:color w:val="000000"/>
                <w:sz w:val="20"/>
                <w:szCs w:val="20"/>
              </w:rPr>
              <w:t>0.426</w:t>
            </w:r>
            <w:r>
              <w:rPr>
                <w:color w:val="000000"/>
                <w:sz w:val="20"/>
                <w:szCs w:val="20"/>
                <w:vertAlign w:val="superscript"/>
              </w:rPr>
              <w:t>*</w:t>
            </w:r>
          </w:p>
        </w:tc>
        <w:tc>
          <w:tcPr>
            <w:tcW w:w="1078" w:type="dxa"/>
            <w:vAlign w:val="center"/>
          </w:tcPr>
          <w:p w:rsidR="004F3F42" w:rsidRDefault="009A1E75">
            <w:pPr>
              <w:autoSpaceDE w:val="0"/>
              <w:autoSpaceDN w:val="0"/>
              <w:adjustRightInd w:val="0"/>
              <w:jc w:val="right"/>
              <w:rPr>
                <w:color w:val="000000"/>
                <w:sz w:val="20"/>
                <w:szCs w:val="20"/>
              </w:rPr>
            </w:pPr>
            <w:r>
              <w:rPr>
                <w:color w:val="000000"/>
                <w:sz w:val="20"/>
                <w:szCs w:val="20"/>
              </w:rPr>
              <w:t>0.354</w:t>
            </w:r>
            <w:r>
              <w:rPr>
                <w:color w:val="000000"/>
                <w:sz w:val="20"/>
                <w:szCs w:val="20"/>
                <w:vertAlign w:val="superscript"/>
              </w:rPr>
              <w:t>*</w:t>
            </w:r>
          </w:p>
        </w:tc>
        <w:tc>
          <w:tcPr>
            <w:tcW w:w="1236" w:type="dxa"/>
            <w:vAlign w:val="center"/>
          </w:tcPr>
          <w:p w:rsidR="004F3F42" w:rsidRDefault="009A1E75">
            <w:pPr>
              <w:autoSpaceDE w:val="0"/>
              <w:autoSpaceDN w:val="0"/>
              <w:adjustRightInd w:val="0"/>
              <w:jc w:val="right"/>
              <w:rPr>
                <w:color w:val="000000"/>
                <w:sz w:val="20"/>
                <w:szCs w:val="20"/>
              </w:rPr>
            </w:pPr>
            <w:r>
              <w:rPr>
                <w:color w:val="000000"/>
                <w:sz w:val="20"/>
                <w:szCs w:val="20"/>
              </w:rPr>
              <w:t>1</w:t>
            </w:r>
          </w:p>
        </w:tc>
        <w:tc>
          <w:tcPr>
            <w:tcW w:w="1158" w:type="dxa"/>
          </w:tcPr>
          <w:p w:rsidR="004F3F42" w:rsidRDefault="004F3F42">
            <w:pPr>
              <w:autoSpaceDE w:val="0"/>
              <w:autoSpaceDN w:val="0"/>
              <w:adjustRightInd w:val="0"/>
              <w:rPr>
                <w:sz w:val="20"/>
                <w:szCs w:val="20"/>
              </w:rPr>
            </w:pPr>
          </w:p>
        </w:tc>
        <w:tc>
          <w:tcPr>
            <w:tcW w:w="1141" w:type="dxa"/>
          </w:tcPr>
          <w:p w:rsidR="004F3F42" w:rsidRDefault="004F3F42">
            <w:pPr>
              <w:autoSpaceDE w:val="0"/>
              <w:autoSpaceDN w:val="0"/>
              <w:adjustRightInd w:val="0"/>
              <w:rPr>
                <w:sz w:val="20"/>
                <w:szCs w:val="20"/>
              </w:rPr>
            </w:pPr>
          </w:p>
        </w:tc>
      </w:tr>
      <w:tr w:rsidR="004F3F42">
        <w:trPr>
          <w:trHeight w:val="335"/>
          <w:jc w:val="center"/>
        </w:trPr>
        <w:tc>
          <w:tcPr>
            <w:tcW w:w="1167" w:type="dxa"/>
          </w:tcPr>
          <w:p w:rsidR="004F3F42" w:rsidRDefault="009A1E75">
            <w:pPr>
              <w:autoSpaceDE w:val="0"/>
              <w:autoSpaceDN w:val="0"/>
              <w:adjustRightInd w:val="0"/>
              <w:rPr>
                <w:b/>
                <w:sz w:val="20"/>
                <w:szCs w:val="20"/>
              </w:rPr>
            </w:pPr>
            <w:r>
              <w:rPr>
                <w:b/>
                <w:sz w:val="20"/>
                <w:szCs w:val="20"/>
              </w:rPr>
              <w:t>B(Mg)</w:t>
            </w:r>
          </w:p>
        </w:tc>
        <w:tc>
          <w:tcPr>
            <w:tcW w:w="1064" w:type="dxa"/>
            <w:vAlign w:val="center"/>
          </w:tcPr>
          <w:p w:rsidR="004F3F42" w:rsidRDefault="009A1E75">
            <w:pPr>
              <w:autoSpaceDE w:val="0"/>
              <w:autoSpaceDN w:val="0"/>
              <w:adjustRightInd w:val="0"/>
              <w:jc w:val="right"/>
              <w:rPr>
                <w:color w:val="000000"/>
                <w:sz w:val="20"/>
                <w:szCs w:val="20"/>
              </w:rPr>
            </w:pPr>
            <w:r>
              <w:rPr>
                <w:color w:val="000000"/>
                <w:sz w:val="20"/>
                <w:szCs w:val="20"/>
              </w:rPr>
              <w:t>1.000</w:t>
            </w:r>
            <w:r>
              <w:rPr>
                <w:color w:val="000000"/>
                <w:sz w:val="20"/>
                <w:szCs w:val="20"/>
                <w:vertAlign w:val="superscript"/>
              </w:rPr>
              <w:t>*</w:t>
            </w:r>
          </w:p>
        </w:tc>
        <w:tc>
          <w:tcPr>
            <w:tcW w:w="1402" w:type="dxa"/>
            <w:vAlign w:val="center"/>
          </w:tcPr>
          <w:p w:rsidR="004F3F42" w:rsidRDefault="009A1E75">
            <w:pPr>
              <w:autoSpaceDE w:val="0"/>
              <w:autoSpaceDN w:val="0"/>
              <w:adjustRightInd w:val="0"/>
              <w:jc w:val="right"/>
              <w:rPr>
                <w:color w:val="000000"/>
                <w:sz w:val="20"/>
                <w:szCs w:val="20"/>
              </w:rPr>
            </w:pPr>
            <w:r>
              <w:rPr>
                <w:color w:val="000000"/>
                <w:sz w:val="20"/>
                <w:szCs w:val="20"/>
              </w:rPr>
              <w:t>0.641</w:t>
            </w:r>
            <w:r>
              <w:rPr>
                <w:color w:val="000000"/>
                <w:sz w:val="20"/>
                <w:szCs w:val="20"/>
                <w:vertAlign w:val="superscript"/>
              </w:rPr>
              <w:t>*</w:t>
            </w:r>
          </w:p>
        </w:tc>
        <w:tc>
          <w:tcPr>
            <w:tcW w:w="1149" w:type="dxa"/>
            <w:vAlign w:val="center"/>
          </w:tcPr>
          <w:p w:rsidR="004F3F42" w:rsidRDefault="009A1E75">
            <w:pPr>
              <w:autoSpaceDE w:val="0"/>
              <w:autoSpaceDN w:val="0"/>
              <w:adjustRightInd w:val="0"/>
              <w:jc w:val="right"/>
              <w:rPr>
                <w:color w:val="000000"/>
                <w:sz w:val="20"/>
                <w:szCs w:val="20"/>
              </w:rPr>
            </w:pPr>
            <w:r>
              <w:rPr>
                <w:color w:val="000000"/>
                <w:sz w:val="20"/>
                <w:szCs w:val="20"/>
              </w:rPr>
              <w:t>0.651</w:t>
            </w:r>
            <w:r>
              <w:rPr>
                <w:color w:val="000000"/>
                <w:sz w:val="20"/>
                <w:szCs w:val="20"/>
                <w:vertAlign w:val="superscript"/>
              </w:rPr>
              <w:t>*</w:t>
            </w:r>
          </w:p>
        </w:tc>
        <w:tc>
          <w:tcPr>
            <w:tcW w:w="1078" w:type="dxa"/>
            <w:vAlign w:val="center"/>
          </w:tcPr>
          <w:p w:rsidR="004F3F42" w:rsidRDefault="009A1E75">
            <w:pPr>
              <w:autoSpaceDE w:val="0"/>
              <w:autoSpaceDN w:val="0"/>
              <w:adjustRightInd w:val="0"/>
              <w:jc w:val="right"/>
              <w:rPr>
                <w:color w:val="000000"/>
                <w:sz w:val="20"/>
                <w:szCs w:val="20"/>
              </w:rPr>
            </w:pPr>
            <w:r>
              <w:rPr>
                <w:color w:val="000000"/>
                <w:sz w:val="20"/>
                <w:szCs w:val="20"/>
              </w:rPr>
              <w:t>0.818</w:t>
            </w:r>
            <w:r>
              <w:rPr>
                <w:color w:val="000000"/>
                <w:sz w:val="20"/>
                <w:szCs w:val="20"/>
                <w:vertAlign w:val="superscript"/>
              </w:rPr>
              <w:t>*</w:t>
            </w:r>
          </w:p>
        </w:tc>
        <w:tc>
          <w:tcPr>
            <w:tcW w:w="1236" w:type="dxa"/>
            <w:vAlign w:val="center"/>
          </w:tcPr>
          <w:p w:rsidR="004F3F42" w:rsidRDefault="009A1E75">
            <w:pPr>
              <w:autoSpaceDE w:val="0"/>
              <w:autoSpaceDN w:val="0"/>
              <w:adjustRightInd w:val="0"/>
              <w:jc w:val="right"/>
              <w:rPr>
                <w:color w:val="000000"/>
                <w:sz w:val="20"/>
                <w:szCs w:val="20"/>
              </w:rPr>
            </w:pPr>
            <w:r>
              <w:rPr>
                <w:color w:val="000000"/>
                <w:sz w:val="20"/>
                <w:szCs w:val="20"/>
              </w:rPr>
              <w:t>0.816</w:t>
            </w:r>
            <w:r>
              <w:rPr>
                <w:color w:val="000000"/>
                <w:sz w:val="20"/>
                <w:szCs w:val="20"/>
                <w:vertAlign w:val="superscript"/>
              </w:rPr>
              <w:t>*</w:t>
            </w:r>
          </w:p>
        </w:tc>
        <w:tc>
          <w:tcPr>
            <w:tcW w:w="1158" w:type="dxa"/>
            <w:vAlign w:val="center"/>
          </w:tcPr>
          <w:p w:rsidR="004F3F42" w:rsidRDefault="009A1E75">
            <w:pPr>
              <w:autoSpaceDE w:val="0"/>
              <w:autoSpaceDN w:val="0"/>
              <w:adjustRightInd w:val="0"/>
              <w:jc w:val="right"/>
              <w:rPr>
                <w:color w:val="000000"/>
                <w:sz w:val="20"/>
                <w:szCs w:val="20"/>
              </w:rPr>
            </w:pPr>
            <w:r>
              <w:rPr>
                <w:color w:val="000000"/>
                <w:sz w:val="20"/>
                <w:szCs w:val="20"/>
              </w:rPr>
              <w:t>1</w:t>
            </w:r>
          </w:p>
        </w:tc>
        <w:tc>
          <w:tcPr>
            <w:tcW w:w="1141" w:type="dxa"/>
          </w:tcPr>
          <w:p w:rsidR="004F3F42" w:rsidRDefault="004F3F42">
            <w:pPr>
              <w:autoSpaceDE w:val="0"/>
              <w:autoSpaceDN w:val="0"/>
              <w:adjustRightInd w:val="0"/>
              <w:rPr>
                <w:sz w:val="20"/>
                <w:szCs w:val="20"/>
              </w:rPr>
            </w:pPr>
          </w:p>
        </w:tc>
      </w:tr>
      <w:tr w:rsidR="004F3F42">
        <w:trPr>
          <w:trHeight w:val="372"/>
          <w:jc w:val="center"/>
        </w:trPr>
        <w:tc>
          <w:tcPr>
            <w:tcW w:w="1167" w:type="dxa"/>
          </w:tcPr>
          <w:p w:rsidR="004F3F42" w:rsidRDefault="009A1E75">
            <w:pPr>
              <w:autoSpaceDE w:val="0"/>
              <w:autoSpaceDN w:val="0"/>
              <w:adjustRightInd w:val="0"/>
              <w:rPr>
                <w:b/>
                <w:sz w:val="20"/>
                <w:szCs w:val="20"/>
              </w:rPr>
            </w:pPr>
            <w:r>
              <w:rPr>
                <w:b/>
                <w:sz w:val="20"/>
                <w:szCs w:val="20"/>
              </w:rPr>
              <w:t>FC(MgC)</w:t>
            </w:r>
          </w:p>
        </w:tc>
        <w:tc>
          <w:tcPr>
            <w:tcW w:w="1064" w:type="dxa"/>
            <w:vAlign w:val="center"/>
          </w:tcPr>
          <w:p w:rsidR="004F3F42" w:rsidRDefault="009A1E75">
            <w:pPr>
              <w:autoSpaceDE w:val="0"/>
              <w:autoSpaceDN w:val="0"/>
              <w:adjustRightInd w:val="0"/>
              <w:jc w:val="right"/>
              <w:rPr>
                <w:color w:val="000000"/>
                <w:sz w:val="20"/>
                <w:szCs w:val="20"/>
              </w:rPr>
            </w:pPr>
            <w:r>
              <w:rPr>
                <w:color w:val="000000"/>
                <w:sz w:val="20"/>
                <w:szCs w:val="20"/>
              </w:rPr>
              <w:t>0.622</w:t>
            </w:r>
            <w:r>
              <w:rPr>
                <w:color w:val="000000"/>
                <w:sz w:val="20"/>
                <w:szCs w:val="20"/>
                <w:vertAlign w:val="superscript"/>
              </w:rPr>
              <w:t>*</w:t>
            </w:r>
          </w:p>
        </w:tc>
        <w:tc>
          <w:tcPr>
            <w:tcW w:w="1402" w:type="dxa"/>
            <w:vAlign w:val="center"/>
          </w:tcPr>
          <w:p w:rsidR="004F3F42" w:rsidRDefault="009A1E75">
            <w:pPr>
              <w:autoSpaceDE w:val="0"/>
              <w:autoSpaceDN w:val="0"/>
              <w:adjustRightInd w:val="0"/>
              <w:jc w:val="right"/>
              <w:rPr>
                <w:color w:val="000000"/>
                <w:sz w:val="20"/>
                <w:szCs w:val="20"/>
              </w:rPr>
            </w:pPr>
            <w:r>
              <w:rPr>
                <w:color w:val="000000"/>
                <w:sz w:val="20"/>
                <w:szCs w:val="20"/>
              </w:rPr>
              <w:t>-0.032*</w:t>
            </w:r>
          </w:p>
        </w:tc>
        <w:tc>
          <w:tcPr>
            <w:tcW w:w="1149" w:type="dxa"/>
            <w:vAlign w:val="center"/>
          </w:tcPr>
          <w:p w:rsidR="004F3F42" w:rsidRDefault="009A1E75">
            <w:pPr>
              <w:autoSpaceDE w:val="0"/>
              <w:autoSpaceDN w:val="0"/>
              <w:adjustRightInd w:val="0"/>
              <w:jc w:val="right"/>
              <w:rPr>
                <w:color w:val="000000"/>
                <w:sz w:val="20"/>
                <w:szCs w:val="20"/>
              </w:rPr>
            </w:pPr>
            <w:r>
              <w:rPr>
                <w:color w:val="000000"/>
                <w:sz w:val="20"/>
                <w:szCs w:val="20"/>
              </w:rPr>
              <w:t>0.151</w:t>
            </w:r>
            <w:r>
              <w:rPr>
                <w:color w:val="000000"/>
                <w:sz w:val="20"/>
                <w:szCs w:val="20"/>
                <w:vertAlign w:val="superscript"/>
              </w:rPr>
              <w:t>*</w:t>
            </w:r>
          </w:p>
        </w:tc>
        <w:tc>
          <w:tcPr>
            <w:tcW w:w="1078" w:type="dxa"/>
            <w:vAlign w:val="center"/>
          </w:tcPr>
          <w:p w:rsidR="004F3F42" w:rsidRDefault="009A1E75">
            <w:pPr>
              <w:autoSpaceDE w:val="0"/>
              <w:autoSpaceDN w:val="0"/>
              <w:adjustRightInd w:val="0"/>
              <w:jc w:val="right"/>
              <w:rPr>
                <w:color w:val="000000"/>
                <w:sz w:val="20"/>
                <w:szCs w:val="20"/>
              </w:rPr>
            </w:pPr>
            <w:r>
              <w:rPr>
                <w:color w:val="000000"/>
                <w:sz w:val="20"/>
                <w:szCs w:val="20"/>
              </w:rPr>
              <w:t>0.182</w:t>
            </w:r>
            <w:r>
              <w:rPr>
                <w:color w:val="000000"/>
                <w:sz w:val="20"/>
                <w:szCs w:val="20"/>
                <w:vertAlign w:val="superscript"/>
              </w:rPr>
              <w:t>*</w:t>
            </w:r>
          </w:p>
        </w:tc>
        <w:tc>
          <w:tcPr>
            <w:tcW w:w="1236" w:type="dxa"/>
            <w:vAlign w:val="center"/>
          </w:tcPr>
          <w:p w:rsidR="004F3F42" w:rsidRDefault="009A1E75">
            <w:pPr>
              <w:autoSpaceDE w:val="0"/>
              <w:autoSpaceDN w:val="0"/>
              <w:adjustRightInd w:val="0"/>
              <w:jc w:val="right"/>
              <w:rPr>
                <w:color w:val="000000"/>
                <w:sz w:val="20"/>
                <w:szCs w:val="20"/>
              </w:rPr>
            </w:pPr>
            <w:r>
              <w:rPr>
                <w:color w:val="000000"/>
                <w:sz w:val="20"/>
                <w:szCs w:val="20"/>
              </w:rPr>
              <w:t>0.873</w:t>
            </w:r>
            <w:r>
              <w:rPr>
                <w:color w:val="000000"/>
                <w:sz w:val="20"/>
                <w:szCs w:val="20"/>
                <w:vertAlign w:val="superscript"/>
              </w:rPr>
              <w:t>*</w:t>
            </w:r>
          </w:p>
        </w:tc>
        <w:tc>
          <w:tcPr>
            <w:tcW w:w="1158" w:type="dxa"/>
            <w:vAlign w:val="center"/>
          </w:tcPr>
          <w:p w:rsidR="004F3F42" w:rsidRDefault="009A1E75">
            <w:pPr>
              <w:autoSpaceDE w:val="0"/>
              <w:autoSpaceDN w:val="0"/>
              <w:adjustRightInd w:val="0"/>
              <w:jc w:val="right"/>
              <w:rPr>
                <w:color w:val="000000"/>
                <w:sz w:val="20"/>
                <w:szCs w:val="20"/>
              </w:rPr>
            </w:pPr>
            <w:r>
              <w:rPr>
                <w:color w:val="000000"/>
                <w:sz w:val="20"/>
                <w:szCs w:val="20"/>
              </w:rPr>
              <w:t>0.622</w:t>
            </w:r>
            <w:r>
              <w:rPr>
                <w:color w:val="000000"/>
                <w:sz w:val="20"/>
                <w:szCs w:val="20"/>
                <w:vertAlign w:val="superscript"/>
              </w:rPr>
              <w:t>*</w:t>
            </w:r>
          </w:p>
        </w:tc>
        <w:tc>
          <w:tcPr>
            <w:tcW w:w="1141" w:type="dxa"/>
            <w:vAlign w:val="center"/>
          </w:tcPr>
          <w:p w:rsidR="004F3F42" w:rsidRDefault="009A1E75">
            <w:pPr>
              <w:autoSpaceDE w:val="0"/>
              <w:autoSpaceDN w:val="0"/>
              <w:adjustRightInd w:val="0"/>
              <w:jc w:val="right"/>
              <w:rPr>
                <w:color w:val="000000"/>
                <w:sz w:val="20"/>
                <w:szCs w:val="20"/>
              </w:rPr>
            </w:pPr>
            <w:r>
              <w:rPr>
                <w:color w:val="000000"/>
                <w:sz w:val="20"/>
                <w:szCs w:val="20"/>
              </w:rPr>
              <w:t>1</w:t>
            </w:r>
          </w:p>
        </w:tc>
      </w:tr>
    </w:tbl>
    <w:p w:rsidR="004F3F42" w:rsidRDefault="009A1E75">
      <w:pPr>
        <w:autoSpaceDE w:val="0"/>
        <w:autoSpaceDN w:val="0"/>
        <w:adjustRightInd w:val="0"/>
        <w:jc w:val="both"/>
        <w:rPr>
          <w:sz w:val="20"/>
          <w:szCs w:val="20"/>
        </w:rPr>
      </w:pPr>
      <w:r>
        <w:rPr>
          <w:sz w:val="20"/>
          <w:szCs w:val="20"/>
        </w:rPr>
        <w:t>CS(MgC)- Carbon stock of log, Diameter (cm) ,  L(m)- Commercial length, V(m</w:t>
      </w:r>
      <w:r>
        <w:rPr>
          <w:sz w:val="20"/>
          <w:szCs w:val="20"/>
          <w:vertAlign w:val="superscript"/>
        </w:rPr>
        <w:t>3</w:t>
      </w:r>
      <w:r>
        <w:rPr>
          <w:sz w:val="20"/>
          <w:szCs w:val="20"/>
        </w:rPr>
        <w:t>) – Volume of log,dbc(g/cm</w:t>
      </w:r>
      <w:r>
        <w:rPr>
          <w:sz w:val="20"/>
          <w:szCs w:val="20"/>
          <w:vertAlign w:val="superscript"/>
        </w:rPr>
        <w:t>3</w:t>
      </w:r>
      <w:r>
        <w:rPr>
          <w:sz w:val="20"/>
          <w:szCs w:val="20"/>
        </w:rPr>
        <w:t xml:space="preserve">)-Wood basic density, B(mg)-Wood biomass and FC(MgC); Carbon stored in wood product </w:t>
      </w:r>
      <w:r>
        <w:rPr>
          <w:bCs/>
          <w:sz w:val="20"/>
          <w:szCs w:val="20"/>
        </w:rPr>
        <w:t>(*≤ p-value 0.05)</w:t>
      </w:r>
      <w:r>
        <w:rPr>
          <w:sz w:val="20"/>
          <w:szCs w:val="20"/>
        </w:rPr>
        <w:t>.</w:t>
      </w:r>
    </w:p>
    <w:p w:rsidR="003353F2" w:rsidRDefault="003353F2">
      <w:pPr>
        <w:rPr>
          <w:sz w:val="20"/>
          <w:szCs w:val="20"/>
        </w:rPr>
      </w:pPr>
    </w:p>
    <w:p w:rsidR="004F3F42" w:rsidRDefault="009A1E75">
      <w:pPr>
        <w:rPr>
          <w:sz w:val="20"/>
          <w:szCs w:val="20"/>
        </w:rPr>
      </w:pPr>
      <w:r>
        <w:rPr>
          <w:sz w:val="20"/>
          <w:szCs w:val="20"/>
        </w:rPr>
        <w:t>Table 4. Sawn log carbon stock models</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236"/>
        <w:gridCol w:w="2012"/>
        <w:gridCol w:w="903"/>
        <w:gridCol w:w="992"/>
        <w:gridCol w:w="1038"/>
        <w:gridCol w:w="1236"/>
        <w:gridCol w:w="1521"/>
      </w:tblGrid>
      <w:tr w:rsidR="004F3F42">
        <w:trPr>
          <w:trHeight w:val="289"/>
          <w:jc w:val="center"/>
        </w:trPr>
        <w:tc>
          <w:tcPr>
            <w:tcW w:w="1236" w:type="dxa"/>
            <w:vMerge w:val="restart"/>
          </w:tcPr>
          <w:p w:rsidR="004F3F42" w:rsidRDefault="009A1E75">
            <w:pPr>
              <w:autoSpaceDE w:val="0"/>
              <w:autoSpaceDN w:val="0"/>
              <w:adjustRightInd w:val="0"/>
              <w:jc w:val="both"/>
              <w:rPr>
                <w:b/>
                <w:sz w:val="20"/>
                <w:szCs w:val="20"/>
              </w:rPr>
            </w:pPr>
            <w:r>
              <w:rPr>
                <w:rFonts w:eastAsia="TimesNewRoman"/>
                <w:b/>
                <w:sz w:val="20"/>
                <w:szCs w:val="20"/>
              </w:rPr>
              <w:t>Function</w:t>
            </w:r>
          </w:p>
        </w:tc>
        <w:tc>
          <w:tcPr>
            <w:tcW w:w="2012" w:type="dxa"/>
            <w:vMerge w:val="restart"/>
          </w:tcPr>
          <w:p w:rsidR="004F3F42" w:rsidRDefault="009A1E75">
            <w:pPr>
              <w:autoSpaceDE w:val="0"/>
              <w:autoSpaceDN w:val="0"/>
              <w:adjustRightInd w:val="0"/>
              <w:jc w:val="both"/>
              <w:rPr>
                <w:rFonts w:eastAsia="TimesNewRoman"/>
                <w:b/>
                <w:sz w:val="20"/>
                <w:szCs w:val="20"/>
              </w:rPr>
            </w:pPr>
            <w:r>
              <w:rPr>
                <w:rFonts w:eastAsia="TimesNewRoman"/>
                <w:b/>
                <w:sz w:val="20"/>
                <w:szCs w:val="20"/>
              </w:rPr>
              <w:t>Model Form</w:t>
            </w:r>
          </w:p>
        </w:tc>
        <w:tc>
          <w:tcPr>
            <w:tcW w:w="5690" w:type="dxa"/>
            <w:gridSpan w:val="5"/>
          </w:tcPr>
          <w:p w:rsidR="004F3F42" w:rsidRDefault="009A1E75">
            <w:pPr>
              <w:autoSpaceDE w:val="0"/>
              <w:autoSpaceDN w:val="0"/>
              <w:adjustRightInd w:val="0"/>
              <w:jc w:val="both"/>
              <w:rPr>
                <w:rFonts w:eastAsia="TimesNewRoman"/>
                <w:b/>
                <w:sz w:val="20"/>
                <w:szCs w:val="20"/>
              </w:rPr>
            </w:pPr>
            <w:r>
              <w:rPr>
                <w:rFonts w:eastAsia="TimesNewRoman"/>
                <w:b/>
                <w:sz w:val="20"/>
                <w:szCs w:val="20"/>
              </w:rPr>
              <w:t>Model Statistics</w:t>
            </w:r>
          </w:p>
        </w:tc>
      </w:tr>
      <w:tr w:rsidR="004F3F42">
        <w:trPr>
          <w:trHeight w:val="266"/>
          <w:jc w:val="center"/>
        </w:trPr>
        <w:tc>
          <w:tcPr>
            <w:tcW w:w="1236" w:type="dxa"/>
            <w:vMerge/>
            <w:tcBorders>
              <w:bottom w:val="single" w:sz="4" w:space="0" w:color="auto"/>
            </w:tcBorders>
          </w:tcPr>
          <w:p w:rsidR="004F3F42" w:rsidRDefault="004F3F42">
            <w:pPr>
              <w:autoSpaceDE w:val="0"/>
              <w:autoSpaceDN w:val="0"/>
              <w:adjustRightInd w:val="0"/>
              <w:jc w:val="both"/>
              <w:rPr>
                <w:b/>
                <w:sz w:val="20"/>
                <w:szCs w:val="20"/>
              </w:rPr>
            </w:pPr>
          </w:p>
        </w:tc>
        <w:tc>
          <w:tcPr>
            <w:tcW w:w="2012" w:type="dxa"/>
            <w:vMerge/>
            <w:tcBorders>
              <w:bottom w:val="single" w:sz="4" w:space="0" w:color="auto"/>
            </w:tcBorders>
          </w:tcPr>
          <w:p w:rsidR="004F3F42" w:rsidRDefault="004F3F42">
            <w:pPr>
              <w:autoSpaceDE w:val="0"/>
              <w:autoSpaceDN w:val="0"/>
              <w:adjustRightInd w:val="0"/>
              <w:jc w:val="both"/>
              <w:rPr>
                <w:b/>
                <w:sz w:val="20"/>
                <w:szCs w:val="20"/>
              </w:rPr>
            </w:pPr>
          </w:p>
        </w:tc>
        <w:tc>
          <w:tcPr>
            <w:tcW w:w="903" w:type="dxa"/>
            <w:tcBorders>
              <w:bottom w:val="single" w:sz="4" w:space="0" w:color="auto"/>
            </w:tcBorders>
          </w:tcPr>
          <w:p w:rsidR="004F3F42" w:rsidRDefault="009A1E75">
            <w:pPr>
              <w:autoSpaceDE w:val="0"/>
              <w:autoSpaceDN w:val="0"/>
              <w:adjustRightInd w:val="0"/>
              <w:jc w:val="both"/>
              <w:rPr>
                <w:b/>
                <w:sz w:val="20"/>
                <w:szCs w:val="20"/>
              </w:rPr>
            </w:pPr>
            <w:r>
              <w:rPr>
                <w:b/>
                <w:sz w:val="20"/>
                <w:szCs w:val="20"/>
              </w:rPr>
              <w:t>R</w:t>
            </w:r>
            <w:r>
              <w:rPr>
                <w:b/>
                <w:sz w:val="20"/>
                <w:szCs w:val="20"/>
                <w:vertAlign w:val="superscript"/>
              </w:rPr>
              <w:t>2</w:t>
            </w:r>
          </w:p>
        </w:tc>
        <w:tc>
          <w:tcPr>
            <w:tcW w:w="992" w:type="dxa"/>
            <w:tcBorders>
              <w:bottom w:val="single" w:sz="4" w:space="0" w:color="auto"/>
            </w:tcBorders>
          </w:tcPr>
          <w:p w:rsidR="004F3F42" w:rsidRDefault="009A1E75">
            <w:pPr>
              <w:autoSpaceDE w:val="0"/>
              <w:autoSpaceDN w:val="0"/>
              <w:adjustRightInd w:val="0"/>
              <w:jc w:val="both"/>
              <w:rPr>
                <w:b/>
                <w:sz w:val="20"/>
                <w:szCs w:val="20"/>
              </w:rPr>
            </w:pPr>
            <w:r>
              <w:rPr>
                <w:b/>
                <w:sz w:val="20"/>
                <w:szCs w:val="20"/>
              </w:rPr>
              <w:t>RMSE</w:t>
            </w:r>
          </w:p>
        </w:tc>
        <w:tc>
          <w:tcPr>
            <w:tcW w:w="1038" w:type="dxa"/>
            <w:tcBorders>
              <w:bottom w:val="single" w:sz="4" w:space="0" w:color="auto"/>
            </w:tcBorders>
          </w:tcPr>
          <w:p w:rsidR="004F3F42" w:rsidRDefault="009A1E75">
            <w:pPr>
              <w:autoSpaceDE w:val="0"/>
              <w:autoSpaceDN w:val="0"/>
              <w:adjustRightInd w:val="0"/>
              <w:jc w:val="both"/>
              <w:rPr>
                <w:b/>
                <w:sz w:val="20"/>
                <w:szCs w:val="20"/>
              </w:rPr>
            </w:pPr>
            <w:r>
              <w:rPr>
                <w:b/>
                <w:sz w:val="20"/>
                <w:szCs w:val="20"/>
              </w:rPr>
              <w:t>AIC</w:t>
            </w:r>
          </w:p>
        </w:tc>
        <w:tc>
          <w:tcPr>
            <w:tcW w:w="1236" w:type="dxa"/>
            <w:tcBorders>
              <w:bottom w:val="single" w:sz="4" w:space="0" w:color="auto"/>
            </w:tcBorders>
          </w:tcPr>
          <w:p w:rsidR="004F3F42" w:rsidRDefault="009A1E75">
            <w:pPr>
              <w:autoSpaceDE w:val="0"/>
              <w:autoSpaceDN w:val="0"/>
              <w:adjustRightInd w:val="0"/>
              <w:jc w:val="both"/>
              <w:rPr>
                <w:b/>
                <w:sz w:val="20"/>
                <w:szCs w:val="20"/>
              </w:rPr>
            </w:pPr>
            <w:r>
              <w:rPr>
                <w:b/>
                <w:sz w:val="20"/>
                <w:szCs w:val="20"/>
              </w:rPr>
              <w:t>F-value</w:t>
            </w:r>
          </w:p>
        </w:tc>
        <w:tc>
          <w:tcPr>
            <w:tcW w:w="1521" w:type="dxa"/>
            <w:tcBorders>
              <w:bottom w:val="single" w:sz="4" w:space="0" w:color="auto"/>
            </w:tcBorders>
          </w:tcPr>
          <w:p w:rsidR="004F3F42" w:rsidRDefault="009A1E75">
            <w:pPr>
              <w:autoSpaceDE w:val="0"/>
              <w:autoSpaceDN w:val="0"/>
              <w:adjustRightInd w:val="0"/>
              <w:jc w:val="both"/>
              <w:rPr>
                <w:b/>
                <w:sz w:val="20"/>
                <w:szCs w:val="20"/>
              </w:rPr>
            </w:pPr>
            <w:r>
              <w:rPr>
                <w:b/>
                <w:sz w:val="20"/>
                <w:szCs w:val="20"/>
              </w:rPr>
              <w:t>MAPE</w:t>
            </w:r>
          </w:p>
        </w:tc>
      </w:tr>
      <w:tr w:rsidR="004F3F42">
        <w:trPr>
          <w:trHeight w:val="289"/>
          <w:jc w:val="center"/>
        </w:trPr>
        <w:tc>
          <w:tcPr>
            <w:tcW w:w="1236" w:type="dxa"/>
          </w:tcPr>
          <w:p w:rsidR="004F3F42" w:rsidRDefault="009A1E75">
            <w:pPr>
              <w:autoSpaceDE w:val="0"/>
              <w:autoSpaceDN w:val="0"/>
              <w:adjustRightInd w:val="0"/>
              <w:jc w:val="both"/>
              <w:rPr>
                <w:sz w:val="20"/>
                <w:szCs w:val="20"/>
              </w:rPr>
            </w:pPr>
            <w:r>
              <w:rPr>
                <w:sz w:val="20"/>
                <w:szCs w:val="20"/>
              </w:rPr>
              <w:t>Simple</w:t>
            </w:r>
          </w:p>
        </w:tc>
        <w:tc>
          <w:tcPr>
            <w:tcW w:w="2012" w:type="dxa"/>
          </w:tcPr>
          <w:p w:rsidR="004F3F42" w:rsidRDefault="009A1E75">
            <w:pPr>
              <w:autoSpaceDE w:val="0"/>
              <w:autoSpaceDN w:val="0"/>
              <w:adjustRightInd w:val="0"/>
              <w:jc w:val="both"/>
              <w:rPr>
                <w:sz w:val="20"/>
                <w:szCs w:val="20"/>
              </w:rPr>
            </w:pPr>
            <w:r>
              <w:rPr>
                <w:sz w:val="20"/>
                <w:szCs w:val="20"/>
              </w:rPr>
              <w:t>CS= β</w:t>
            </w:r>
            <w:r>
              <w:rPr>
                <w:sz w:val="20"/>
                <w:szCs w:val="20"/>
                <w:vertAlign w:val="subscript"/>
              </w:rPr>
              <w:t>0+</w:t>
            </w:r>
            <w:r>
              <w:rPr>
                <w:sz w:val="20"/>
                <w:szCs w:val="20"/>
              </w:rPr>
              <w:t xml:space="preserve"> β</w:t>
            </w:r>
            <w:r>
              <w:rPr>
                <w:sz w:val="20"/>
                <w:szCs w:val="20"/>
                <w:vertAlign w:val="subscript"/>
              </w:rPr>
              <w:t>1</w:t>
            </w:r>
            <w:r>
              <w:rPr>
                <w:sz w:val="20"/>
                <w:szCs w:val="20"/>
              </w:rPr>
              <w:t xml:space="preserve"> Vol</w:t>
            </w:r>
          </w:p>
        </w:tc>
        <w:tc>
          <w:tcPr>
            <w:tcW w:w="903" w:type="dxa"/>
          </w:tcPr>
          <w:p w:rsidR="004F3F42" w:rsidRDefault="009A1E75">
            <w:pPr>
              <w:autoSpaceDE w:val="0"/>
              <w:autoSpaceDN w:val="0"/>
              <w:adjustRightInd w:val="0"/>
              <w:jc w:val="both"/>
              <w:rPr>
                <w:sz w:val="20"/>
                <w:szCs w:val="20"/>
              </w:rPr>
            </w:pPr>
            <w:r>
              <w:rPr>
                <w:sz w:val="20"/>
                <w:szCs w:val="20"/>
              </w:rPr>
              <w:t>0.669</w:t>
            </w:r>
          </w:p>
        </w:tc>
        <w:tc>
          <w:tcPr>
            <w:tcW w:w="992" w:type="dxa"/>
          </w:tcPr>
          <w:p w:rsidR="004F3F42" w:rsidRDefault="009A1E75">
            <w:pPr>
              <w:autoSpaceDE w:val="0"/>
              <w:autoSpaceDN w:val="0"/>
              <w:adjustRightInd w:val="0"/>
              <w:jc w:val="both"/>
              <w:rPr>
                <w:color w:val="000000"/>
                <w:sz w:val="20"/>
                <w:szCs w:val="20"/>
              </w:rPr>
            </w:pPr>
            <w:r>
              <w:rPr>
                <w:color w:val="000000"/>
                <w:sz w:val="20"/>
                <w:szCs w:val="20"/>
              </w:rPr>
              <w:t>0.40</w:t>
            </w:r>
          </w:p>
        </w:tc>
        <w:tc>
          <w:tcPr>
            <w:tcW w:w="1038" w:type="dxa"/>
          </w:tcPr>
          <w:p w:rsidR="004F3F42" w:rsidRDefault="009A1E75">
            <w:pPr>
              <w:autoSpaceDE w:val="0"/>
              <w:autoSpaceDN w:val="0"/>
              <w:adjustRightInd w:val="0"/>
              <w:jc w:val="both"/>
              <w:rPr>
                <w:sz w:val="20"/>
                <w:szCs w:val="20"/>
              </w:rPr>
            </w:pPr>
            <w:r>
              <w:rPr>
                <w:sz w:val="20"/>
                <w:szCs w:val="20"/>
              </w:rPr>
              <w:t>1.059e3</w:t>
            </w:r>
          </w:p>
        </w:tc>
        <w:tc>
          <w:tcPr>
            <w:tcW w:w="1236" w:type="dxa"/>
            <w:vAlign w:val="center"/>
          </w:tcPr>
          <w:p w:rsidR="004F3F42" w:rsidRDefault="009A1E75">
            <w:pPr>
              <w:autoSpaceDE w:val="0"/>
              <w:autoSpaceDN w:val="0"/>
              <w:adjustRightInd w:val="0"/>
              <w:jc w:val="both"/>
              <w:rPr>
                <w:color w:val="000000"/>
                <w:sz w:val="20"/>
                <w:szCs w:val="20"/>
              </w:rPr>
            </w:pPr>
            <w:r>
              <w:rPr>
                <w:color w:val="000000"/>
                <w:sz w:val="20"/>
                <w:szCs w:val="20"/>
              </w:rPr>
              <w:t>1.1e3*</w:t>
            </w:r>
          </w:p>
        </w:tc>
        <w:tc>
          <w:tcPr>
            <w:tcW w:w="1521" w:type="dxa"/>
          </w:tcPr>
          <w:p w:rsidR="004F3F42" w:rsidRDefault="009A1E75">
            <w:pPr>
              <w:autoSpaceDE w:val="0"/>
              <w:autoSpaceDN w:val="0"/>
              <w:adjustRightInd w:val="0"/>
              <w:jc w:val="both"/>
              <w:rPr>
                <w:sz w:val="20"/>
                <w:szCs w:val="20"/>
              </w:rPr>
            </w:pPr>
            <w:r>
              <w:rPr>
                <w:sz w:val="20"/>
                <w:szCs w:val="20"/>
              </w:rPr>
              <w:t>16.36%</w:t>
            </w:r>
          </w:p>
        </w:tc>
      </w:tr>
      <w:tr w:rsidR="004F3F42">
        <w:trPr>
          <w:trHeight w:val="535"/>
          <w:jc w:val="center"/>
        </w:trPr>
        <w:tc>
          <w:tcPr>
            <w:tcW w:w="1236" w:type="dxa"/>
          </w:tcPr>
          <w:p w:rsidR="004F3F42" w:rsidRDefault="009A1E75">
            <w:pPr>
              <w:autoSpaceDE w:val="0"/>
              <w:autoSpaceDN w:val="0"/>
              <w:adjustRightInd w:val="0"/>
              <w:jc w:val="both"/>
              <w:rPr>
                <w:sz w:val="20"/>
                <w:szCs w:val="20"/>
              </w:rPr>
            </w:pPr>
            <w:r>
              <w:rPr>
                <w:sz w:val="20"/>
                <w:szCs w:val="20"/>
              </w:rPr>
              <w:t>Multiple</w:t>
            </w:r>
          </w:p>
        </w:tc>
        <w:tc>
          <w:tcPr>
            <w:tcW w:w="2012" w:type="dxa"/>
          </w:tcPr>
          <w:p w:rsidR="004F3F42" w:rsidRDefault="009A1E75">
            <w:pPr>
              <w:autoSpaceDE w:val="0"/>
              <w:autoSpaceDN w:val="0"/>
              <w:adjustRightInd w:val="0"/>
              <w:rPr>
                <w:sz w:val="20"/>
                <w:szCs w:val="20"/>
              </w:rPr>
            </w:pPr>
            <w:r>
              <w:rPr>
                <w:sz w:val="20"/>
                <w:szCs w:val="20"/>
              </w:rPr>
              <w:t>CS= β</w:t>
            </w:r>
            <w:r>
              <w:rPr>
                <w:sz w:val="20"/>
                <w:szCs w:val="20"/>
                <w:vertAlign w:val="subscript"/>
              </w:rPr>
              <w:t>0+</w:t>
            </w:r>
            <w:r>
              <w:rPr>
                <w:sz w:val="20"/>
                <w:szCs w:val="20"/>
              </w:rPr>
              <w:t xml:space="preserve">  β</w:t>
            </w:r>
            <w:r>
              <w:rPr>
                <w:sz w:val="20"/>
                <w:szCs w:val="20"/>
                <w:vertAlign w:val="subscript"/>
              </w:rPr>
              <w:t>1</w:t>
            </w:r>
            <w:r>
              <w:rPr>
                <w:sz w:val="20"/>
                <w:szCs w:val="20"/>
              </w:rPr>
              <w:t xml:space="preserve">L </w:t>
            </w:r>
            <w:r>
              <w:rPr>
                <w:sz w:val="20"/>
                <w:szCs w:val="20"/>
                <w:vertAlign w:val="subscript"/>
              </w:rPr>
              <w:t>+</w:t>
            </w:r>
            <w:r>
              <w:rPr>
                <w:sz w:val="20"/>
                <w:szCs w:val="20"/>
              </w:rPr>
              <w:t xml:space="preserve"> β</w:t>
            </w:r>
            <w:r>
              <w:rPr>
                <w:sz w:val="20"/>
                <w:szCs w:val="20"/>
                <w:vertAlign w:val="subscript"/>
              </w:rPr>
              <w:t>3</w:t>
            </w:r>
            <w:r>
              <w:rPr>
                <w:sz w:val="20"/>
                <w:szCs w:val="20"/>
              </w:rPr>
              <w:t>Vol</w:t>
            </w:r>
            <w:r>
              <w:rPr>
                <w:sz w:val="20"/>
                <w:szCs w:val="20"/>
                <w:vertAlign w:val="subscript"/>
              </w:rPr>
              <w:t xml:space="preserve"> +</w:t>
            </w:r>
            <w:r>
              <w:rPr>
                <w:sz w:val="20"/>
                <w:szCs w:val="20"/>
              </w:rPr>
              <w:t xml:space="preserve"> β</w:t>
            </w:r>
            <w:r>
              <w:rPr>
                <w:sz w:val="20"/>
                <w:szCs w:val="20"/>
                <w:vertAlign w:val="subscript"/>
              </w:rPr>
              <w:t>4</w:t>
            </w:r>
            <w:r>
              <w:rPr>
                <w:sz w:val="20"/>
                <w:szCs w:val="20"/>
              </w:rPr>
              <w:t>Dbc</w:t>
            </w:r>
          </w:p>
        </w:tc>
        <w:tc>
          <w:tcPr>
            <w:tcW w:w="903" w:type="dxa"/>
          </w:tcPr>
          <w:p w:rsidR="004F3F42" w:rsidRDefault="009A1E75">
            <w:pPr>
              <w:autoSpaceDE w:val="0"/>
              <w:autoSpaceDN w:val="0"/>
              <w:adjustRightInd w:val="0"/>
              <w:rPr>
                <w:sz w:val="20"/>
                <w:szCs w:val="20"/>
              </w:rPr>
            </w:pPr>
            <w:r>
              <w:rPr>
                <w:sz w:val="20"/>
                <w:szCs w:val="20"/>
              </w:rPr>
              <w:t>0.988</w:t>
            </w:r>
          </w:p>
        </w:tc>
        <w:tc>
          <w:tcPr>
            <w:tcW w:w="992" w:type="dxa"/>
          </w:tcPr>
          <w:p w:rsidR="004F3F42" w:rsidRDefault="009A1E75">
            <w:pPr>
              <w:autoSpaceDE w:val="0"/>
              <w:autoSpaceDN w:val="0"/>
              <w:adjustRightInd w:val="0"/>
              <w:rPr>
                <w:color w:val="000000"/>
                <w:sz w:val="20"/>
                <w:szCs w:val="20"/>
              </w:rPr>
            </w:pPr>
            <w:r>
              <w:rPr>
                <w:color w:val="000000"/>
                <w:sz w:val="20"/>
                <w:szCs w:val="20"/>
              </w:rPr>
              <w:t>0.07</w:t>
            </w:r>
          </w:p>
        </w:tc>
        <w:tc>
          <w:tcPr>
            <w:tcW w:w="1038" w:type="dxa"/>
          </w:tcPr>
          <w:p w:rsidR="004F3F42" w:rsidRDefault="009A1E75">
            <w:pPr>
              <w:autoSpaceDE w:val="0"/>
              <w:autoSpaceDN w:val="0"/>
              <w:adjustRightInd w:val="0"/>
              <w:rPr>
                <w:sz w:val="20"/>
                <w:szCs w:val="20"/>
              </w:rPr>
            </w:pPr>
            <w:r>
              <w:rPr>
                <w:sz w:val="20"/>
                <w:szCs w:val="20"/>
              </w:rPr>
              <w:t>981.42</w:t>
            </w:r>
          </w:p>
        </w:tc>
        <w:tc>
          <w:tcPr>
            <w:tcW w:w="1236" w:type="dxa"/>
          </w:tcPr>
          <w:p w:rsidR="004F3F42" w:rsidRDefault="009A1E75">
            <w:pPr>
              <w:autoSpaceDE w:val="0"/>
              <w:autoSpaceDN w:val="0"/>
              <w:adjustRightInd w:val="0"/>
              <w:rPr>
                <w:color w:val="000000"/>
                <w:sz w:val="20"/>
                <w:szCs w:val="20"/>
              </w:rPr>
            </w:pPr>
            <w:r>
              <w:rPr>
                <w:color w:val="000000"/>
                <w:sz w:val="20"/>
                <w:szCs w:val="20"/>
              </w:rPr>
              <w:t>1.5e4*</w:t>
            </w:r>
          </w:p>
        </w:tc>
        <w:tc>
          <w:tcPr>
            <w:tcW w:w="1521" w:type="dxa"/>
          </w:tcPr>
          <w:p w:rsidR="004F3F42" w:rsidRDefault="009A1E75">
            <w:pPr>
              <w:autoSpaceDE w:val="0"/>
              <w:autoSpaceDN w:val="0"/>
              <w:adjustRightInd w:val="0"/>
              <w:rPr>
                <w:color w:val="000000"/>
                <w:sz w:val="20"/>
                <w:szCs w:val="20"/>
              </w:rPr>
            </w:pPr>
            <w:r>
              <w:rPr>
                <w:color w:val="000000"/>
                <w:sz w:val="20"/>
                <w:szCs w:val="20"/>
              </w:rPr>
              <w:t>2.88%</w:t>
            </w:r>
          </w:p>
        </w:tc>
      </w:tr>
      <w:tr w:rsidR="004F3F42">
        <w:trPr>
          <w:trHeight w:val="803"/>
          <w:jc w:val="center"/>
        </w:trPr>
        <w:tc>
          <w:tcPr>
            <w:tcW w:w="1236" w:type="dxa"/>
          </w:tcPr>
          <w:p w:rsidR="004F3F42" w:rsidRDefault="009A1E75">
            <w:pPr>
              <w:autoSpaceDE w:val="0"/>
              <w:autoSpaceDN w:val="0"/>
              <w:adjustRightInd w:val="0"/>
              <w:jc w:val="both"/>
              <w:rPr>
                <w:sz w:val="20"/>
                <w:szCs w:val="20"/>
              </w:rPr>
            </w:pPr>
            <w:r>
              <w:rPr>
                <w:sz w:val="20"/>
                <w:szCs w:val="20"/>
              </w:rPr>
              <w:t>Semi log</w:t>
            </w:r>
          </w:p>
        </w:tc>
        <w:tc>
          <w:tcPr>
            <w:tcW w:w="2012" w:type="dxa"/>
          </w:tcPr>
          <w:p w:rsidR="004F3F42" w:rsidRDefault="009A1E75">
            <w:pPr>
              <w:autoSpaceDE w:val="0"/>
              <w:autoSpaceDN w:val="0"/>
              <w:adjustRightInd w:val="0"/>
              <w:rPr>
                <w:sz w:val="20"/>
                <w:szCs w:val="20"/>
              </w:rPr>
            </w:pPr>
            <w:r>
              <w:rPr>
                <w:sz w:val="20"/>
                <w:szCs w:val="20"/>
              </w:rPr>
              <w:t>InCS= β</w:t>
            </w:r>
            <w:r>
              <w:rPr>
                <w:sz w:val="20"/>
                <w:szCs w:val="20"/>
                <w:vertAlign w:val="subscript"/>
              </w:rPr>
              <w:t>0+</w:t>
            </w:r>
            <w:r>
              <w:rPr>
                <w:sz w:val="20"/>
                <w:szCs w:val="20"/>
              </w:rPr>
              <w:t xml:space="preserve"> β</w:t>
            </w:r>
            <w:r>
              <w:rPr>
                <w:sz w:val="20"/>
                <w:szCs w:val="20"/>
                <w:vertAlign w:val="subscript"/>
              </w:rPr>
              <w:t>1</w:t>
            </w:r>
            <w:r>
              <w:rPr>
                <w:sz w:val="20"/>
                <w:szCs w:val="20"/>
              </w:rPr>
              <w:t xml:space="preserve"> D</w:t>
            </w:r>
            <w:r>
              <w:rPr>
                <w:sz w:val="20"/>
                <w:szCs w:val="20"/>
                <w:vertAlign w:val="subscript"/>
              </w:rPr>
              <w:t xml:space="preserve"> +</w:t>
            </w:r>
            <w:r>
              <w:rPr>
                <w:sz w:val="20"/>
                <w:szCs w:val="20"/>
              </w:rPr>
              <w:t>β</w:t>
            </w:r>
            <w:r>
              <w:rPr>
                <w:sz w:val="20"/>
                <w:szCs w:val="20"/>
                <w:vertAlign w:val="subscript"/>
              </w:rPr>
              <w:t>2</w:t>
            </w:r>
            <w:r>
              <w:rPr>
                <w:sz w:val="20"/>
                <w:szCs w:val="20"/>
              </w:rPr>
              <w:t xml:space="preserve">(L) </w:t>
            </w:r>
            <w:r>
              <w:rPr>
                <w:sz w:val="20"/>
                <w:szCs w:val="20"/>
                <w:vertAlign w:val="subscript"/>
              </w:rPr>
              <w:t xml:space="preserve">+ </w:t>
            </w:r>
            <w:r>
              <w:rPr>
                <w:sz w:val="20"/>
                <w:szCs w:val="20"/>
              </w:rPr>
              <w:t xml:space="preserve"> β</w:t>
            </w:r>
            <w:r>
              <w:rPr>
                <w:sz w:val="20"/>
                <w:szCs w:val="20"/>
                <w:vertAlign w:val="subscript"/>
              </w:rPr>
              <w:t>3</w:t>
            </w:r>
            <w:r>
              <w:rPr>
                <w:sz w:val="20"/>
                <w:szCs w:val="20"/>
              </w:rPr>
              <w:t>Vol</w:t>
            </w:r>
            <w:r>
              <w:rPr>
                <w:sz w:val="20"/>
                <w:szCs w:val="20"/>
                <w:vertAlign w:val="subscript"/>
              </w:rPr>
              <w:t xml:space="preserve"> +</w:t>
            </w:r>
            <w:r>
              <w:rPr>
                <w:sz w:val="20"/>
                <w:szCs w:val="20"/>
              </w:rPr>
              <w:t xml:space="preserve"> β</w:t>
            </w:r>
            <w:r>
              <w:rPr>
                <w:sz w:val="20"/>
                <w:szCs w:val="20"/>
                <w:vertAlign w:val="subscript"/>
              </w:rPr>
              <w:t>4</w:t>
            </w:r>
            <w:r>
              <w:rPr>
                <w:sz w:val="20"/>
                <w:szCs w:val="20"/>
              </w:rPr>
              <w:t>Dbc</w:t>
            </w:r>
            <w:r>
              <w:rPr>
                <w:sz w:val="20"/>
                <w:szCs w:val="20"/>
                <w:vertAlign w:val="subscript"/>
              </w:rPr>
              <w:t xml:space="preserve"> +</w:t>
            </w:r>
            <w:r>
              <w:rPr>
                <w:sz w:val="20"/>
                <w:szCs w:val="20"/>
              </w:rPr>
              <w:t xml:space="preserve"> β</w:t>
            </w:r>
            <w:r>
              <w:rPr>
                <w:sz w:val="20"/>
                <w:szCs w:val="20"/>
                <w:vertAlign w:val="subscript"/>
              </w:rPr>
              <w:t>5</w:t>
            </w:r>
            <w:r>
              <w:rPr>
                <w:sz w:val="20"/>
                <w:szCs w:val="20"/>
              </w:rPr>
              <w:t>B</w:t>
            </w:r>
            <w:r>
              <w:rPr>
                <w:sz w:val="20"/>
                <w:szCs w:val="20"/>
                <w:vertAlign w:val="subscript"/>
              </w:rPr>
              <w:t>+</w:t>
            </w:r>
            <w:r>
              <w:rPr>
                <w:sz w:val="20"/>
                <w:szCs w:val="20"/>
              </w:rPr>
              <w:t xml:space="preserve"> β</w:t>
            </w:r>
            <w:r>
              <w:rPr>
                <w:sz w:val="20"/>
                <w:szCs w:val="20"/>
                <w:vertAlign w:val="subscript"/>
              </w:rPr>
              <w:t>1</w:t>
            </w:r>
            <w:r>
              <w:rPr>
                <w:sz w:val="20"/>
                <w:szCs w:val="20"/>
              </w:rPr>
              <w:t xml:space="preserve"> FC</w:t>
            </w:r>
          </w:p>
        </w:tc>
        <w:tc>
          <w:tcPr>
            <w:tcW w:w="903" w:type="dxa"/>
          </w:tcPr>
          <w:p w:rsidR="004F3F42" w:rsidRDefault="009A1E75">
            <w:pPr>
              <w:autoSpaceDE w:val="0"/>
              <w:autoSpaceDN w:val="0"/>
              <w:adjustRightInd w:val="0"/>
              <w:rPr>
                <w:sz w:val="20"/>
                <w:szCs w:val="20"/>
              </w:rPr>
            </w:pPr>
            <w:r>
              <w:rPr>
                <w:sz w:val="20"/>
                <w:szCs w:val="20"/>
              </w:rPr>
              <w:t>0.997</w:t>
            </w:r>
          </w:p>
        </w:tc>
        <w:tc>
          <w:tcPr>
            <w:tcW w:w="992" w:type="dxa"/>
          </w:tcPr>
          <w:p w:rsidR="004F3F42" w:rsidRDefault="009A1E75">
            <w:pPr>
              <w:autoSpaceDE w:val="0"/>
              <w:autoSpaceDN w:val="0"/>
              <w:adjustRightInd w:val="0"/>
              <w:rPr>
                <w:color w:val="000000"/>
                <w:sz w:val="20"/>
                <w:szCs w:val="20"/>
              </w:rPr>
            </w:pPr>
            <w:r>
              <w:rPr>
                <w:color w:val="000000"/>
                <w:sz w:val="20"/>
                <w:szCs w:val="20"/>
              </w:rPr>
              <w:t>0.00</w:t>
            </w:r>
          </w:p>
        </w:tc>
        <w:tc>
          <w:tcPr>
            <w:tcW w:w="1038" w:type="dxa"/>
          </w:tcPr>
          <w:p w:rsidR="004F3F42" w:rsidRDefault="009A1E75">
            <w:pPr>
              <w:autoSpaceDE w:val="0"/>
              <w:autoSpaceDN w:val="0"/>
              <w:adjustRightInd w:val="0"/>
              <w:rPr>
                <w:sz w:val="20"/>
                <w:szCs w:val="20"/>
              </w:rPr>
            </w:pPr>
            <w:r>
              <w:rPr>
                <w:sz w:val="20"/>
                <w:szCs w:val="20"/>
              </w:rPr>
              <w:t>984.54</w:t>
            </w:r>
          </w:p>
        </w:tc>
        <w:tc>
          <w:tcPr>
            <w:tcW w:w="1236" w:type="dxa"/>
          </w:tcPr>
          <w:p w:rsidR="004F3F42" w:rsidRDefault="009A1E75">
            <w:pPr>
              <w:autoSpaceDE w:val="0"/>
              <w:autoSpaceDN w:val="0"/>
              <w:adjustRightInd w:val="0"/>
              <w:rPr>
                <w:color w:val="000000"/>
                <w:sz w:val="20"/>
                <w:szCs w:val="20"/>
              </w:rPr>
            </w:pPr>
            <w:r>
              <w:rPr>
                <w:color w:val="000000"/>
                <w:sz w:val="20"/>
                <w:szCs w:val="20"/>
              </w:rPr>
              <w:t>2.8e4</w:t>
            </w:r>
            <w:r>
              <w:rPr>
                <w:sz w:val="20"/>
                <w:szCs w:val="20"/>
              </w:rPr>
              <w:t>*</w:t>
            </w:r>
          </w:p>
        </w:tc>
        <w:tc>
          <w:tcPr>
            <w:tcW w:w="1521" w:type="dxa"/>
          </w:tcPr>
          <w:p w:rsidR="004F3F42" w:rsidRDefault="009A1E75">
            <w:pPr>
              <w:autoSpaceDE w:val="0"/>
              <w:autoSpaceDN w:val="0"/>
              <w:adjustRightInd w:val="0"/>
              <w:jc w:val="both"/>
              <w:rPr>
                <w:sz w:val="20"/>
                <w:szCs w:val="20"/>
              </w:rPr>
            </w:pPr>
            <w:r>
              <w:rPr>
                <w:sz w:val="20"/>
                <w:szCs w:val="20"/>
              </w:rPr>
              <w:t>2.20%</w:t>
            </w:r>
          </w:p>
        </w:tc>
      </w:tr>
      <w:tr w:rsidR="004F3F42">
        <w:trPr>
          <w:trHeight w:val="266"/>
          <w:jc w:val="center"/>
        </w:trPr>
        <w:tc>
          <w:tcPr>
            <w:tcW w:w="1236" w:type="dxa"/>
          </w:tcPr>
          <w:p w:rsidR="004F3F42" w:rsidRDefault="009A1E75">
            <w:pPr>
              <w:autoSpaceDE w:val="0"/>
              <w:autoSpaceDN w:val="0"/>
              <w:adjustRightInd w:val="0"/>
              <w:jc w:val="both"/>
              <w:rPr>
                <w:sz w:val="20"/>
                <w:szCs w:val="20"/>
              </w:rPr>
            </w:pPr>
            <w:r>
              <w:rPr>
                <w:sz w:val="20"/>
                <w:szCs w:val="20"/>
              </w:rPr>
              <w:t>Double log</w:t>
            </w:r>
          </w:p>
        </w:tc>
        <w:tc>
          <w:tcPr>
            <w:tcW w:w="2012" w:type="dxa"/>
          </w:tcPr>
          <w:p w:rsidR="004F3F42" w:rsidRDefault="009A1E75">
            <w:pPr>
              <w:autoSpaceDE w:val="0"/>
              <w:autoSpaceDN w:val="0"/>
              <w:adjustRightInd w:val="0"/>
              <w:rPr>
                <w:sz w:val="20"/>
                <w:szCs w:val="20"/>
              </w:rPr>
            </w:pPr>
            <w:r>
              <w:rPr>
                <w:sz w:val="20"/>
                <w:szCs w:val="20"/>
              </w:rPr>
              <w:t>InCS= β</w:t>
            </w:r>
            <w:r>
              <w:rPr>
                <w:sz w:val="20"/>
                <w:szCs w:val="20"/>
                <w:vertAlign w:val="subscript"/>
              </w:rPr>
              <w:t>0+</w:t>
            </w:r>
            <w:r>
              <w:rPr>
                <w:sz w:val="20"/>
                <w:szCs w:val="20"/>
              </w:rPr>
              <w:t xml:space="preserve"> β</w:t>
            </w:r>
            <w:r>
              <w:rPr>
                <w:sz w:val="20"/>
                <w:szCs w:val="20"/>
                <w:vertAlign w:val="subscript"/>
              </w:rPr>
              <w:t>1</w:t>
            </w:r>
            <w:r>
              <w:rPr>
                <w:sz w:val="20"/>
                <w:szCs w:val="20"/>
              </w:rPr>
              <w:t>InDbc</w:t>
            </w:r>
          </w:p>
        </w:tc>
        <w:tc>
          <w:tcPr>
            <w:tcW w:w="903" w:type="dxa"/>
          </w:tcPr>
          <w:p w:rsidR="004F3F42" w:rsidRDefault="009A1E75">
            <w:pPr>
              <w:autoSpaceDE w:val="0"/>
              <w:autoSpaceDN w:val="0"/>
              <w:adjustRightInd w:val="0"/>
              <w:rPr>
                <w:sz w:val="20"/>
                <w:szCs w:val="20"/>
              </w:rPr>
            </w:pPr>
            <w:r>
              <w:rPr>
                <w:sz w:val="20"/>
                <w:szCs w:val="20"/>
              </w:rPr>
              <w:t>0.696</w:t>
            </w:r>
          </w:p>
        </w:tc>
        <w:tc>
          <w:tcPr>
            <w:tcW w:w="992" w:type="dxa"/>
          </w:tcPr>
          <w:p w:rsidR="004F3F42" w:rsidRDefault="009A1E75">
            <w:pPr>
              <w:autoSpaceDE w:val="0"/>
              <w:autoSpaceDN w:val="0"/>
              <w:adjustRightInd w:val="0"/>
              <w:rPr>
                <w:color w:val="000000"/>
                <w:sz w:val="20"/>
                <w:szCs w:val="20"/>
              </w:rPr>
            </w:pPr>
            <w:r>
              <w:rPr>
                <w:color w:val="000000"/>
                <w:sz w:val="20"/>
                <w:szCs w:val="20"/>
              </w:rPr>
              <w:t>0.16</w:t>
            </w:r>
          </w:p>
        </w:tc>
        <w:tc>
          <w:tcPr>
            <w:tcW w:w="1038" w:type="dxa"/>
          </w:tcPr>
          <w:p w:rsidR="004F3F42" w:rsidRDefault="009A1E75">
            <w:pPr>
              <w:autoSpaceDE w:val="0"/>
              <w:autoSpaceDN w:val="0"/>
              <w:adjustRightInd w:val="0"/>
              <w:rPr>
                <w:color w:val="000000"/>
                <w:sz w:val="20"/>
                <w:szCs w:val="20"/>
              </w:rPr>
            </w:pPr>
            <w:r>
              <w:rPr>
                <w:color w:val="000000"/>
                <w:sz w:val="20"/>
                <w:szCs w:val="20"/>
              </w:rPr>
              <w:t>988.48</w:t>
            </w:r>
          </w:p>
        </w:tc>
        <w:tc>
          <w:tcPr>
            <w:tcW w:w="1236" w:type="dxa"/>
          </w:tcPr>
          <w:p w:rsidR="004F3F42" w:rsidRDefault="009A1E75">
            <w:pPr>
              <w:autoSpaceDE w:val="0"/>
              <w:autoSpaceDN w:val="0"/>
              <w:adjustRightInd w:val="0"/>
              <w:rPr>
                <w:color w:val="000000"/>
                <w:sz w:val="20"/>
                <w:szCs w:val="20"/>
              </w:rPr>
            </w:pPr>
            <w:r>
              <w:rPr>
                <w:color w:val="000000"/>
                <w:sz w:val="20"/>
                <w:szCs w:val="20"/>
              </w:rPr>
              <w:t>1.2e3</w:t>
            </w:r>
            <w:r>
              <w:rPr>
                <w:sz w:val="20"/>
                <w:szCs w:val="20"/>
              </w:rPr>
              <w:t>*</w:t>
            </w:r>
          </w:p>
        </w:tc>
        <w:tc>
          <w:tcPr>
            <w:tcW w:w="1521" w:type="dxa"/>
          </w:tcPr>
          <w:p w:rsidR="004F3F42" w:rsidRDefault="009A1E75">
            <w:pPr>
              <w:autoSpaceDE w:val="0"/>
              <w:autoSpaceDN w:val="0"/>
              <w:adjustRightInd w:val="0"/>
              <w:jc w:val="both"/>
              <w:rPr>
                <w:sz w:val="20"/>
                <w:szCs w:val="20"/>
              </w:rPr>
            </w:pPr>
            <w:r>
              <w:rPr>
                <w:sz w:val="20"/>
                <w:szCs w:val="20"/>
              </w:rPr>
              <w:t>21.77%</w:t>
            </w:r>
          </w:p>
        </w:tc>
      </w:tr>
      <w:tr w:rsidR="004F3F42">
        <w:trPr>
          <w:trHeight w:val="535"/>
          <w:jc w:val="center"/>
        </w:trPr>
        <w:tc>
          <w:tcPr>
            <w:tcW w:w="1236" w:type="dxa"/>
          </w:tcPr>
          <w:p w:rsidR="004F3F42" w:rsidRDefault="009A1E75">
            <w:pPr>
              <w:autoSpaceDE w:val="0"/>
              <w:autoSpaceDN w:val="0"/>
              <w:adjustRightInd w:val="0"/>
              <w:jc w:val="both"/>
              <w:rPr>
                <w:sz w:val="20"/>
                <w:szCs w:val="20"/>
              </w:rPr>
            </w:pPr>
            <w:r>
              <w:rPr>
                <w:color w:val="000000"/>
                <w:sz w:val="20"/>
                <w:szCs w:val="20"/>
              </w:rPr>
              <w:t>Quadratic</w:t>
            </w:r>
          </w:p>
        </w:tc>
        <w:tc>
          <w:tcPr>
            <w:tcW w:w="2012" w:type="dxa"/>
          </w:tcPr>
          <w:p w:rsidR="004F3F42" w:rsidRDefault="009A1E75">
            <w:pPr>
              <w:autoSpaceDE w:val="0"/>
              <w:autoSpaceDN w:val="0"/>
              <w:adjustRightInd w:val="0"/>
              <w:rPr>
                <w:sz w:val="20"/>
                <w:szCs w:val="20"/>
              </w:rPr>
            </w:pPr>
            <w:r>
              <w:rPr>
                <w:sz w:val="20"/>
                <w:szCs w:val="20"/>
              </w:rPr>
              <w:t>InCS= β</w:t>
            </w:r>
            <w:r>
              <w:rPr>
                <w:sz w:val="20"/>
                <w:szCs w:val="20"/>
                <w:vertAlign w:val="subscript"/>
              </w:rPr>
              <w:t>0+</w:t>
            </w:r>
            <w:r>
              <w:rPr>
                <w:sz w:val="20"/>
                <w:szCs w:val="20"/>
              </w:rPr>
              <w:t xml:space="preserve"> β</w:t>
            </w:r>
            <w:r>
              <w:rPr>
                <w:sz w:val="20"/>
                <w:szCs w:val="20"/>
                <w:vertAlign w:val="subscript"/>
              </w:rPr>
              <w:t xml:space="preserve">1 </w:t>
            </w:r>
            <w:r>
              <w:rPr>
                <w:sz w:val="20"/>
                <w:szCs w:val="20"/>
              </w:rPr>
              <w:t>D</w:t>
            </w:r>
            <w:r>
              <w:rPr>
                <w:sz w:val="20"/>
                <w:szCs w:val="20"/>
                <w:vertAlign w:val="superscript"/>
              </w:rPr>
              <w:t>2</w:t>
            </w:r>
            <w:r>
              <w:rPr>
                <w:sz w:val="20"/>
                <w:szCs w:val="20"/>
                <w:vertAlign w:val="subscript"/>
              </w:rPr>
              <w:t>+</w:t>
            </w:r>
            <w:r>
              <w:rPr>
                <w:sz w:val="20"/>
                <w:szCs w:val="20"/>
              </w:rPr>
              <w:t xml:space="preserve"> β</w:t>
            </w:r>
            <w:r>
              <w:rPr>
                <w:sz w:val="20"/>
                <w:szCs w:val="20"/>
                <w:vertAlign w:val="subscript"/>
              </w:rPr>
              <w:t>2</w:t>
            </w:r>
            <w:r>
              <w:rPr>
                <w:sz w:val="20"/>
                <w:szCs w:val="20"/>
              </w:rPr>
              <w:t>FC</w:t>
            </w:r>
            <w:r>
              <w:rPr>
                <w:sz w:val="20"/>
                <w:szCs w:val="20"/>
                <w:vertAlign w:val="superscript"/>
              </w:rPr>
              <w:t>2</w:t>
            </w:r>
          </w:p>
        </w:tc>
        <w:tc>
          <w:tcPr>
            <w:tcW w:w="903" w:type="dxa"/>
          </w:tcPr>
          <w:p w:rsidR="004F3F42" w:rsidRDefault="009A1E75">
            <w:pPr>
              <w:autoSpaceDE w:val="0"/>
              <w:autoSpaceDN w:val="0"/>
              <w:adjustRightInd w:val="0"/>
              <w:rPr>
                <w:sz w:val="20"/>
                <w:szCs w:val="20"/>
              </w:rPr>
            </w:pPr>
            <w:r>
              <w:rPr>
                <w:sz w:val="20"/>
                <w:szCs w:val="20"/>
              </w:rPr>
              <w:t>0.893</w:t>
            </w:r>
          </w:p>
        </w:tc>
        <w:tc>
          <w:tcPr>
            <w:tcW w:w="992" w:type="dxa"/>
          </w:tcPr>
          <w:p w:rsidR="004F3F42" w:rsidRDefault="009A1E75">
            <w:pPr>
              <w:autoSpaceDE w:val="0"/>
              <w:autoSpaceDN w:val="0"/>
              <w:adjustRightInd w:val="0"/>
              <w:rPr>
                <w:color w:val="000000"/>
                <w:sz w:val="20"/>
                <w:szCs w:val="20"/>
              </w:rPr>
            </w:pPr>
            <w:r>
              <w:rPr>
                <w:color w:val="000000"/>
                <w:sz w:val="20"/>
                <w:szCs w:val="20"/>
              </w:rPr>
              <w:t>0.10</w:t>
            </w:r>
          </w:p>
        </w:tc>
        <w:tc>
          <w:tcPr>
            <w:tcW w:w="1038" w:type="dxa"/>
          </w:tcPr>
          <w:p w:rsidR="004F3F42" w:rsidRDefault="009A1E75">
            <w:pPr>
              <w:autoSpaceDE w:val="0"/>
              <w:autoSpaceDN w:val="0"/>
              <w:adjustRightInd w:val="0"/>
              <w:rPr>
                <w:sz w:val="20"/>
                <w:szCs w:val="20"/>
              </w:rPr>
            </w:pPr>
            <w:r>
              <w:rPr>
                <w:sz w:val="20"/>
                <w:szCs w:val="20"/>
              </w:rPr>
              <w:t>981.34</w:t>
            </w:r>
          </w:p>
        </w:tc>
        <w:tc>
          <w:tcPr>
            <w:tcW w:w="1236" w:type="dxa"/>
          </w:tcPr>
          <w:p w:rsidR="004F3F42" w:rsidRDefault="009A1E75">
            <w:pPr>
              <w:autoSpaceDE w:val="0"/>
              <w:autoSpaceDN w:val="0"/>
              <w:adjustRightInd w:val="0"/>
              <w:rPr>
                <w:color w:val="000000"/>
                <w:sz w:val="20"/>
                <w:szCs w:val="20"/>
              </w:rPr>
            </w:pPr>
            <w:r>
              <w:rPr>
                <w:color w:val="000000"/>
                <w:sz w:val="20"/>
                <w:szCs w:val="20"/>
              </w:rPr>
              <w:t>2.193e3*</w:t>
            </w:r>
          </w:p>
        </w:tc>
        <w:tc>
          <w:tcPr>
            <w:tcW w:w="1521" w:type="dxa"/>
          </w:tcPr>
          <w:p w:rsidR="004F3F42" w:rsidRDefault="009A1E75">
            <w:pPr>
              <w:autoSpaceDE w:val="0"/>
              <w:autoSpaceDN w:val="0"/>
              <w:adjustRightInd w:val="0"/>
              <w:jc w:val="both"/>
              <w:rPr>
                <w:sz w:val="20"/>
                <w:szCs w:val="20"/>
              </w:rPr>
            </w:pPr>
            <w:r>
              <w:rPr>
                <w:sz w:val="20"/>
                <w:szCs w:val="20"/>
              </w:rPr>
              <w:t>9.32%</w:t>
            </w:r>
          </w:p>
        </w:tc>
      </w:tr>
      <w:tr w:rsidR="004F3F42">
        <w:trPr>
          <w:trHeight w:val="266"/>
          <w:jc w:val="center"/>
        </w:trPr>
        <w:tc>
          <w:tcPr>
            <w:tcW w:w="1236" w:type="dxa"/>
          </w:tcPr>
          <w:p w:rsidR="004F3F42" w:rsidRDefault="009A1E75">
            <w:pPr>
              <w:autoSpaceDE w:val="0"/>
              <w:autoSpaceDN w:val="0"/>
              <w:adjustRightInd w:val="0"/>
              <w:jc w:val="both"/>
              <w:rPr>
                <w:sz w:val="20"/>
                <w:szCs w:val="20"/>
              </w:rPr>
            </w:pPr>
            <w:r>
              <w:rPr>
                <w:sz w:val="20"/>
                <w:szCs w:val="20"/>
              </w:rPr>
              <w:t>Cubic</w:t>
            </w:r>
          </w:p>
        </w:tc>
        <w:tc>
          <w:tcPr>
            <w:tcW w:w="2012" w:type="dxa"/>
          </w:tcPr>
          <w:p w:rsidR="004F3F42" w:rsidRDefault="009A1E75">
            <w:pPr>
              <w:autoSpaceDE w:val="0"/>
              <w:autoSpaceDN w:val="0"/>
              <w:adjustRightInd w:val="0"/>
              <w:rPr>
                <w:sz w:val="20"/>
                <w:szCs w:val="20"/>
              </w:rPr>
            </w:pPr>
            <w:r>
              <w:rPr>
                <w:sz w:val="20"/>
                <w:szCs w:val="20"/>
              </w:rPr>
              <w:t>InCS= β</w:t>
            </w:r>
            <w:r>
              <w:rPr>
                <w:sz w:val="20"/>
                <w:szCs w:val="20"/>
                <w:vertAlign w:val="subscript"/>
              </w:rPr>
              <w:t>0+</w:t>
            </w:r>
            <w:r>
              <w:rPr>
                <w:sz w:val="20"/>
                <w:szCs w:val="20"/>
              </w:rPr>
              <w:t xml:space="preserve"> β</w:t>
            </w:r>
            <w:r>
              <w:rPr>
                <w:sz w:val="20"/>
                <w:szCs w:val="20"/>
                <w:vertAlign w:val="subscript"/>
              </w:rPr>
              <w:t xml:space="preserve">1 </w:t>
            </w:r>
            <w:r>
              <w:rPr>
                <w:sz w:val="20"/>
                <w:szCs w:val="20"/>
              </w:rPr>
              <w:t>B</w:t>
            </w:r>
            <w:r>
              <w:rPr>
                <w:sz w:val="20"/>
                <w:szCs w:val="20"/>
                <w:vertAlign w:val="superscript"/>
              </w:rPr>
              <w:t>2</w:t>
            </w:r>
            <w:r>
              <w:rPr>
                <w:sz w:val="20"/>
                <w:szCs w:val="20"/>
                <w:vertAlign w:val="subscript"/>
              </w:rPr>
              <w:t>+</w:t>
            </w:r>
            <w:r>
              <w:rPr>
                <w:sz w:val="20"/>
                <w:szCs w:val="20"/>
              </w:rPr>
              <w:t xml:space="preserve"> β</w:t>
            </w:r>
            <w:r>
              <w:rPr>
                <w:sz w:val="20"/>
                <w:szCs w:val="20"/>
                <w:vertAlign w:val="subscript"/>
              </w:rPr>
              <w:t>2</w:t>
            </w:r>
            <w:r>
              <w:rPr>
                <w:sz w:val="20"/>
                <w:szCs w:val="20"/>
              </w:rPr>
              <w:t>B</w:t>
            </w:r>
            <w:r>
              <w:rPr>
                <w:sz w:val="20"/>
                <w:szCs w:val="20"/>
                <w:vertAlign w:val="superscript"/>
              </w:rPr>
              <w:t>3</w:t>
            </w:r>
          </w:p>
        </w:tc>
        <w:tc>
          <w:tcPr>
            <w:tcW w:w="903" w:type="dxa"/>
          </w:tcPr>
          <w:p w:rsidR="004F3F42" w:rsidRDefault="009A1E75">
            <w:pPr>
              <w:autoSpaceDE w:val="0"/>
              <w:autoSpaceDN w:val="0"/>
              <w:adjustRightInd w:val="0"/>
              <w:rPr>
                <w:sz w:val="20"/>
                <w:szCs w:val="20"/>
              </w:rPr>
            </w:pPr>
            <w:r>
              <w:rPr>
                <w:sz w:val="20"/>
                <w:szCs w:val="20"/>
              </w:rPr>
              <w:t>0.983</w:t>
            </w:r>
          </w:p>
        </w:tc>
        <w:tc>
          <w:tcPr>
            <w:tcW w:w="992" w:type="dxa"/>
          </w:tcPr>
          <w:p w:rsidR="004F3F42" w:rsidRDefault="009A1E75">
            <w:pPr>
              <w:autoSpaceDE w:val="0"/>
              <w:autoSpaceDN w:val="0"/>
              <w:adjustRightInd w:val="0"/>
              <w:rPr>
                <w:color w:val="000000"/>
                <w:sz w:val="20"/>
                <w:szCs w:val="20"/>
              </w:rPr>
            </w:pPr>
            <w:r>
              <w:rPr>
                <w:color w:val="000000"/>
                <w:sz w:val="20"/>
                <w:szCs w:val="20"/>
              </w:rPr>
              <w:t>0.03</w:t>
            </w:r>
          </w:p>
        </w:tc>
        <w:tc>
          <w:tcPr>
            <w:tcW w:w="1038" w:type="dxa"/>
          </w:tcPr>
          <w:p w:rsidR="004F3F42" w:rsidRDefault="009A1E75">
            <w:pPr>
              <w:autoSpaceDE w:val="0"/>
              <w:autoSpaceDN w:val="0"/>
              <w:adjustRightInd w:val="0"/>
              <w:rPr>
                <w:sz w:val="20"/>
                <w:szCs w:val="20"/>
              </w:rPr>
            </w:pPr>
            <w:r>
              <w:rPr>
                <w:sz w:val="20"/>
                <w:szCs w:val="20"/>
              </w:rPr>
              <w:t>977.21</w:t>
            </w:r>
          </w:p>
        </w:tc>
        <w:tc>
          <w:tcPr>
            <w:tcW w:w="1236" w:type="dxa"/>
          </w:tcPr>
          <w:p w:rsidR="004F3F42" w:rsidRDefault="009A1E75">
            <w:pPr>
              <w:autoSpaceDE w:val="0"/>
              <w:autoSpaceDN w:val="0"/>
              <w:adjustRightInd w:val="0"/>
              <w:rPr>
                <w:color w:val="000000"/>
                <w:sz w:val="20"/>
                <w:szCs w:val="20"/>
              </w:rPr>
            </w:pPr>
            <w:r>
              <w:rPr>
                <w:color w:val="000000"/>
                <w:sz w:val="20"/>
                <w:szCs w:val="20"/>
              </w:rPr>
              <w:t>1.6e4*</w:t>
            </w:r>
          </w:p>
        </w:tc>
        <w:tc>
          <w:tcPr>
            <w:tcW w:w="1521" w:type="dxa"/>
          </w:tcPr>
          <w:p w:rsidR="004F3F42" w:rsidRDefault="009A1E75">
            <w:pPr>
              <w:autoSpaceDE w:val="0"/>
              <w:autoSpaceDN w:val="0"/>
              <w:adjustRightInd w:val="0"/>
              <w:jc w:val="both"/>
              <w:rPr>
                <w:sz w:val="20"/>
                <w:szCs w:val="20"/>
              </w:rPr>
            </w:pPr>
            <w:r>
              <w:rPr>
                <w:sz w:val="20"/>
                <w:szCs w:val="20"/>
              </w:rPr>
              <w:t>6.35%</w:t>
            </w:r>
          </w:p>
        </w:tc>
      </w:tr>
      <w:tr w:rsidR="004F3F42">
        <w:trPr>
          <w:trHeight w:val="266"/>
          <w:jc w:val="center"/>
        </w:trPr>
        <w:tc>
          <w:tcPr>
            <w:tcW w:w="1236" w:type="dxa"/>
          </w:tcPr>
          <w:p w:rsidR="004F3F42" w:rsidRDefault="009A1E75">
            <w:pPr>
              <w:autoSpaceDE w:val="0"/>
              <w:autoSpaceDN w:val="0"/>
              <w:adjustRightInd w:val="0"/>
              <w:jc w:val="both"/>
              <w:rPr>
                <w:sz w:val="20"/>
                <w:szCs w:val="20"/>
              </w:rPr>
            </w:pPr>
            <w:r>
              <w:rPr>
                <w:sz w:val="20"/>
                <w:szCs w:val="20"/>
              </w:rPr>
              <w:t>Power</w:t>
            </w:r>
          </w:p>
        </w:tc>
        <w:tc>
          <w:tcPr>
            <w:tcW w:w="2012" w:type="dxa"/>
          </w:tcPr>
          <w:p w:rsidR="004F3F42" w:rsidRDefault="009A1E75">
            <w:pPr>
              <w:autoSpaceDE w:val="0"/>
              <w:autoSpaceDN w:val="0"/>
              <w:adjustRightInd w:val="0"/>
              <w:rPr>
                <w:sz w:val="20"/>
                <w:szCs w:val="20"/>
              </w:rPr>
            </w:pPr>
            <w:r>
              <w:rPr>
                <w:sz w:val="20"/>
                <w:szCs w:val="20"/>
              </w:rPr>
              <w:t>CS= β</w:t>
            </w:r>
            <w:r>
              <w:rPr>
                <w:sz w:val="20"/>
                <w:szCs w:val="20"/>
                <w:vertAlign w:val="subscript"/>
              </w:rPr>
              <w:t xml:space="preserve">0 </w:t>
            </w:r>
            <w:r>
              <w:rPr>
                <w:sz w:val="20"/>
                <w:szCs w:val="20"/>
              </w:rPr>
              <w:t>Dbc</w:t>
            </w:r>
            <w:r>
              <w:rPr>
                <w:sz w:val="20"/>
                <w:szCs w:val="20"/>
                <w:vertAlign w:val="superscript"/>
              </w:rPr>
              <w:t>β1</w:t>
            </w:r>
          </w:p>
        </w:tc>
        <w:tc>
          <w:tcPr>
            <w:tcW w:w="903" w:type="dxa"/>
          </w:tcPr>
          <w:p w:rsidR="004F3F42" w:rsidRDefault="009A1E75">
            <w:pPr>
              <w:autoSpaceDE w:val="0"/>
              <w:autoSpaceDN w:val="0"/>
              <w:adjustRightInd w:val="0"/>
              <w:rPr>
                <w:sz w:val="20"/>
                <w:szCs w:val="20"/>
              </w:rPr>
            </w:pPr>
            <w:r>
              <w:rPr>
                <w:sz w:val="20"/>
                <w:szCs w:val="20"/>
              </w:rPr>
              <w:t>0.696</w:t>
            </w:r>
          </w:p>
        </w:tc>
        <w:tc>
          <w:tcPr>
            <w:tcW w:w="992" w:type="dxa"/>
          </w:tcPr>
          <w:p w:rsidR="004F3F42" w:rsidRDefault="009A1E75">
            <w:pPr>
              <w:autoSpaceDE w:val="0"/>
              <w:autoSpaceDN w:val="0"/>
              <w:adjustRightInd w:val="0"/>
              <w:rPr>
                <w:color w:val="000000"/>
                <w:sz w:val="20"/>
                <w:szCs w:val="20"/>
              </w:rPr>
            </w:pPr>
            <w:r>
              <w:rPr>
                <w:color w:val="000000"/>
                <w:sz w:val="20"/>
                <w:szCs w:val="20"/>
              </w:rPr>
              <w:t>0.16</w:t>
            </w:r>
          </w:p>
        </w:tc>
        <w:tc>
          <w:tcPr>
            <w:tcW w:w="1038" w:type="dxa"/>
          </w:tcPr>
          <w:p w:rsidR="004F3F42" w:rsidRDefault="009A1E75">
            <w:pPr>
              <w:autoSpaceDE w:val="0"/>
              <w:autoSpaceDN w:val="0"/>
              <w:adjustRightInd w:val="0"/>
              <w:rPr>
                <w:sz w:val="20"/>
                <w:szCs w:val="20"/>
              </w:rPr>
            </w:pPr>
            <w:r>
              <w:rPr>
                <w:sz w:val="20"/>
                <w:szCs w:val="20"/>
              </w:rPr>
              <w:t>1.059e3</w:t>
            </w:r>
          </w:p>
        </w:tc>
        <w:tc>
          <w:tcPr>
            <w:tcW w:w="1236" w:type="dxa"/>
          </w:tcPr>
          <w:p w:rsidR="004F3F42" w:rsidRDefault="009A1E75">
            <w:pPr>
              <w:autoSpaceDE w:val="0"/>
              <w:autoSpaceDN w:val="0"/>
              <w:adjustRightInd w:val="0"/>
              <w:rPr>
                <w:color w:val="000000"/>
                <w:sz w:val="20"/>
                <w:szCs w:val="20"/>
              </w:rPr>
            </w:pPr>
            <w:r>
              <w:rPr>
                <w:color w:val="000000"/>
                <w:sz w:val="20"/>
                <w:szCs w:val="20"/>
              </w:rPr>
              <w:t>1.20e3*</w:t>
            </w:r>
          </w:p>
        </w:tc>
        <w:tc>
          <w:tcPr>
            <w:tcW w:w="1521" w:type="dxa"/>
          </w:tcPr>
          <w:p w:rsidR="004F3F42" w:rsidRDefault="009A1E75">
            <w:pPr>
              <w:autoSpaceDE w:val="0"/>
              <w:autoSpaceDN w:val="0"/>
              <w:adjustRightInd w:val="0"/>
              <w:jc w:val="both"/>
              <w:rPr>
                <w:sz w:val="20"/>
                <w:szCs w:val="20"/>
              </w:rPr>
            </w:pPr>
            <w:r>
              <w:rPr>
                <w:sz w:val="20"/>
                <w:szCs w:val="20"/>
              </w:rPr>
              <w:t>13.78%</w:t>
            </w:r>
          </w:p>
        </w:tc>
      </w:tr>
      <w:tr w:rsidR="004F3F42">
        <w:trPr>
          <w:trHeight w:val="266"/>
          <w:jc w:val="center"/>
        </w:trPr>
        <w:tc>
          <w:tcPr>
            <w:tcW w:w="1236" w:type="dxa"/>
          </w:tcPr>
          <w:p w:rsidR="004F3F42" w:rsidRDefault="009A1E75">
            <w:pPr>
              <w:autoSpaceDE w:val="0"/>
              <w:autoSpaceDN w:val="0"/>
              <w:adjustRightInd w:val="0"/>
              <w:jc w:val="both"/>
              <w:rPr>
                <w:sz w:val="20"/>
                <w:szCs w:val="20"/>
              </w:rPr>
            </w:pPr>
            <w:r>
              <w:rPr>
                <w:sz w:val="20"/>
                <w:szCs w:val="20"/>
              </w:rPr>
              <w:t>Exponential</w:t>
            </w:r>
          </w:p>
        </w:tc>
        <w:tc>
          <w:tcPr>
            <w:tcW w:w="2012" w:type="dxa"/>
          </w:tcPr>
          <w:p w:rsidR="004F3F42" w:rsidRDefault="009A1E75">
            <w:pPr>
              <w:autoSpaceDE w:val="0"/>
              <w:autoSpaceDN w:val="0"/>
              <w:adjustRightInd w:val="0"/>
              <w:rPr>
                <w:sz w:val="20"/>
                <w:szCs w:val="20"/>
              </w:rPr>
            </w:pPr>
            <w:r>
              <w:rPr>
                <w:sz w:val="20"/>
                <w:szCs w:val="20"/>
              </w:rPr>
              <w:t>CS= β</w:t>
            </w:r>
            <w:r>
              <w:rPr>
                <w:sz w:val="20"/>
                <w:szCs w:val="20"/>
                <w:vertAlign w:val="subscript"/>
              </w:rPr>
              <w:t>0</w:t>
            </w:r>
            <w:r>
              <w:rPr>
                <w:sz w:val="20"/>
                <w:szCs w:val="20"/>
                <w:vertAlign w:val="superscript"/>
              </w:rPr>
              <w:t>β1B</w:t>
            </w:r>
          </w:p>
        </w:tc>
        <w:tc>
          <w:tcPr>
            <w:tcW w:w="903" w:type="dxa"/>
          </w:tcPr>
          <w:p w:rsidR="004F3F42" w:rsidRDefault="009A1E75">
            <w:pPr>
              <w:autoSpaceDE w:val="0"/>
              <w:autoSpaceDN w:val="0"/>
              <w:adjustRightInd w:val="0"/>
              <w:rPr>
                <w:sz w:val="20"/>
                <w:szCs w:val="20"/>
              </w:rPr>
            </w:pPr>
            <w:r>
              <w:rPr>
                <w:sz w:val="20"/>
                <w:szCs w:val="20"/>
              </w:rPr>
              <w:t>0.960</w:t>
            </w:r>
          </w:p>
        </w:tc>
        <w:tc>
          <w:tcPr>
            <w:tcW w:w="992" w:type="dxa"/>
          </w:tcPr>
          <w:p w:rsidR="004F3F42" w:rsidRDefault="009A1E75">
            <w:pPr>
              <w:autoSpaceDE w:val="0"/>
              <w:autoSpaceDN w:val="0"/>
              <w:adjustRightInd w:val="0"/>
              <w:rPr>
                <w:color w:val="000000"/>
                <w:sz w:val="20"/>
                <w:szCs w:val="20"/>
              </w:rPr>
            </w:pPr>
            <w:r>
              <w:rPr>
                <w:color w:val="000000"/>
                <w:sz w:val="20"/>
                <w:szCs w:val="20"/>
              </w:rPr>
              <w:t>0.06</w:t>
            </w:r>
          </w:p>
        </w:tc>
        <w:tc>
          <w:tcPr>
            <w:tcW w:w="1038" w:type="dxa"/>
          </w:tcPr>
          <w:p w:rsidR="004F3F42" w:rsidRDefault="009A1E75">
            <w:pPr>
              <w:autoSpaceDE w:val="0"/>
              <w:autoSpaceDN w:val="0"/>
              <w:adjustRightInd w:val="0"/>
              <w:rPr>
                <w:sz w:val="20"/>
                <w:szCs w:val="20"/>
              </w:rPr>
            </w:pPr>
            <w:r>
              <w:rPr>
                <w:sz w:val="20"/>
                <w:szCs w:val="20"/>
              </w:rPr>
              <w:t>974.40</w:t>
            </w:r>
          </w:p>
        </w:tc>
        <w:tc>
          <w:tcPr>
            <w:tcW w:w="1236" w:type="dxa"/>
          </w:tcPr>
          <w:p w:rsidR="004F3F42" w:rsidRDefault="009A1E75">
            <w:pPr>
              <w:autoSpaceDE w:val="0"/>
              <w:autoSpaceDN w:val="0"/>
              <w:adjustRightInd w:val="0"/>
              <w:rPr>
                <w:color w:val="000000"/>
                <w:sz w:val="20"/>
                <w:szCs w:val="20"/>
              </w:rPr>
            </w:pPr>
            <w:r>
              <w:rPr>
                <w:color w:val="000000"/>
                <w:sz w:val="20"/>
                <w:szCs w:val="20"/>
              </w:rPr>
              <w:t>1.25e4*</w:t>
            </w:r>
          </w:p>
        </w:tc>
        <w:tc>
          <w:tcPr>
            <w:tcW w:w="1521" w:type="dxa"/>
          </w:tcPr>
          <w:p w:rsidR="004F3F42" w:rsidRDefault="009A1E75">
            <w:pPr>
              <w:autoSpaceDE w:val="0"/>
              <w:autoSpaceDN w:val="0"/>
              <w:adjustRightInd w:val="0"/>
              <w:jc w:val="both"/>
              <w:rPr>
                <w:sz w:val="20"/>
                <w:szCs w:val="20"/>
              </w:rPr>
            </w:pPr>
            <w:r>
              <w:rPr>
                <w:sz w:val="20"/>
                <w:szCs w:val="20"/>
              </w:rPr>
              <w:t>49.83%</w:t>
            </w:r>
          </w:p>
        </w:tc>
      </w:tr>
      <w:tr w:rsidR="004F3F42">
        <w:trPr>
          <w:trHeight w:val="535"/>
          <w:jc w:val="center"/>
        </w:trPr>
        <w:tc>
          <w:tcPr>
            <w:tcW w:w="1236" w:type="dxa"/>
          </w:tcPr>
          <w:p w:rsidR="004F3F42" w:rsidRDefault="009A1E75">
            <w:pPr>
              <w:autoSpaceDE w:val="0"/>
              <w:autoSpaceDN w:val="0"/>
              <w:adjustRightInd w:val="0"/>
              <w:jc w:val="both"/>
              <w:rPr>
                <w:sz w:val="20"/>
                <w:szCs w:val="20"/>
              </w:rPr>
            </w:pPr>
            <w:r>
              <w:rPr>
                <w:sz w:val="20"/>
                <w:szCs w:val="20"/>
              </w:rPr>
              <w:t>Combined variable</w:t>
            </w:r>
          </w:p>
        </w:tc>
        <w:tc>
          <w:tcPr>
            <w:tcW w:w="2012" w:type="dxa"/>
          </w:tcPr>
          <w:p w:rsidR="004F3F42" w:rsidRDefault="009A1E75">
            <w:pPr>
              <w:autoSpaceDE w:val="0"/>
              <w:autoSpaceDN w:val="0"/>
              <w:adjustRightInd w:val="0"/>
              <w:rPr>
                <w:sz w:val="20"/>
                <w:szCs w:val="20"/>
              </w:rPr>
            </w:pPr>
            <w:r>
              <w:rPr>
                <w:sz w:val="20"/>
                <w:szCs w:val="20"/>
              </w:rPr>
              <w:t>InCS= β</w:t>
            </w:r>
            <w:r>
              <w:rPr>
                <w:sz w:val="20"/>
                <w:szCs w:val="20"/>
                <w:vertAlign w:val="subscript"/>
              </w:rPr>
              <w:t>0+</w:t>
            </w:r>
            <w:r>
              <w:rPr>
                <w:sz w:val="20"/>
                <w:szCs w:val="20"/>
              </w:rPr>
              <w:t xml:space="preserve"> β</w:t>
            </w:r>
            <w:r>
              <w:rPr>
                <w:sz w:val="20"/>
                <w:szCs w:val="20"/>
                <w:vertAlign w:val="subscript"/>
              </w:rPr>
              <w:t xml:space="preserve">1 </w:t>
            </w:r>
            <w:r>
              <w:rPr>
                <w:sz w:val="20"/>
                <w:szCs w:val="20"/>
              </w:rPr>
              <w:t>(D</w:t>
            </w:r>
            <w:r>
              <w:rPr>
                <w:sz w:val="20"/>
                <w:szCs w:val="20"/>
                <w:vertAlign w:val="superscript"/>
              </w:rPr>
              <w:t>2</w:t>
            </w:r>
            <w:r>
              <w:rPr>
                <w:sz w:val="20"/>
                <w:szCs w:val="20"/>
              </w:rPr>
              <w:t xml:space="preserve">)L </w:t>
            </w:r>
            <w:r>
              <w:rPr>
                <w:sz w:val="20"/>
                <w:szCs w:val="20"/>
                <w:vertAlign w:val="subscript"/>
              </w:rPr>
              <w:t>+</w:t>
            </w:r>
            <w:r>
              <w:rPr>
                <w:sz w:val="20"/>
                <w:szCs w:val="20"/>
              </w:rPr>
              <w:t xml:space="preserve"> β</w:t>
            </w:r>
            <w:r>
              <w:rPr>
                <w:sz w:val="20"/>
                <w:szCs w:val="20"/>
                <w:vertAlign w:val="subscript"/>
              </w:rPr>
              <w:t>2</w:t>
            </w:r>
            <w:r>
              <w:rPr>
                <w:sz w:val="20"/>
                <w:szCs w:val="20"/>
              </w:rPr>
              <w:t>B</w:t>
            </w:r>
          </w:p>
        </w:tc>
        <w:tc>
          <w:tcPr>
            <w:tcW w:w="903" w:type="dxa"/>
          </w:tcPr>
          <w:p w:rsidR="004F3F42" w:rsidRDefault="009A1E75">
            <w:pPr>
              <w:autoSpaceDE w:val="0"/>
              <w:autoSpaceDN w:val="0"/>
              <w:adjustRightInd w:val="0"/>
              <w:rPr>
                <w:sz w:val="20"/>
                <w:szCs w:val="20"/>
              </w:rPr>
            </w:pPr>
            <w:r>
              <w:rPr>
                <w:sz w:val="20"/>
                <w:szCs w:val="20"/>
              </w:rPr>
              <w:t>0.960</w:t>
            </w:r>
          </w:p>
        </w:tc>
        <w:tc>
          <w:tcPr>
            <w:tcW w:w="992" w:type="dxa"/>
          </w:tcPr>
          <w:p w:rsidR="004F3F42" w:rsidRDefault="009A1E75">
            <w:pPr>
              <w:autoSpaceDE w:val="0"/>
              <w:autoSpaceDN w:val="0"/>
              <w:adjustRightInd w:val="0"/>
              <w:rPr>
                <w:color w:val="000000"/>
                <w:sz w:val="20"/>
                <w:szCs w:val="20"/>
              </w:rPr>
            </w:pPr>
            <w:r>
              <w:rPr>
                <w:color w:val="000000"/>
                <w:sz w:val="20"/>
                <w:szCs w:val="20"/>
              </w:rPr>
              <w:t>0.06</w:t>
            </w:r>
          </w:p>
        </w:tc>
        <w:tc>
          <w:tcPr>
            <w:tcW w:w="1038" w:type="dxa"/>
          </w:tcPr>
          <w:p w:rsidR="004F3F42" w:rsidRDefault="009A1E75">
            <w:pPr>
              <w:autoSpaceDE w:val="0"/>
              <w:autoSpaceDN w:val="0"/>
              <w:adjustRightInd w:val="0"/>
              <w:rPr>
                <w:sz w:val="20"/>
                <w:szCs w:val="20"/>
              </w:rPr>
            </w:pPr>
            <w:r>
              <w:rPr>
                <w:sz w:val="20"/>
                <w:szCs w:val="20"/>
              </w:rPr>
              <w:t>978.26</w:t>
            </w:r>
          </w:p>
        </w:tc>
        <w:tc>
          <w:tcPr>
            <w:tcW w:w="1236" w:type="dxa"/>
          </w:tcPr>
          <w:p w:rsidR="004F3F42" w:rsidRDefault="009A1E75">
            <w:pPr>
              <w:autoSpaceDE w:val="0"/>
              <w:autoSpaceDN w:val="0"/>
              <w:adjustRightInd w:val="0"/>
              <w:rPr>
                <w:color w:val="000000"/>
                <w:sz w:val="20"/>
                <w:szCs w:val="20"/>
              </w:rPr>
            </w:pPr>
            <w:r>
              <w:rPr>
                <w:color w:val="000000"/>
                <w:sz w:val="20"/>
                <w:szCs w:val="20"/>
              </w:rPr>
              <w:t>6.248e3*</w:t>
            </w:r>
          </w:p>
        </w:tc>
        <w:tc>
          <w:tcPr>
            <w:tcW w:w="1521" w:type="dxa"/>
          </w:tcPr>
          <w:p w:rsidR="004F3F42" w:rsidRDefault="009A1E75">
            <w:pPr>
              <w:autoSpaceDE w:val="0"/>
              <w:autoSpaceDN w:val="0"/>
              <w:adjustRightInd w:val="0"/>
              <w:jc w:val="both"/>
              <w:rPr>
                <w:sz w:val="20"/>
                <w:szCs w:val="20"/>
              </w:rPr>
            </w:pPr>
            <w:r>
              <w:rPr>
                <w:sz w:val="20"/>
                <w:szCs w:val="20"/>
              </w:rPr>
              <w:t>9.41%</w:t>
            </w:r>
          </w:p>
        </w:tc>
      </w:tr>
      <w:tr w:rsidR="004F3F42">
        <w:trPr>
          <w:trHeight w:val="289"/>
          <w:jc w:val="center"/>
        </w:trPr>
        <w:tc>
          <w:tcPr>
            <w:tcW w:w="1236" w:type="dxa"/>
          </w:tcPr>
          <w:p w:rsidR="004F3F42" w:rsidRDefault="009A1E75">
            <w:pPr>
              <w:autoSpaceDE w:val="0"/>
              <w:autoSpaceDN w:val="0"/>
              <w:adjustRightInd w:val="0"/>
              <w:jc w:val="both"/>
              <w:rPr>
                <w:sz w:val="20"/>
                <w:szCs w:val="20"/>
              </w:rPr>
            </w:pPr>
            <w:r>
              <w:rPr>
                <w:sz w:val="20"/>
                <w:szCs w:val="20"/>
              </w:rPr>
              <w:t>Inverse</w:t>
            </w:r>
          </w:p>
        </w:tc>
        <w:tc>
          <w:tcPr>
            <w:tcW w:w="2012" w:type="dxa"/>
          </w:tcPr>
          <w:p w:rsidR="004F3F42" w:rsidRDefault="009A1E75">
            <w:pPr>
              <w:autoSpaceDE w:val="0"/>
              <w:autoSpaceDN w:val="0"/>
              <w:adjustRightInd w:val="0"/>
              <w:rPr>
                <w:sz w:val="20"/>
                <w:szCs w:val="20"/>
              </w:rPr>
            </w:pPr>
            <w:r>
              <w:rPr>
                <w:sz w:val="20"/>
                <w:szCs w:val="20"/>
              </w:rPr>
              <w:t>CS= β</w:t>
            </w:r>
            <w:r>
              <w:rPr>
                <w:sz w:val="20"/>
                <w:szCs w:val="20"/>
                <w:vertAlign w:val="subscript"/>
              </w:rPr>
              <w:t xml:space="preserve">0- </w:t>
            </w:r>
            <w:r>
              <w:rPr>
                <w:sz w:val="20"/>
                <w:szCs w:val="20"/>
              </w:rPr>
              <w:t>β</w:t>
            </w:r>
            <w:r>
              <w:rPr>
                <w:sz w:val="20"/>
                <w:szCs w:val="20"/>
                <w:vertAlign w:val="subscript"/>
              </w:rPr>
              <w:t xml:space="preserve">1 </w:t>
            </w:r>
            <w:r>
              <w:rPr>
                <w:sz w:val="20"/>
                <w:szCs w:val="20"/>
              </w:rPr>
              <w:t>B</w:t>
            </w:r>
            <w:r>
              <w:rPr>
                <w:sz w:val="20"/>
                <w:szCs w:val="20"/>
                <w:vertAlign w:val="superscript"/>
              </w:rPr>
              <w:t>-1</w:t>
            </w:r>
          </w:p>
        </w:tc>
        <w:tc>
          <w:tcPr>
            <w:tcW w:w="903" w:type="dxa"/>
          </w:tcPr>
          <w:p w:rsidR="004F3F42" w:rsidRDefault="009A1E75">
            <w:pPr>
              <w:autoSpaceDE w:val="0"/>
              <w:autoSpaceDN w:val="0"/>
              <w:adjustRightInd w:val="0"/>
              <w:rPr>
                <w:sz w:val="20"/>
                <w:szCs w:val="20"/>
              </w:rPr>
            </w:pPr>
            <w:r>
              <w:rPr>
                <w:sz w:val="20"/>
                <w:szCs w:val="20"/>
              </w:rPr>
              <w:t>0.854</w:t>
            </w:r>
          </w:p>
        </w:tc>
        <w:tc>
          <w:tcPr>
            <w:tcW w:w="992" w:type="dxa"/>
          </w:tcPr>
          <w:p w:rsidR="004F3F42" w:rsidRDefault="009A1E75">
            <w:pPr>
              <w:autoSpaceDE w:val="0"/>
              <w:autoSpaceDN w:val="0"/>
              <w:adjustRightInd w:val="0"/>
              <w:rPr>
                <w:color w:val="000000"/>
                <w:sz w:val="20"/>
                <w:szCs w:val="20"/>
              </w:rPr>
            </w:pPr>
            <w:r>
              <w:rPr>
                <w:color w:val="000000"/>
                <w:sz w:val="20"/>
                <w:szCs w:val="20"/>
              </w:rPr>
              <w:t>0.27</w:t>
            </w:r>
          </w:p>
        </w:tc>
        <w:tc>
          <w:tcPr>
            <w:tcW w:w="1038" w:type="dxa"/>
          </w:tcPr>
          <w:p w:rsidR="004F3F42" w:rsidRDefault="009A1E75">
            <w:pPr>
              <w:autoSpaceDE w:val="0"/>
              <w:autoSpaceDN w:val="0"/>
              <w:adjustRightInd w:val="0"/>
              <w:rPr>
                <w:sz w:val="20"/>
                <w:szCs w:val="20"/>
              </w:rPr>
            </w:pPr>
            <w:r>
              <w:rPr>
                <w:sz w:val="20"/>
                <w:szCs w:val="20"/>
              </w:rPr>
              <w:t>1.012e3</w:t>
            </w:r>
          </w:p>
        </w:tc>
        <w:tc>
          <w:tcPr>
            <w:tcW w:w="1236" w:type="dxa"/>
          </w:tcPr>
          <w:p w:rsidR="004F3F42" w:rsidRDefault="009A1E75">
            <w:pPr>
              <w:autoSpaceDE w:val="0"/>
              <w:autoSpaceDN w:val="0"/>
              <w:adjustRightInd w:val="0"/>
              <w:rPr>
                <w:color w:val="000000"/>
                <w:sz w:val="20"/>
                <w:szCs w:val="20"/>
              </w:rPr>
            </w:pPr>
            <w:r>
              <w:rPr>
                <w:color w:val="000000"/>
                <w:sz w:val="20"/>
                <w:szCs w:val="20"/>
              </w:rPr>
              <w:t>3.078e3*</w:t>
            </w:r>
          </w:p>
        </w:tc>
        <w:tc>
          <w:tcPr>
            <w:tcW w:w="1521" w:type="dxa"/>
          </w:tcPr>
          <w:p w:rsidR="004F3F42" w:rsidRDefault="009A1E75">
            <w:pPr>
              <w:autoSpaceDE w:val="0"/>
              <w:autoSpaceDN w:val="0"/>
              <w:adjustRightInd w:val="0"/>
              <w:jc w:val="both"/>
              <w:rPr>
                <w:sz w:val="20"/>
                <w:szCs w:val="20"/>
              </w:rPr>
            </w:pPr>
            <w:r>
              <w:rPr>
                <w:sz w:val="20"/>
                <w:szCs w:val="20"/>
              </w:rPr>
              <w:t>9.44%</w:t>
            </w:r>
          </w:p>
        </w:tc>
      </w:tr>
    </w:tbl>
    <w:p w:rsidR="004F3F42" w:rsidRDefault="004F3F42">
      <w:pPr>
        <w:rPr>
          <w:sz w:val="20"/>
          <w:szCs w:val="20"/>
        </w:rPr>
      </w:pPr>
    </w:p>
    <w:p w:rsidR="004F3F42" w:rsidRPr="000209DD" w:rsidRDefault="000209DD">
      <w:pPr>
        <w:autoSpaceDE w:val="0"/>
        <w:autoSpaceDN w:val="0"/>
        <w:adjustRightInd w:val="0"/>
        <w:jc w:val="both"/>
        <w:rPr>
          <w:rFonts w:eastAsia="TimesNewRoman"/>
          <w:sz w:val="20"/>
          <w:szCs w:val="20"/>
        </w:rPr>
      </w:pPr>
      <w:r w:rsidRPr="000209DD">
        <w:rPr>
          <w:bCs/>
          <w:sz w:val="20"/>
          <w:szCs w:val="20"/>
        </w:rPr>
        <w:t>Table 5</w:t>
      </w:r>
      <w:r w:rsidR="009A1E75" w:rsidRPr="000209DD">
        <w:rPr>
          <w:bCs/>
          <w:sz w:val="20"/>
          <w:szCs w:val="20"/>
        </w:rPr>
        <w:t xml:space="preserve">. </w:t>
      </w:r>
      <w:r w:rsidR="009A1E75" w:rsidRPr="000209DD">
        <w:rPr>
          <w:sz w:val="20"/>
          <w:szCs w:val="20"/>
        </w:rPr>
        <w:t>Model Validation results</w:t>
      </w:r>
    </w:p>
    <w:tbl>
      <w:tblPr>
        <w:tblW w:w="0" w:type="auto"/>
        <w:jc w:val="center"/>
        <w:tblBorders>
          <w:top w:val="single" w:sz="4" w:space="0" w:color="auto"/>
          <w:bottom w:val="single" w:sz="4" w:space="0" w:color="auto"/>
        </w:tblBorders>
        <w:tblLook w:val="04A0" w:firstRow="1" w:lastRow="0" w:firstColumn="1" w:lastColumn="0" w:noHBand="0" w:noVBand="1"/>
      </w:tblPr>
      <w:tblGrid>
        <w:gridCol w:w="3603"/>
        <w:gridCol w:w="1423"/>
        <w:gridCol w:w="1264"/>
        <w:gridCol w:w="1422"/>
        <w:gridCol w:w="1264"/>
      </w:tblGrid>
      <w:tr w:rsidR="004F3F42">
        <w:trPr>
          <w:trHeight w:val="449"/>
          <w:jc w:val="center"/>
        </w:trPr>
        <w:tc>
          <w:tcPr>
            <w:tcW w:w="3603" w:type="dxa"/>
            <w:tcBorders>
              <w:bottom w:val="single" w:sz="4" w:space="0" w:color="auto"/>
            </w:tcBorders>
          </w:tcPr>
          <w:p w:rsidR="004F3F42" w:rsidRDefault="009A1E75">
            <w:pPr>
              <w:rPr>
                <w:b/>
                <w:sz w:val="20"/>
                <w:szCs w:val="20"/>
              </w:rPr>
            </w:pPr>
            <w:r>
              <w:rPr>
                <w:b/>
                <w:sz w:val="20"/>
                <w:szCs w:val="20"/>
              </w:rPr>
              <w:t>Model Forms</w:t>
            </w:r>
          </w:p>
        </w:tc>
        <w:tc>
          <w:tcPr>
            <w:tcW w:w="1423" w:type="dxa"/>
            <w:tcBorders>
              <w:bottom w:val="single" w:sz="4" w:space="0" w:color="auto"/>
            </w:tcBorders>
          </w:tcPr>
          <w:p w:rsidR="004F3F42" w:rsidRDefault="009A1E75">
            <w:pPr>
              <w:rPr>
                <w:b/>
                <w:sz w:val="20"/>
                <w:szCs w:val="20"/>
              </w:rPr>
            </w:pPr>
            <w:r>
              <w:rPr>
                <w:b/>
                <w:sz w:val="20"/>
                <w:szCs w:val="20"/>
              </w:rPr>
              <w:t>MOV</w:t>
            </w:r>
          </w:p>
        </w:tc>
        <w:tc>
          <w:tcPr>
            <w:tcW w:w="1264" w:type="dxa"/>
            <w:tcBorders>
              <w:bottom w:val="single" w:sz="4" w:space="0" w:color="auto"/>
            </w:tcBorders>
          </w:tcPr>
          <w:p w:rsidR="004F3F42" w:rsidRDefault="009A1E75">
            <w:pPr>
              <w:rPr>
                <w:b/>
                <w:sz w:val="20"/>
                <w:szCs w:val="20"/>
              </w:rPr>
            </w:pPr>
            <w:r>
              <w:rPr>
                <w:b/>
                <w:sz w:val="20"/>
                <w:szCs w:val="20"/>
              </w:rPr>
              <w:t>MPV</w:t>
            </w:r>
          </w:p>
        </w:tc>
        <w:tc>
          <w:tcPr>
            <w:tcW w:w="1422" w:type="dxa"/>
            <w:tcBorders>
              <w:bottom w:val="single" w:sz="4" w:space="0" w:color="auto"/>
            </w:tcBorders>
          </w:tcPr>
          <w:p w:rsidR="004F3F42" w:rsidRDefault="009A1E75">
            <w:pPr>
              <w:rPr>
                <w:b/>
                <w:sz w:val="20"/>
                <w:szCs w:val="20"/>
              </w:rPr>
            </w:pPr>
            <w:r>
              <w:rPr>
                <w:b/>
                <w:sz w:val="20"/>
                <w:szCs w:val="20"/>
              </w:rPr>
              <w:t>P-Value</w:t>
            </w:r>
          </w:p>
        </w:tc>
        <w:tc>
          <w:tcPr>
            <w:tcW w:w="1264" w:type="dxa"/>
            <w:tcBorders>
              <w:bottom w:val="single" w:sz="4" w:space="0" w:color="auto"/>
            </w:tcBorders>
          </w:tcPr>
          <w:p w:rsidR="004F3F42" w:rsidRDefault="009A1E75">
            <w:pPr>
              <w:rPr>
                <w:b/>
                <w:sz w:val="20"/>
                <w:szCs w:val="20"/>
              </w:rPr>
            </w:pPr>
            <w:r>
              <w:rPr>
                <w:b/>
                <w:sz w:val="20"/>
                <w:szCs w:val="20"/>
              </w:rPr>
              <w:t>Remark</w:t>
            </w:r>
          </w:p>
        </w:tc>
      </w:tr>
      <w:tr w:rsidR="004F3F42">
        <w:trPr>
          <w:trHeight w:val="449"/>
          <w:jc w:val="center"/>
        </w:trPr>
        <w:tc>
          <w:tcPr>
            <w:tcW w:w="3603" w:type="dxa"/>
            <w:tcBorders>
              <w:top w:val="nil"/>
            </w:tcBorders>
          </w:tcPr>
          <w:p w:rsidR="004F3F42" w:rsidRDefault="009A1E75">
            <w:pPr>
              <w:autoSpaceDE w:val="0"/>
              <w:autoSpaceDN w:val="0"/>
              <w:adjustRightInd w:val="0"/>
              <w:rPr>
                <w:sz w:val="20"/>
                <w:szCs w:val="20"/>
              </w:rPr>
            </w:pPr>
            <w:r>
              <w:rPr>
                <w:bCs/>
                <w:color w:val="000000"/>
                <w:sz w:val="20"/>
                <w:szCs w:val="20"/>
              </w:rPr>
              <w:t>Simple linear function</w:t>
            </w:r>
          </w:p>
        </w:tc>
        <w:tc>
          <w:tcPr>
            <w:tcW w:w="1423" w:type="dxa"/>
            <w:tcBorders>
              <w:top w:val="nil"/>
            </w:tcBorders>
          </w:tcPr>
          <w:p w:rsidR="004F3F42" w:rsidRDefault="009A1E75">
            <w:pPr>
              <w:autoSpaceDE w:val="0"/>
              <w:autoSpaceDN w:val="0"/>
              <w:adjustRightInd w:val="0"/>
              <w:rPr>
                <w:sz w:val="20"/>
                <w:szCs w:val="20"/>
              </w:rPr>
            </w:pPr>
            <w:r>
              <w:rPr>
                <w:sz w:val="20"/>
                <w:szCs w:val="20"/>
              </w:rPr>
              <w:t>2.1831</w:t>
            </w:r>
          </w:p>
        </w:tc>
        <w:tc>
          <w:tcPr>
            <w:tcW w:w="1264" w:type="dxa"/>
            <w:tcBorders>
              <w:top w:val="nil"/>
            </w:tcBorders>
          </w:tcPr>
          <w:p w:rsidR="004F3F42" w:rsidRDefault="009A1E75">
            <w:pPr>
              <w:autoSpaceDE w:val="0"/>
              <w:autoSpaceDN w:val="0"/>
              <w:adjustRightInd w:val="0"/>
              <w:rPr>
                <w:sz w:val="20"/>
                <w:szCs w:val="20"/>
              </w:rPr>
            </w:pPr>
            <w:r>
              <w:rPr>
                <w:sz w:val="20"/>
                <w:szCs w:val="20"/>
              </w:rPr>
              <w:t>2.1936</w:t>
            </w:r>
          </w:p>
        </w:tc>
        <w:tc>
          <w:tcPr>
            <w:tcW w:w="1422" w:type="dxa"/>
            <w:tcBorders>
              <w:top w:val="nil"/>
            </w:tcBorders>
          </w:tcPr>
          <w:p w:rsidR="004F3F42" w:rsidRDefault="009A1E75">
            <w:pPr>
              <w:autoSpaceDE w:val="0"/>
              <w:autoSpaceDN w:val="0"/>
              <w:adjustRightInd w:val="0"/>
              <w:rPr>
                <w:sz w:val="20"/>
                <w:szCs w:val="20"/>
              </w:rPr>
            </w:pPr>
            <w:r>
              <w:rPr>
                <w:sz w:val="20"/>
                <w:szCs w:val="20"/>
              </w:rPr>
              <w:t>0.561</w:t>
            </w:r>
          </w:p>
        </w:tc>
        <w:tc>
          <w:tcPr>
            <w:tcW w:w="1264" w:type="dxa"/>
            <w:tcBorders>
              <w:top w:val="nil"/>
            </w:tcBorders>
          </w:tcPr>
          <w:p w:rsidR="004F3F42" w:rsidRDefault="009A1E75">
            <w:pPr>
              <w:autoSpaceDE w:val="0"/>
              <w:autoSpaceDN w:val="0"/>
              <w:adjustRightInd w:val="0"/>
              <w:rPr>
                <w:sz w:val="20"/>
                <w:szCs w:val="20"/>
              </w:rPr>
            </w:pPr>
            <w:r>
              <w:rPr>
                <w:sz w:val="20"/>
                <w:szCs w:val="20"/>
              </w:rPr>
              <w:t>NS</w:t>
            </w:r>
          </w:p>
        </w:tc>
      </w:tr>
      <w:tr w:rsidR="004F3F42">
        <w:trPr>
          <w:trHeight w:val="340"/>
          <w:jc w:val="center"/>
        </w:trPr>
        <w:tc>
          <w:tcPr>
            <w:tcW w:w="3603" w:type="dxa"/>
          </w:tcPr>
          <w:p w:rsidR="004F3F42" w:rsidRDefault="009A1E75">
            <w:pPr>
              <w:autoSpaceDE w:val="0"/>
              <w:autoSpaceDN w:val="0"/>
              <w:adjustRightInd w:val="0"/>
              <w:rPr>
                <w:sz w:val="20"/>
                <w:szCs w:val="20"/>
              </w:rPr>
            </w:pPr>
            <w:r>
              <w:rPr>
                <w:sz w:val="20"/>
                <w:szCs w:val="20"/>
              </w:rPr>
              <w:t>Multiple linear function</w:t>
            </w:r>
          </w:p>
        </w:tc>
        <w:tc>
          <w:tcPr>
            <w:tcW w:w="1423" w:type="dxa"/>
          </w:tcPr>
          <w:p w:rsidR="004F3F42" w:rsidRDefault="009A1E75">
            <w:pPr>
              <w:autoSpaceDE w:val="0"/>
              <w:autoSpaceDN w:val="0"/>
              <w:adjustRightInd w:val="0"/>
              <w:rPr>
                <w:sz w:val="20"/>
                <w:szCs w:val="20"/>
              </w:rPr>
            </w:pPr>
            <w:r>
              <w:rPr>
                <w:sz w:val="20"/>
                <w:szCs w:val="20"/>
              </w:rPr>
              <w:t>2.1831</w:t>
            </w:r>
          </w:p>
        </w:tc>
        <w:tc>
          <w:tcPr>
            <w:tcW w:w="1264" w:type="dxa"/>
          </w:tcPr>
          <w:p w:rsidR="004F3F42" w:rsidRDefault="009A1E75">
            <w:pPr>
              <w:autoSpaceDE w:val="0"/>
              <w:autoSpaceDN w:val="0"/>
              <w:adjustRightInd w:val="0"/>
              <w:rPr>
                <w:color w:val="000000"/>
                <w:sz w:val="20"/>
                <w:szCs w:val="20"/>
              </w:rPr>
            </w:pPr>
            <w:r>
              <w:rPr>
                <w:color w:val="000000"/>
                <w:sz w:val="20"/>
                <w:szCs w:val="20"/>
              </w:rPr>
              <w:t>2.2266</w:t>
            </w:r>
          </w:p>
        </w:tc>
        <w:tc>
          <w:tcPr>
            <w:tcW w:w="1422" w:type="dxa"/>
          </w:tcPr>
          <w:p w:rsidR="004F3F42" w:rsidRDefault="009A1E75">
            <w:pPr>
              <w:autoSpaceDE w:val="0"/>
              <w:autoSpaceDN w:val="0"/>
              <w:adjustRightInd w:val="0"/>
              <w:rPr>
                <w:sz w:val="20"/>
                <w:szCs w:val="20"/>
              </w:rPr>
            </w:pPr>
            <w:r>
              <w:rPr>
                <w:sz w:val="20"/>
                <w:szCs w:val="20"/>
              </w:rPr>
              <w:t>0.020</w:t>
            </w:r>
          </w:p>
        </w:tc>
        <w:tc>
          <w:tcPr>
            <w:tcW w:w="1264" w:type="dxa"/>
          </w:tcPr>
          <w:p w:rsidR="004F3F42" w:rsidRDefault="009A1E75">
            <w:pPr>
              <w:autoSpaceDE w:val="0"/>
              <w:autoSpaceDN w:val="0"/>
              <w:adjustRightInd w:val="0"/>
              <w:rPr>
                <w:sz w:val="20"/>
                <w:szCs w:val="20"/>
              </w:rPr>
            </w:pPr>
            <w:r>
              <w:rPr>
                <w:sz w:val="20"/>
                <w:szCs w:val="20"/>
              </w:rPr>
              <w:t>S</w:t>
            </w:r>
          </w:p>
        </w:tc>
      </w:tr>
      <w:tr w:rsidR="004F3F42">
        <w:trPr>
          <w:trHeight w:val="340"/>
          <w:jc w:val="center"/>
        </w:trPr>
        <w:tc>
          <w:tcPr>
            <w:tcW w:w="3603" w:type="dxa"/>
          </w:tcPr>
          <w:p w:rsidR="004F3F42" w:rsidRDefault="009A1E75">
            <w:pPr>
              <w:autoSpaceDE w:val="0"/>
              <w:autoSpaceDN w:val="0"/>
              <w:adjustRightInd w:val="0"/>
              <w:rPr>
                <w:sz w:val="20"/>
                <w:szCs w:val="20"/>
              </w:rPr>
            </w:pPr>
            <w:r>
              <w:rPr>
                <w:sz w:val="20"/>
                <w:szCs w:val="20"/>
              </w:rPr>
              <w:t>Semi log linear function</w:t>
            </w:r>
          </w:p>
        </w:tc>
        <w:tc>
          <w:tcPr>
            <w:tcW w:w="1423" w:type="dxa"/>
          </w:tcPr>
          <w:p w:rsidR="004F3F42" w:rsidRDefault="009A1E75">
            <w:pPr>
              <w:autoSpaceDE w:val="0"/>
              <w:autoSpaceDN w:val="0"/>
              <w:adjustRightInd w:val="0"/>
              <w:rPr>
                <w:sz w:val="20"/>
                <w:szCs w:val="20"/>
              </w:rPr>
            </w:pPr>
            <w:r>
              <w:rPr>
                <w:sz w:val="20"/>
                <w:szCs w:val="20"/>
              </w:rPr>
              <w:t>0.7354</w:t>
            </w:r>
          </w:p>
        </w:tc>
        <w:tc>
          <w:tcPr>
            <w:tcW w:w="1264" w:type="dxa"/>
          </w:tcPr>
          <w:p w:rsidR="004F3F42" w:rsidRDefault="009A1E75">
            <w:pPr>
              <w:autoSpaceDE w:val="0"/>
              <w:autoSpaceDN w:val="0"/>
              <w:adjustRightInd w:val="0"/>
              <w:rPr>
                <w:color w:val="000000"/>
                <w:sz w:val="20"/>
                <w:szCs w:val="20"/>
              </w:rPr>
            </w:pPr>
            <w:r>
              <w:rPr>
                <w:color w:val="000000"/>
                <w:sz w:val="20"/>
                <w:szCs w:val="20"/>
              </w:rPr>
              <w:t>0.4718</w:t>
            </w:r>
          </w:p>
        </w:tc>
        <w:tc>
          <w:tcPr>
            <w:tcW w:w="1422" w:type="dxa"/>
          </w:tcPr>
          <w:p w:rsidR="004F3F42" w:rsidRDefault="009A1E75">
            <w:pPr>
              <w:autoSpaceDE w:val="0"/>
              <w:autoSpaceDN w:val="0"/>
              <w:adjustRightInd w:val="0"/>
              <w:rPr>
                <w:sz w:val="20"/>
                <w:szCs w:val="20"/>
              </w:rPr>
            </w:pPr>
            <w:r>
              <w:rPr>
                <w:sz w:val="20"/>
                <w:szCs w:val="20"/>
              </w:rPr>
              <w:t>0.063</w:t>
            </w:r>
          </w:p>
        </w:tc>
        <w:tc>
          <w:tcPr>
            <w:tcW w:w="1264" w:type="dxa"/>
          </w:tcPr>
          <w:p w:rsidR="004F3F42" w:rsidRDefault="009A1E75">
            <w:pPr>
              <w:autoSpaceDE w:val="0"/>
              <w:autoSpaceDN w:val="0"/>
              <w:adjustRightInd w:val="0"/>
              <w:rPr>
                <w:sz w:val="20"/>
                <w:szCs w:val="20"/>
              </w:rPr>
            </w:pPr>
            <w:r>
              <w:rPr>
                <w:sz w:val="20"/>
                <w:szCs w:val="20"/>
              </w:rPr>
              <w:t>NS</w:t>
            </w:r>
          </w:p>
        </w:tc>
      </w:tr>
      <w:tr w:rsidR="004F3F42">
        <w:trPr>
          <w:trHeight w:val="340"/>
          <w:jc w:val="center"/>
        </w:trPr>
        <w:tc>
          <w:tcPr>
            <w:tcW w:w="3603" w:type="dxa"/>
          </w:tcPr>
          <w:p w:rsidR="004F3F42" w:rsidRDefault="009A1E75">
            <w:pPr>
              <w:autoSpaceDE w:val="0"/>
              <w:autoSpaceDN w:val="0"/>
              <w:adjustRightInd w:val="0"/>
              <w:rPr>
                <w:sz w:val="20"/>
                <w:szCs w:val="20"/>
              </w:rPr>
            </w:pPr>
            <w:r>
              <w:rPr>
                <w:sz w:val="20"/>
                <w:szCs w:val="20"/>
              </w:rPr>
              <w:t>Double log function</w:t>
            </w:r>
          </w:p>
        </w:tc>
        <w:tc>
          <w:tcPr>
            <w:tcW w:w="1423" w:type="dxa"/>
          </w:tcPr>
          <w:p w:rsidR="004F3F42" w:rsidRDefault="009A1E75">
            <w:pPr>
              <w:autoSpaceDE w:val="0"/>
              <w:autoSpaceDN w:val="0"/>
              <w:adjustRightInd w:val="0"/>
              <w:rPr>
                <w:sz w:val="20"/>
                <w:szCs w:val="20"/>
              </w:rPr>
            </w:pPr>
            <w:r>
              <w:rPr>
                <w:sz w:val="20"/>
                <w:szCs w:val="20"/>
              </w:rPr>
              <w:t>0.7354</w:t>
            </w:r>
          </w:p>
        </w:tc>
        <w:tc>
          <w:tcPr>
            <w:tcW w:w="1264" w:type="dxa"/>
          </w:tcPr>
          <w:p w:rsidR="004F3F42" w:rsidRDefault="009A1E75">
            <w:pPr>
              <w:autoSpaceDE w:val="0"/>
              <w:autoSpaceDN w:val="0"/>
              <w:adjustRightInd w:val="0"/>
              <w:rPr>
                <w:color w:val="000000"/>
                <w:sz w:val="20"/>
                <w:szCs w:val="20"/>
              </w:rPr>
            </w:pPr>
            <w:r>
              <w:rPr>
                <w:color w:val="000000"/>
                <w:sz w:val="20"/>
                <w:szCs w:val="20"/>
              </w:rPr>
              <w:t>0.7523</w:t>
            </w:r>
          </w:p>
        </w:tc>
        <w:tc>
          <w:tcPr>
            <w:tcW w:w="1422" w:type="dxa"/>
          </w:tcPr>
          <w:p w:rsidR="004F3F42" w:rsidRDefault="009A1E75">
            <w:pPr>
              <w:autoSpaceDE w:val="0"/>
              <w:autoSpaceDN w:val="0"/>
              <w:adjustRightInd w:val="0"/>
              <w:rPr>
                <w:sz w:val="20"/>
                <w:szCs w:val="20"/>
              </w:rPr>
            </w:pPr>
            <w:r>
              <w:rPr>
                <w:sz w:val="20"/>
                <w:szCs w:val="20"/>
              </w:rPr>
              <w:t>0.374</w:t>
            </w:r>
          </w:p>
        </w:tc>
        <w:tc>
          <w:tcPr>
            <w:tcW w:w="1264" w:type="dxa"/>
          </w:tcPr>
          <w:p w:rsidR="004F3F42" w:rsidRDefault="009A1E75">
            <w:pPr>
              <w:autoSpaceDE w:val="0"/>
              <w:autoSpaceDN w:val="0"/>
              <w:adjustRightInd w:val="0"/>
              <w:rPr>
                <w:sz w:val="20"/>
                <w:szCs w:val="20"/>
              </w:rPr>
            </w:pPr>
            <w:r>
              <w:rPr>
                <w:sz w:val="20"/>
                <w:szCs w:val="20"/>
              </w:rPr>
              <w:t>NS</w:t>
            </w:r>
          </w:p>
        </w:tc>
      </w:tr>
      <w:tr w:rsidR="004F3F42">
        <w:trPr>
          <w:trHeight w:val="340"/>
          <w:jc w:val="center"/>
        </w:trPr>
        <w:tc>
          <w:tcPr>
            <w:tcW w:w="3603" w:type="dxa"/>
          </w:tcPr>
          <w:p w:rsidR="004F3F42" w:rsidRDefault="009A1E75">
            <w:pPr>
              <w:autoSpaceDE w:val="0"/>
              <w:autoSpaceDN w:val="0"/>
              <w:adjustRightInd w:val="0"/>
              <w:rPr>
                <w:sz w:val="20"/>
                <w:szCs w:val="20"/>
              </w:rPr>
            </w:pPr>
            <w:r>
              <w:rPr>
                <w:sz w:val="20"/>
                <w:szCs w:val="20"/>
              </w:rPr>
              <w:t>Quadratic function</w:t>
            </w:r>
          </w:p>
        </w:tc>
        <w:tc>
          <w:tcPr>
            <w:tcW w:w="1423" w:type="dxa"/>
          </w:tcPr>
          <w:p w:rsidR="004F3F42" w:rsidRDefault="009A1E75">
            <w:pPr>
              <w:autoSpaceDE w:val="0"/>
              <w:autoSpaceDN w:val="0"/>
              <w:adjustRightInd w:val="0"/>
              <w:rPr>
                <w:sz w:val="20"/>
                <w:szCs w:val="20"/>
              </w:rPr>
            </w:pPr>
            <w:r>
              <w:rPr>
                <w:sz w:val="20"/>
                <w:szCs w:val="20"/>
              </w:rPr>
              <w:t>0.7354</w:t>
            </w:r>
          </w:p>
        </w:tc>
        <w:tc>
          <w:tcPr>
            <w:tcW w:w="1264" w:type="dxa"/>
          </w:tcPr>
          <w:p w:rsidR="004F3F42" w:rsidRDefault="009A1E75">
            <w:pPr>
              <w:autoSpaceDE w:val="0"/>
              <w:autoSpaceDN w:val="0"/>
              <w:adjustRightInd w:val="0"/>
              <w:rPr>
                <w:color w:val="000000"/>
                <w:sz w:val="20"/>
                <w:szCs w:val="20"/>
              </w:rPr>
            </w:pPr>
            <w:r>
              <w:rPr>
                <w:color w:val="000000"/>
                <w:sz w:val="20"/>
                <w:szCs w:val="20"/>
              </w:rPr>
              <w:t>0.7567</w:t>
            </w:r>
          </w:p>
        </w:tc>
        <w:tc>
          <w:tcPr>
            <w:tcW w:w="1422" w:type="dxa"/>
          </w:tcPr>
          <w:p w:rsidR="004F3F42" w:rsidRDefault="009A1E75">
            <w:pPr>
              <w:autoSpaceDE w:val="0"/>
              <w:autoSpaceDN w:val="0"/>
              <w:adjustRightInd w:val="0"/>
              <w:rPr>
                <w:sz w:val="20"/>
                <w:szCs w:val="20"/>
              </w:rPr>
            </w:pPr>
            <w:r>
              <w:rPr>
                <w:sz w:val="20"/>
                <w:szCs w:val="20"/>
              </w:rPr>
              <w:t>0.355</w:t>
            </w:r>
          </w:p>
        </w:tc>
        <w:tc>
          <w:tcPr>
            <w:tcW w:w="1264" w:type="dxa"/>
          </w:tcPr>
          <w:p w:rsidR="004F3F42" w:rsidRDefault="009A1E75">
            <w:pPr>
              <w:autoSpaceDE w:val="0"/>
              <w:autoSpaceDN w:val="0"/>
              <w:adjustRightInd w:val="0"/>
              <w:rPr>
                <w:sz w:val="20"/>
                <w:szCs w:val="20"/>
              </w:rPr>
            </w:pPr>
            <w:r>
              <w:rPr>
                <w:sz w:val="20"/>
                <w:szCs w:val="20"/>
              </w:rPr>
              <w:t>NS</w:t>
            </w:r>
          </w:p>
        </w:tc>
      </w:tr>
      <w:tr w:rsidR="004F3F42">
        <w:trPr>
          <w:trHeight w:val="340"/>
          <w:jc w:val="center"/>
        </w:trPr>
        <w:tc>
          <w:tcPr>
            <w:tcW w:w="3603" w:type="dxa"/>
          </w:tcPr>
          <w:p w:rsidR="004F3F42" w:rsidRDefault="009A1E75">
            <w:pPr>
              <w:autoSpaceDE w:val="0"/>
              <w:autoSpaceDN w:val="0"/>
              <w:adjustRightInd w:val="0"/>
              <w:rPr>
                <w:sz w:val="20"/>
                <w:szCs w:val="20"/>
              </w:rPr>
            </w:pPr>
            <w:r>
              <w:rPr>
                <w:sz w:val="20"/>
                <w:szCs w:val="20"/>
              </w:rPr>
              <w:t>Cubic function</w:t>
            </w:r>
          </w:p>
        </w:tc>
        <w:tc>
          <w:tcPr>
            <w:tcW w:w="1423" w:type="dxa"/>
          </w:tcPr>
          <w:p w:rsidR="004F3F42" w:rsidRDefault="009A1E75">
            <w:pPr>
              <w:autoSpaceDE w:val="0"/>
              <w:autoSpaceDN w:val="0"/>
              <w:adjustRightInd w:val="0"/>
              <w:rPr>
                <w:sz w:val="20"/>
                <w:szCs w:val="20"/>
              </w:rPr>
            </w:pPr>
            <w:r>
              <w:rPr>
                <w:sz w:val="20"/>
                <w:szCs w:val="20"/>
              </w:rPr>
              <w:t>0.7354</w:t>
            </w:r>
          </w:p>
        </w:tc>
        <w:tc>
          <w:tcPr>
            <w:tcW w:w="1264" w:type="dxa"/>
          </w:tcPr>
          <w:p w:rsidR="004F3F42" w:rsidRDefault="009A1E75">
            <w:pPr>
              <w:autoSpaceDE w:val="0"/>
              <w:autoSpaceDN w:val="0"/>
              <w:adjustRightInd w:val="0"/>
              <w:rPr>
                <w:color w:val="000000"/>
                <w:sz w:val="20"/>
                <w:szCs w:val="20"/>
              </w:rPr>
            </w:pPr>
            <w:r>
              <w:rPr>
                <w:color w:val="000000"/>
                <w:sz w:val="20"/>
                <w:szCs w:val="20"/>
              </w:rPr>
              <w:t>0.7450</w:t>
            </w:r>
          </w:p>
        </w:tc>
        <w:tc>
          <w:tcPr>
            <w:tcW w:w="1422" w:type="dxa"/>
          </w:tcPr>
          <w:p w:rsidR="004F3F42" w:rsidRDefault="009A1E75">
            <w:pPr>
              <w:autoSpaceDE w:val="0"/>
              <w:autoSpaceDN w:val="0"/>
              <w:adjustRightInd w:val="0"/>
              <w:rPr>
                <w:sz w:val="20"/>
                <w:szCs w:val="20"/>
              </w:rPr>
            </w:pPr>
            <w:r>
              <w:rPr>
                <w:sz w:val="20"/>
                <w:szCs w:val="20"/>
              </w:rPr>
              <w:t>0.000</w:t>
            </w:r>
          </w:p>
        </w:tc>
        <w:tc>
          <w:tcPr>
            <w:tcW w:w="1264" w:type="dxa"/>
          </w:tcPr>
          <w:p w:rsidR="004F3F42" w:rsidRDefault="009A1E75">
            <w:pPr>
              <w:autoSpaceDE w:val="0"/>
              <w:autoSpaceDN w:val="0"/>
              <w:adjustRightInd w:val="0"/>
              <w:rPr>
                <w:sz w:val="20"/>
                <w:szCs w:val="20"/>
              </w:rPr>
            </w:pPr>
            <w:r>
              <w:rPr>
                <w:sz w:val="20"/>
                <w:szCs w:val="20"/>
              </w:rPr>
              <w:t>S</w:t>
            </w:r>
          </w:p>
        </w:tc>
      </w:tr>
      <w:tr w:rsidR="004F3F42">
        <w:trPr>
          <w:trHeight w:val="340"/>
          <w:jc w:val="center"/>
        </w:trPr>
        <w:tc>
          <w:tcPr>
            <w:tcW w:w="3603" w:type="dxa"/>
          </w:tcPr>
          <w:p w:rsidR="004F3F42" w:rsidRDefault="009A1E75">
            <w:pPr>
              <w:autoSpaceDE w:val="0"/>
              <w:autoSpaceDN w:val="0"/>
              <w:adjustRightInd w:val="0"/>
              <w:rPr>
                <w:sz w:val="20"/>
                <w:szCs w:val="20"/>
              </w:rPr>
            </w:pPr>
            <w:r>
              <w:rPr>
                <w:sz w:val="20"/>
                <w:szCs w:val="20"/>
              </w:rPr>
              <w:t>Power function</w:t>
            </w:r>
          </w:p>
        </w:tc>
        <w:tc>
          <w:tcPr>
            <w:tcW w:w="1423" w:type="dxa"/>
          </w:tcPr>
          <w:p w:rsidR="004F3F42" w:rsidRDefault="009A1E75">
            <w:pPr>
              <w:autoSpaceDE w:val="0"/>
              <w:autoSpaceDN w:val="0"/>
              <w:adjustRightInd w:val="0"/>
              <w:rPr>
                <w:sz w:val="20"/>
                <w:szCs w:val="20"/>
              </w:rPr>
            </w:pPr>
            <w:r>
              <w:rPr>
                <w:sz w:val="20"/>
                <w:szCs w:val="20"/>
              </w:rPr>
              <w:t>2.1524</w:t>
            </w:r>
          </w:p>
        </w:tc>
        <w:tc>
          <w:tcPr>
            <w:tcW w:w="1264" w:type="dxa"/>
          </w:tcPr>
          <w:p w:rsidR="004F3F42" w:rsidRDefault="009A1E75">
            <w:pPr>
              <w:autoSpaceDE w:val="0"/>
              <w:autoSpaceDN w:val="0"/>
              <w:adjustRightInd w:val="0"/>
              <w:rPr>
                <w:color w:val="000000"/>
                <w:sz w:val="20"/>
                <w:szCs w:val="20"/>
              </w:rPr>
            </w:pPr>
            <w:r>
              <w:rPr>
                <w:color w:val="000000"/>
                <w:sz w:val="20"/>
                <w:szCs w:val="20"/>
              </w:rPr>
              <w:t>1.9096</w:t>
            </w:r>
          </w:p>
        </w:tc>
        <w:tc>
          <w:tcPr>
            <w:tcW w:w="1422" w:type="dxa"/>
          </w:tcPr>
          <w:p w:rsidR="004F3F42" w:rsidRDefault="009A1E75">
            <w:pPr>
              <w:autoSpaceDE w:val="0"/>
              <w:autoSpaceDN w:val="0"/>
              <w:adjustRightInd w:val="0"/>
              <w:rPr>
                <w:sz w:val="20"/>
                <w:szCs w:val="20"/>
              </w:rPr>
            </w:pPr>
            <w:r>
              <w:rPr>
                <w:sz w:val="20"/>
                <w:szCs w:val="20"/>
              </w:rPr>
              <w:t>0.047</w:t>
            </w:r>
          </w:p>
        </w:tc>
        <w:tc>
          <w:tcPr>
            <w:tcW w:w="1264" w:type="dxa"/>
          </w:tcPr>
          <w:p w:rsidR="004F3F42" w:rsidRDefault="009A1E75">
            <w:pPr>
              <w:autoSpaceDE w:val="0"/>
              <w:autoSpaceDN w:val="0"/>
              <w:adjustRightInd w:val="0"/>
              <w:rPr>
                <w:sz w:val="20"/>
                <w:szCs w:val="20"/>
              </w:rPr>
            </w:pPr>
            <w:r>
              <w:rPr>
                <w:sz w:val="20"/>
                <w:szCs w:val="20"/>
              </w:rPr>
              <w:t>S</w:t>
            </w:r>
          </w:p>
        </w:tc>
      </w:tr>
      <w:tr w:rsidR="004F3F42">
        <w:trPr>
          <w:trHeight w:val="340"/>
          <w:jc w:val="center"/>
        </w:trPr>
        <w:tc>
          <w:tcPr>
            <w:tcW w:w="3603" w:type="dxa"/>
          </w:tcPr>
          <w:p w:rsidR="004F3F42" w:rsidRDefault="009A1E75">
            <w:pPr>
              <w:autoSpaceDE w:val="0"/>
              <w:autoSpaceDN w:val="0"/>
              <w:adjustRightInd w:val="0"/>
              <w:rPr>
                <w:sz w:val="20"/>
                <w:szCs w:val="20"/>
              </w:rPr>
            </w:pPr>
            <w:r>
              <w:rPr>
                <w:sz w:val="20"/>
                <w:szCs w:val="20"/>
              </w:rPr>
              <w:t>Exponential function</w:t>
            </w:r>
          </w:p>
        </w:tc>
        <w:tc>
          <w:tcPr>
            <w:tcW w:w="1423" w:type="dxa"/>
          </w:tcPr>
          <w:p w:rsidR="004F3F42" w:rsidRDefault="009A1E75">
            <w:pPr>
              <w:autoSpaceDE w:val="0"/>
              <w:autoSpaceDN w:val="0"/>
              <w:adjustRightInd w:val="0"/>
              <w:rPr>
                <w:sz w:val="20"/>
                <w:szCs w:val="20"/>
              </w:rPr>
            </w:pPr>
            <w:r>
              <w:rPr>
                <w:sz w:val="20"/>
                <w:szCs w:val="20"/>
              </w:rPr>
              <w:t>3.4263</w:t>
            </w:r>
          </w:p>
        </w:tc>
        <w:tc>
          <w:tcPr>
            <w:tcW w:w="1264" w:type="dxa"/>
          </w:tcPr>
          <w:p w:rsidR="004F3F42" w:rsidRDefault="009A1E75">
            <w:pPr>
              <w:autoSpaceDE w:val="0"/>
              <w:autoSpaceDN w:val="0"/>
              <w:adjustRightInd w:val="0"/>
              <w:rPr>
                <w:color w:val="000000"/>
                <w:sz w:val="20"/>
                <w:szCs w:val="20"/>
              </w:rPr>
            </w:pPr>
            <w:r>
              <w:rPr>
                <w:color w:val="000000"/>
                <w:sz w:val="20"/>
                <w:szCs w:val="20"/>
              </w:rPr>
              <w:t>1.3621</w:t>
            </w:r>
          </w:p>
        </w:tc>
        <w:tc>
          <w:tcPr>
            <w:tcW w:w="1422" w:type="dxa"/>
          </w:tcPr>
          <w:p w:rsidR="004F3F42" w:rsidRDefault="009A1E75">
            <w:pPr>
              <w:autoSpaceDE w:val="0"/>
              <w:autoSpaceDN w:val="0"/>
              <w:adjustRightInd w:val="0"/>
              <w:rPr>
                <w:sz w:val="20"/>
                <w:szCs w:val="20"/>
              </w:rPr>
            </w:pPr>
            <w:r>
              <w:rPr>
                <w:sz w:val="20"/>
                <w:szCs w:val="20"/>
              </w:rPr>
              <w:t>0.000</w:t>
            </w:r>
          </w:p>
        </w:tc>
        <w:tc>
          <w:tcPr>
            <w:tcW w:w="1264" w:type="dxa"/>
          </w:tcPr>
          <w:p w:rsidR="004F3F42" w:rsidRDefault="009A1E75">
            <w:pPr>
              <w:autoSpaceDE w:val="0"/>
              <w:autoSpaceDN w:val="0"/>
              <w:adjustRightInd w:val="0"/>
              <w:rPr>
                <w:sz w:val="20"/>
                <w:szCs w:val="20"/>
              </w:rPr>
            </w:pPr>
            <w:r>
              <w:rPr>
                <w:sz w:val="20"/>
                <w:szCs w:val="20"/>
              </w:rPr>
              <w:t>S</w:t>
            </w:r>
          </w:p>
        </w:tc>
      </w:tr>
      <w:tr w:rsidR="004F3F42">
        <w:trPr>
          <w:trHeight w:val="340"/>
          <w:jc w:val="center"/>
        </w:trPr>
        <w:tc>
          <w:tcPr>
            <w:tcW w:w="3603" w:type="dxa"/>
          </w:tcPr>
          <w:p w:rsidR="004F3F42" w:rsidRDefault="009A1E75">
            <w:pPr>
              <w:autoSpaceDE w:val="0"/>
              <w:autoSpaceDN w:val="0"/>
              <w:adjustRightInd w:val="0"/>
              <w:rPr>
                <w:sz w:val="20"/>
                <w:szCs w:val="20"/>
              </w:rPr>
            </w:pPr>
            <w:r>
              <w:rPr>
                <w:sz w:val="20"/>
                <w:szCs w:val="20"/>
              </w:rPr>
              <w:t>Combine variables function</w:t>
            </w:r>
          </w:p>
        </w:tc>
        <w:tc>
          <w:tcPr>
            <w:tcW w:w="1423" w:type="dxa"/>
          </w:tcPr>
          <w:p w:rsidR="004F3F42" w:rsidRDefault="009A1E75">
            <w:pPr>
              <w:autoSpaceDE w:val="0"/>
              <w:autoSpaceDN w:val="0"/>
              <w:adjustRightInd w:val="0"/>
              <w:rPr>
                <w:sz w:val="20"/>
                <w:szCs w:val="20"/>
              </w:rPr>
            </w:pPr>
            <w:r>
              <w:rPr>
                <w:sz w:val="20"/>
                <w:szCs w:val="20"/>
              </w:rPr>
              <w:t>0.7354</w:t>
            </w:r>
          </w:p>
        </w:tc>
        <w:tc>
          <w:tcPr>
            <w:tcW w:w="1264" w:type="dxa"/>
          </w:tcPr>
          <w:p w:rsidR="004F3F42" w:rsidRDefault="009A1E75">
            <w:pPr>
              <w:autoSpaceDE w:val="0"/>
              <w:autoSpaceDN w:val="0"/>
              <w:adjustRightInd w:val="0"/>
              <w:rPr>
                <w:color w:val="000000"/>
                <w:sz w:val="20"/>
                <w:szCs w:val="20"/>
              </w:rPr>
            </w:pPr>
            <w:r>
              <w:rPr>
                <w:color w:val="000000"/>
                <w:sz w:val="20"/>
                <w:szCs w:val="20"/>
              </w:rPr>
              <w:t>0.7504</w:t>
            </w:r>
          </w:p>
        </w:tc>
        <w:tc>
          <w:tcPr>
            <w:tcW w:w="1422" w:type="dxa"/>
          </w:tcPr>
          <w:p w:rsidR="004F3F42" w:rsidRDefault="009A1E75">
            <w:pPr>
              <w:autoSpaceDE w:val="0"/>
              <w:autoSpaceDN w:val="0"/>
              <w:adjustRightInd w:val="0"/>
              <w:rPr>
                <w:sz w:val="20"/>
                <w:szCs w:val="20"/>
              </w:rPr>
            </w:pPr>
            <w:r>
              <w:rPr>
                <w:sz w:val="20"/>
                <w:szCs w:val="20"/>
              </w:rPr>
              <w:t>0.00</w:t>
            </w:r>
          </w:p>
        </w:tc>
        <w:tc>
          <w:tcPr>
            <w:tcW w:w="1264" w:type="dxa"/>
          </w:tcPr>
          <w:p w:rsidR="004F3F42" w:rsidRDefault="009A1E75">
            <w:pPr>
              <w:autoSpaceDE w:val="0"/>
              <w:autoSpaceDN w:val="0"/>
              <w:adjustRightInd w:val="0"/>
              <w:rPr>
                <w:sz w:val="20"/>
                <w:szCs w:val="20"/>
              </w:rPr>
            </w:pPr>
            <w:r>
              <w:rPr>
                <w:sz w:val="20"/>
                <w:szCs w:val="20"/>
              </w:rPr>
              <w:t>S</w:t>
            </w:r>
          </w:p>
        </w:tc>
      </w:tr>
      <w:tr w:rsidR="004F3F42">
        <w:trPr>
          <w:trHeight w:val="449"/>
          <w:jc w:val="center"/>
        </w:trPr>
        <w:tc>
          <w:tcPr>
            <w:tcW w:w="3603" w:type="dxa"/>
          </w:tcPr>
          <w:p w:rsidR="004F3F42" w:rsidRDefault="009A1E75">
            <w:pPr>
              <w:autoSpaceDE w:val="0"/>
              <w:autoSpaceDN w:val="0"/>
              <w:adjustRightInd w:val="0"/>
              <w:rPr>
                <w:sz w:val="20"/>
                <w:szCs w:val="20"/>
              </w:rPr>
            </w:pPr>
            <w:r>
              <w:rPr>
                <w:sz w:val="20"/>
                <w:szCs w:val="20"/>
              </w:rPr>
              <w:t>Inverse function</w:t>
            </w:r>
          </w:p>
        </w:tc>
        <w:tc>
          <w:tcPr>
            <w:tcW w:w="1423" w:type="dxa"/>
          </w:tcPr>
          <w:p w:rsidR="004F3F42" w:rsidRDefault="009A1E75">
            <w:pPr>
              <w:autoSpaceDE w:val="0"/>
              <w:autoSpaceDN w:val="0"/>
              <w:adjustRightInd w:val="0"/>
              <w:rPr>
                <w:sz w:val="20"/>
                <w:szCs w:val="20"/>
              </w:rPr>
            </w:pPr>
            <w:r>
              <w:rPr>
                <w:sz w:val="20"/>
                <w:szCs w:val="20"/>
              </w:rPr>
              <w:t>2.1831</w:t>
            </w:r>
          </w:p>
        </w:tc>
        <w:tc>
          <w:tcPr>
            <w:tcW w:w="1264" w:type="dxa"/>
          </w:tcPr>
          <w:p w:rsidR="004F3F42" w:rsidRDefault="009A1E75">
            <w:pPr>
              <w:autoSpaceDE w:val="0"/>
              <w:autoSpaceDN w:val="0"/>
              <w:adjustRightInd w:val="0"/>
              <w:rPr>
                <w:color w:val="000000"/>
                <w:sz w:val="20"/>
                <w:szCs w:val="20"/>
              </w:rPr>
            </w:pPr>
            <w:r>
              <w:rPr>
                <w:color w:val="000000"/>
                <w:sz w:val="20"/>
                <w:szCs w:val="20"/>
              </w:rPr>
              <w:t>2.2316</w:t>
            </w:r>
          </w:p>
        </w:tc>
        <w:tc>
          <w:tcPr>
            <w:tcW w:w="1422" w:type="dxa"/>
          </w:tcPr>
          <w:p w:rsidR="004F3F42" w:rsidRDefault="009A1E75">
            <w:pPr>
              <w:autoSpaceDE w:val="0"/>
              <w:autoSpaceDN w:val="0"/>
              <w:adjustRightInd w:val="0"/>
              <w:rPr>
                <w:sz w:val="20"/>
                <w:szCs w:val="20"/>
              </w:rPr>
            </w:pPr>
            <w:r>
              <w:rPr>
                <w:sz w:val="20"/>
                <w:szCs w:val="20"/>
              </w:rPr>
              <w:t>0.000</w:t>
            </w:r>
          </w:p>
        </w:tc>
        <w:tc>
          <w:tcPr>
            <w:tcW w:w="1264" w:type="dxa"/>
          </w:tcPr>
          <w:p w:rsidR="004F3F42" w:rsidRDefault="009A1E75">
            <w:pPr>
              <w:autoSpaceDE w:val="0"/>
              <w:autoSpaceDN w:val="0"/>
              <w:adjustRightInd w:val="0"/>
              <w:rPr>
                <w:sz w:val="20"/>
                <w:szCs w:val="20"/>
              </w:rPr>
            </w:pPr>
            <w:r>
              <w:rPr>
                <w:sz w:val="20"/>
                <w:szCs w:val="20"/>
              </w:rPr>
              <w:t>S</w:t>
            </w:r>
          </w:p>
        </w:tc>
      </w:tr>
    </w:tbl>
    <w:p w:rsidR="004F3F42" w:rsidRDefault="009A1E75">
      <w:pPr>
        <w:autoSpaceDE w:val="0"/>
        <w:autoSpaceDN w:val="0"/>
        <w:adjustRightInd w:val="0"/>
        <w:jc w:val="both"/>
        <w:rPr>
          <w:sz w:val="20"/>
          <w:szCs w:val="20"/>
        </w:rPr>
      </w:pPr>
      <w:r>
        <w:rPr>
          <w:sz w:val="20"/>
          <w:szCs w:val="20"/>
        </w:rPr>
        <w:t>Y= CS; Carbon stock, X</w:t>
      </w:r>
      <w:r>
        <w:rPr>
          <w:sz w:val="20"/>
          <w:szCs w:val="20"/>
          <w:vertAlign w:val="subscript"/>
        </w:rPr>
        <w:t>1</w:t>
      </w:r>
      <w:r>
        <w:rPr>
          <w:sz w:val="20"/>
          <w:szCs w:val="20"/>
        </w:rPr>
        <w:t xml:space="preserve"> = D;Diameter, X</w:t>
      </w:r>
      <w:r>
        <w:rPr>
          <w:sz w:val="20"/>
          <w:szCs w:val="20"/>
          <w:vertAlign w:val="subscript"/>
        </w:rPr>
        <w:t>2</w:t>
      </w:r>
      <w:r>
        <w:rPr>
          <w:sz w:val="20"/>
          <w:szCs w:val="20"/>
        </w:rPr>
        <w:t xml:space="preserve"> = L; length, X</w:t>
      </w:r>
      <w:r>
        <w:rPr>
          <w:sz w:val="20"/>
          <w:szCs w:val="20"/>
          <w:vertAlign w:val="subscript"/>
        </w:rPr>
        <w:t>3</w:t>
      </w:r>
      <w:r>
        <w:rPr>
          <w:sz w:val="20"/>
          <w:szCs w:val="20"/>
        </w:rPr>
        <w:t>= V; Volm, X</w:t>
      </w:r>
      <w:r>
        <w:rPr>
          <w:sz w:val="20"/>
          <w:szCs w:val="20"/>
          <w:vertAlign w:val="subscript"/>
        </w:rPr>
        <w:t>4</w:t>
      </w:r>
      <w:r>
        <w:rPr>
          <w:sz w:val="20"/>
          <w:szCs w:val="20"/>
        </w:rPr>
        <w:t>=  dbc;Wood basic density, X</w:t>
      </w:r>
      <w:r>
        <w:rPr>
          <w:sz w:val="20"/>
          <w:szCs w:val="20"/>
          <w:vertAlign w:val="subscript"/>
        </w:rPr>
        <w:t>5</w:t>
      </w:r>
      <w:r>
        <w:rPr>
          <w:sz w:val="20"/>
          <w:szCs w:val="20"/>
        </w:rPr>
        <w:t>= Biomass; X</w:t>
      </w:r>
      <w:r>
        <w:rPr>
          <w:sz w:val="20"/>
          <w:szCs w:val="20"/>
          <w:vertAlign w:val="subscript"/>
        </w:rPr>
        <w:t>6</w:t>
      </w:r>
      <w:r>
        <w:rPr>
          <w:sz w:val="20"/>
          <w:szCs w:val="20"/>
        </w:rPr>
        <w:t>= FC; Carbon stored of wood product, MOV= Mean observed value, MVP= Mean predicted value; Parameters significant at (*≤ p-value 0.05),NS =Not significant; S=Significant</w:t>
      </w:r>
    </w:p>
    <w:p w:rsidR="004F3F42" w:rsidRDefault="004F3F42">
      <w:pPr>
        <w:jc w:val="both"/>
        <w:rPr>
          <w:sz w:val="20"/>
          <w:szCs w:val="20"/>
        </w:rPr>
      </w:pPr>
    </w:p>
    <w:p w:rsidR="004F3F42" w:rsidRDefault="004F3F42">
      <w:pPr>
        <w:jc w:val="both"/>
        <w:rPr>
          <w:sz w:val="20"/>
          <w:szCs w:val="20"/>
        </w:rPr>
        <w:sectPr w:rsidR="004F3F42">
          <w:footnotePr>
            <w:pos w:val="beneathText"/>
          </w:footnotePr>
          <w:type w:val="continuous"/>
          <w:pgSz w:w="12240" w:h="15840"/>
          <w:pgMar w:top="1440" w:right="1440" w:bottom="1440" w:left="1440" w:header="720" w:footer="720" w:gutter="0"/>
          <w:cols w:space="576"/>
          <w:docGrid w:linePitch="360"/>
        </w:sectPr>
      </w:pPr>
    </w:p>
    <w:p w:rsidR="004F3F42" w:rsidRDefault="009A1E75">
      <w:pPr>
        <w:jc w:val="both"/>
        <w:rPr>
          <w:b/>
          <w:sz w:val="20"/>
          <w:szCs w:val="20"/>
        </w:rPr>
      </w:pPr>
      <w:r>
        <w:rPr>
          <w:b/>
          <w:sz w:val="20"/>
          <w:szCs w:val="20"/>
        </w:rPr>
        <w:lastRenderedPageBreak/>
        <w:t xml:space="preserve">4. Discussions </w:t>
      </w:r>
    </w:p>
    <w:p w:rsidR="004F3F42" w:rsidRDefault="009A1E75">
      <w:pPr>
        <w:autoSpaceDE w:val="0"/>
        <w:autoSpaceDN w:val="0"/>
        <w:adjustRightInd w:val="0"/>
        <w:ind w:firstLine="720"/>
        <w:jc w:val="both"/>
        <w:rPr>
          <w:rFonts w:eastAsia="TimesNewRoman"/>
          <w:sz w:val="20"/>
          <w:szCs w:val="20"/>
        </w:rPr>
      </w:pPr>
      <w:r>
        <w:rPr>
          <w:sz w:val="20"/>
          <w:szCs w:val="20"/>
        </w:rPr>
        <w:t>The inventory of commonly</w:t>
      </w:r>
      <w:r>
        <w:rPr>
          <w:color w:val="000000"/>
          <w:sz w:val="20"/>
          <w:szCs w:val="20"/>
        </w:rPr>
        <w:t xml:space="preserve"> sawn valuable</w:t>
      </w:r>
      <w:r>
        <w:rPr>
          <w:sz w:val="20"/>
          <w:szCs w:val="20"/>
        </w:rPr>
        <w:t xml:space="preserve"> species in </w:t>
      </w:r>
      <w:r>
        <w:rPr>
          <w:rFonts w:eastAsia="TimesNewRoman"/>
          <w:sz w:val="20"/>
          <w:szCs w:val="20"/>
        </w:rPr>
        <w:t>course of this study</w:t>
      </w:r>
      <w:r>
        <w:rPr>
          <w:sz w:val="20"/>
          <w:szCs w:val="20"/>
        </w:rPr>
        <w:t xml:space="preserve"> in Ilaobuchi Sawmill of Port Harcourt shows the presence of different tree species. Fabaceae was the most abundant and Guttiferae the least. Fabaceae being the most diverse sawn families  conforms to the report by Akinyemi and Oke (2014) that Fabaceae were one of the diverse families (in terms of species richness) present in the harvested forest. </w:t>
      </w:r>
      <w:r>
        <w:rPr>
          <w:rFonts w:eastAsia="TimesNewRoman"/>
          <w:sz w:val="20"/>
          <w:szCs w:val="20"/>
        </w:rPr>
        <w:t xml:space="preserve">The reason for the poor </w:t>
      </w:r>
      <w:r>
        <w:rPr>
          <w:rFonts w:eastAsia="TimesNewRoman"/>
          <w:sz w:val="20"/>
          <w:szCs w:val="20"/>
        </w:rPr>
        <w:lastRenderedPageBreak/>
        <w:t xml:space="preserve">establishments of some families in the area may be attributed to </w:t>
      </w:r>
      <w:r>
        <w:rPr>
          <w:rFonts w:eastAsia="TTF8t00"/>
          <w:sz w:val="20"/>
          <w:szCs w:val="20"/>
        </w:rPr>
        <w:t>the effect of anthropogenic activities on growth and distribution of tree species may have played a role in the status of these species in the ecosystem, threatening the occurrence and development of certain species while favoring others.</w:t>
      </w:r>
      <w:r>
        <w:rPr>
          <w:rFonts w:eastAsia="TimesNewRoman"/>
          <w:sz w:val="20"/>
          <w:szCs w:val="20"/>
        </w:rPr>
        <w:t xml:space="preserve"> This is in line with Wardle </w:t>
      </w:r>
      <w:r w:rsidRPr="0041306F">
        <w:rPr>
          <w:rFonts w:eastAsia="TimesNewRoman"/>
          <w:i/>
          <w:sz w:val="20"/>
          <w:szCs w:val="20"/>
        </w:rPr>
        <w:t>et al</w:t>
      </w:r>
      <w:r>
        <w:rPr>
          <w:rFonts w:eastAsia="TimesNewRoman"/>
          <w:sz w:val="20"/>
          <w:szCs w:val="20"/>
        </w:rPr>
        <w:t xml:space="preserve">. (2004) observations, that anthropogenic activities have great deleterious consequences on the abundance of tree species. </w:t>
      </w:r>
    </w:p>
    <w:p w:rsidR="004F3F42" w:rsidRDefault="009A1E75">
      <w:pPr>
        <w:autoSpaceDE w:val="0"/>
        <w:autoSpaceDN w:val="0"/>
        <w:adjustRightInd w:val="0"/>
        <w:ind w:firstLine="720"/>
        <w:jc w:val="both"/>
        <w:rPr>
          <w:sz w:val="20"/>
          <w:szCs w:val="20"/>
        </w:rPr>
      </w:pPr>
      <w:r>
        <w:rPr>
          <w:sz w:val="20"/>
          <w:szCs w:val="20"/>
        </w:rPr>
        <w:lastRenderedPageBreak/>
        <w:t>Wood resources constitute a significant element in the economic development. Despite its contribution to economic development, logging in the forests has been complicated as a result  most  abundant  tree species in the tropical forests are harvested while others are abandoned and destroyed during harvesting (Arowosoge, 2010). Few species were commonly</w:t>
      </w:r>
      <w:r>
        <w:rPr>
          <w:color w:val="000000"/>
          <w:sz w:val="20"/>
          <w:szCs w:val="20"/>
        </w:rPr>
        <w:t xml:space="preserve"> sawn</w:t>
      </w:r>
      <w:r>
        <w:rPr>
          <w:sz w:val="20"/>
          <w:szCs w:val="20"/>
        </w:rPr>
        <w:t xml:space="preserve"> in the</w:t>
      </w:r>
      <w:r>
        <w:rPr>
          <w:rFonts w:eastAsia="TimesNewRoman"/>
          <w:sz w:val="20"/>
          <w:szCs w:val="20"/>
        </w:rPr>
        <w:t xml:space="preserve"> study area include: </w:t>
      </w:r>
      <w:r>
        <w:rPr>
          <w:i/>
          <w:sz w:val="20"/>
          <w:szCs w:val="20"/>
        </w:rPr>
        <w:t>Mitragyna</w:t>
      </w:r>
      <w:r w:rsidR="009163CC">
        <w:rPr>
          <w:i/>
          <w:sz w:val="20"/>
          <w:szCs w:val="20"/>
        </w:rPr>
        <w:t xml:space="preserve"> </w:t>
      </w:r>
      <w:r>
        <w:rPr>
          <w:i/>
          <w:sz w:val="20"/>
          <w:szCs w:val="20"/>
        </w:rPr>
        <w:t>cilitate</w:t>
      </w:r>
      <w:r w:rsidR="009163CC">
        <w:rPr>
          <w:i/>
          <w:sz w:val="20"/>
          <w:szCs w:val="20"/>
        </w:rPr>
        <w:t xml:space="preserve"> </w:t>
      </w:r>
      <w:r>
        <w:rPr>
          <w:sz w:val="20"/>
          <w:szCs w:val="20"/>
        </w:rPr>
        <w:t>(abura),</w:t>
      </w:r>
      <w:r w:rsidR="009163CC">
        <w:rPr>
          <w:sz w:val="20"/>
          <w:szCs w:val="20"/>
        </w:rPr>
        <w:t xml:space="preserve"> </w:t>
      </w:r>
      <w:r>
        <w:rPr>
          <w:i/>
          <w:iCs/>
          <w:sz w:val="20"/>
          <w:szCs w:val="20"/>
        </w:rPr>
        <w:t>Brachystegia</w:t>
      </w:r>
      <w:r w:rsidR="009163CC">
        <w:rPr>
          <w:i/>
          <w:iCs/>
          <w:sz w:val="20"/>
          <w:szCs w:val="20"/>
        </w:rPr>
        <w:t xml:space="preserve"> </w:t>
      </w:r>
      <w:r>
        <w:rPr>
          <w:i/>
          <w:iCs/>
          <w:sz w:val="20"/>
          <w:szCs w:val="20"/>
        </w:rPr>
        <w:t>eurycoma</w:t>
      </w:r>
      <w:r w:rsidR="009163CC">
        <w:rPr>
          <w:i/>
          <w:iCs/>
          <w:sz w:val="20"/>
          <w:szCs w:val="20"/>
        </w:rPr>
        <w:t xml:space="preserve"> </w:t>
      </w:r>
      <w:r>
        <w:rPr>
          <w:iCs/>
          <w:sz w:val="20"/>
          <w:szCs w:val="20"/>
        </w:rPr>
        <w:t>(achi</w:t>
      </w:r>
      <w:r>
        <w:rPr>
          <w:i/>
          <w:iCs/>
          <w:sz w:val="20"/>
          <w:szCs w:val="20"/>
        </w:rPr>
        <w:t>), Lophira</w:t>
      </w:r>
      <w:r w:rsidR="009163CC">
        <w:rPr>
          <w:i/>
          <w:iCs/>
          <w:sz w:val="20"/>
          <w:szCs w:val="20"/>
        </w:rPr>
        <w:t xml:space="preserve"> </w:t>
      </w:r>
      <w:r>
        <w:rPr>
          <w:i/>
          <w:iCs/>
          <w:sz w:val="20"/>
          <w:szCs w:val="20"/>
        </w:rPr>
        <w:t>alata</w:t>
      </w:r>
      <w:r>
        <w:rPr>
          <w:color w:val="000000"/>
          <w:sz w:val="20"/>
          <w:szCs w:val="20"/>
        </w:rPr>
        <w:t xml:space="preserve"> (ekki), </w:t>
      </w:r>
      <w:r>
        <w:rPr>
          <w:i/>
          <w:sz w:val="20"/>
          <w:szCs w:val="20"/>
        </w:rPr>
        <w:t>Funtumia</w:t>
      </w:r>
      <w:r w:rsidR="009163CC">
        <w:rPr>
          <w:i/>
          <w:sz w:val="20"/>
          <w:szCs w:val="20"/>
        </w:rPr>
        <w:t xml:space="preserve"> elastic </w:t>
      </w:r>
      <w:r>
        <w:rPr>
          <w:sz w:val="20"/>
          <w:szCs w:val="20"/>
        </w:rPr>
        <w:t xml:space="preserve">(bush rubber), </w:t>
      </w:r>
      <w:r>
        <w:rPr>
          <w:i/>
          <w:iCs/>
          <w:sz w:val="20"/>
          <w:szCs w:val="20"/>
        </w:rPr>
        <w:t>Ceiba</w:t>
      </w:r>
      <w:r w:rsidR="009163CC">
        <w:rPr>
          <w:i/>
          <w:iCs/>
          <w:sz w:val="20"/>
          <w:szCs w:val="20"/>
        </w:rPr>
        <w:t xml:space="preserve"> </w:t>
      </w:r>
      <w:r>
        <w:rPr>
          <w:i/>
          <w:iCs/>
          <w:sz w:val="20"/>
          <w:szCs w:val="20"/>
        </w:rPr>
        <w:t>pentandra (silkcotton/floater), Pterocarpus</w:t>
      </w:r>
      <w:r w:rsidR="009163CC">
        <w:rPr>
          <w:i/>
          <w:iCs/>
          <w:sz w:val="20"/>
          <w:szCs w:val="20"/>
        </w:rPr>
        <w:t xml:space="preserve"> </w:t>
      </w:r>
      <w:r>
        <w:rPr>
          <w:i/>
          <w:iCs/>
          <w:sz w:val="20"/>
          <w:szCs w:val="20"/>
        </w:rPr>
        <w:t>osun</w:t>
      </w:r>
      <w:r>
        <w:rPr>
          <w:sz w:val="20"/>
          <w:szCs w:val="20"/>
        </w:rPr>
        <w:t xml:space="preserve"> (boko), </w:t>
      </w:r>
      <w:r>
        <w:rPr>
          <w:i/>
          <w:sz w:val="20"/>
          <w:szCs w:val="20"/>
        </w:rPr>
        <w:t>Milicia</w:t>
      </w:r>
      <w:r w:rsidR="009163CC">
        <w:rPr>
          <w:i/>
          <w:sz w:val="20"/>
          <w:szCs w:val="20"/>
        </w:rPr>
        <w:t xml:space="preserve"> excels </w:t>
      </w:r>
      <w:r>
        <w:rPr>
          <w:sz w:val="20"/>
          <w:szCs w:val="20"/>
        </w:rPr>
        <w:t xml:space="preserve">(iroko), </w:t>
      </w:r>
      <w:r>
        <w:rPr>
          <w:i/>
          <w:sz w:val="20"/>
          <w:szCs w:val="20"/>
        </w:rPr>
        <w:t>Pterocapus</w:t>
      </w:r>
      <w:r w:rsidR="009163CC">
        <w:rPr>
          <w:i/>
          <w:sz w:val="20"/>
          <w:szCs w:val="20"/>
        </w:rPr>
        <w:t xml:space="preserve"> </w:t>
      </w:r>
      <w:r>
        <w:rPr>
          <w:i/>
          <w:sz w:val="20"/>
          <w:szCs w:val="20"/>
        </w:rPr>
        <w:t>erinaceus</w:t>
      </w:r>
      <w:r w:rsidR="009163CC">
        <w:rPr>
          <w:i/>
          <w:sz w:val="20"/>
          <w:szCs w:val="20"/>
        </w:rPr>
        <w:t xml:space="preserve"> </w:t>
      </w:r>
      <w:r>
        <w:rPr>
          <w:sz w:val="20"/>
          <w:szCs w:val="20"/>
        </w:rPr>
        <w:t>(kosso),</w:t>
      </w:r>
      <w:r w:rsidR="009163CC">
        <w:rPr>
          <w:sz w:val="20"/>
          <w:szCs w:val="20"/>
        </w:rPr>
        <w:t xml:space="preserve"> </w:t>
      </w:r>
      <w:r>
        <w:rPr>
          <w:i/>
          <w:sz w:val="20"/>
          <w:szCs w:val="20"/>
        </w:rPr>
        <w:t>Khaya</w:t>
      </w:r>
      <w:r w:rsidR="009163CC">
        <w:rPr>
          <w:i/>
          <w:sz w:val="20"/>
          <w:szCs w:val="20"/>
        </w:rPr>
        <w:t xml:space="preserve"> </w:t>
      </w:r>
      <w:r>
        <w:rPr>
          <w:i/>
          <w:sz w:val="20"/>
          <w:szCs w:val="20"/>
        </w:rPr>
        <w:t>ivorensis</w:t>
      </w:r>
      <w:r>
        <w:rPr>
          <w:sz w:val="20"/>
          <w:szCs w:val="20"/>
        </w:rPr>
        <w:t xml:space="preserve"> (mahogany), </w:t>
      </w:r>
      <w:r>
        <w:rPr>
          <w:i/>
          <w:sz w:val="20"/>
          <w:szCs w:val="20"/>
        </w:rPr>
        <w:t>Mansoni</w:t>
      </w:r>
      <w:r w:rsidR="009163CC">
        <w:rPr>
          <w:i/>
          <w:sz w:val="20"/>
          <w:szCs w:val="20"/>
        </w:rPr>
        <w:t xml:space="preserve"> </w:t>
      </w:r>
      <w:r>
        <w:rPr>
          <w:i/>
          <w:sz w:val="20"/>
          <w:szCs w:val="20"/>
        </w:rPr>
        <w:t>aaltissima</w:t>
      </w:r>
      <w:r w:rsidR="009163CC">
        <w:rPr>
          <w:i/>
          <w:sz w:val="20"/>
          <w:szCs w:val="20"/>
        </w:rPr>
        <w:t xml:space="preserve"> </w:t>
      </w:r>
      <w:r>
        <w:rPr>
          <w:sz w:val="20"/>
          <w:szCs w:val="20"/>
        </w:rPr>
        <w:t>(mansonia),</w:t>
      </w:r>
      <w:r w:rsidR="009163CC">
        <w:rPr>
          <w:sz w:val="20"/>
          <w:szCs w:val="20"/>
        </w:rPr>
        <w:t xml:space="preserve"> </w:t>
      </w:r>
      <w:r>
        <w:rPr>
          <w:i/>
          <w:iCs/>
          <w:sz w:val="20"/>
          <w:szCs w:val="20"/>
        </w:rPr>
        <w:t>Berlinia grandiflora</w:t>
      </w:r>
      <w:r>
        <w:rPr>
          <w:sz w:val="20"/>
          <w:szCs w:val="20"/>
        </w:rPr>
        <w:t xml:space="preserve"> (ububa red),</w:t>
      </w:r>
      <w:r w:rsidR="009163CC">
        <w:rPr>
          <w:sz w:val="20"/>
          <w:szCs w:val="20"/>
        </w:rPr>
        <w:t xml:space="preserve"> </w:t>
      </w:r>
      <w:r>
        <w:rPr>
          <w:i/>
          <w:iCs/>
          <w:sz w:val="20"/>
          <w:szCs w:val="20"/>
        </w:rPr>
        <w:t>Symphonia</w:t>
      </w:r>
      <w:r w:rsidR="009163CC">
        <w:rPr>
          <w:i/>
          <w:iCs/>
          <w:sz w:val="20"/>
          <w:szCs w:val="20"/>
        </w:rPr>
        <w:t xml:space="preserve"> </w:t>
      </w:r>
      <w:r>
        <w:rPr>
          <w:i/>
          <w:iCs/>
          <w:sz w:val="20"/>
          <w:szCs w:val="20"/>
        </w:rPr>
        <w:t>globulifera</w:t>
      </w:r>
      <w:r>
        <w:rPr>
          <w:sz w:val="20"/>
          <w:szCs w:val="20"/>
        </w:rPr>
        <w:t xml:space="preserve"> (okololo), </w:t>
      </w:r>
      <w:r>
        <w:rPr>
          <w:i/>
          <w:sz w:val="20"/>
          <w:szCs w:val="20"/>
        </w:rPr>
        <w:t>Nauclea</w:t>
      </w:r>
      <w:r w:rsidR="009163CC">
        <w:rPr>
          <w:i/>
          <w:sz w:val="20"/>
          <w:szCs w:val="20"/>
        </w:rPr>
        <w:t xml:space="preserve"> </w:t>
      </w:r>
      <w:r>
        <w:rPr>
          <w:i/>
          <w:sz w:val="20"/>
          <w:szCs w:val="20"/>
        </w:rPr>
        <w:t>diderrichii</w:t>
      </w:r>
      <w:r w:rsidR="009163CC">
        <w:rPr>
          <w:i/>
          <w:sz w:val="20"/>
          <w:szCs w:val="20"/>
        </w:rPr>
        <w:t xml:space="preserve"> </w:t>
      </w:r>
      <w:r>
        <w:rPr>
          <w:sz w:val="20"/>
          <w:szCs w:val="20"/>
        </w:rPr>
        <w:t xml:space="preserve">(opepe), </w:t>
      </w:r>
      <w:r>
        <w:rPr>
          <w:i/>
          <w:iCs/>
          <w:sz w:val="20"/>
          <w:szCs w:val="20"/>
        </w:rPr>
        <w:t>Petadethra</w:t>
      </w:r>
      <w:r w:rsidR="009163CC">
        <w:rPr>
          <w:i/>
          <w:iCs/>
          <w:sz w:val="20"/>
          <w:szCs w:val="20"/>
        </w:rPr>
        <w:t xml:space="preserve"> </w:t>
      </w:r>
      <w:r>
        <w:rPr>
          <w:i/>
          <w:iCs/>
          <w:sz w:val="20"/>
          <w:szCs w:val="20"/>
        </w:rPr>
        <w:t>macrophylla</w:t>
      </w:r>
      <w:r>
        <w:rPr>
          <w:sz w:val="20"/>
          <w:szCs w:val="20"/>
        </w:rPr>
        <w:t xml:space="preserve"> (ugba), </w:t>
      </w:r>
      <w:r>
        <w:rPr>
          <w:i/>
          <w:iCs/>
          <w:sz w:val="20"/>
          <w:szCs w:val="20"/>
        </w:rPr>
        <w:t>Xylopia</w:t>
      </w:r>
      <w:r w:rsidR="009163CC">
        <w:rPr>
          <w:i/>
          <w:iCs/>
          <w:sz w:val="20"/>
          <w:szCs w:val="20"/>
        </w:rPr>
        <w:t xml:space="preserve"> </w:t>
      </w:r>
      <w:r>
        <w:rPr>
          <w:i/>
          <w:iCs/>
          <w:sz w:val="20"/>
          <w:szCs w:val="20"/>
        </w:rPr>
        <w:t>aethiopica</w:t>
      </w:r>
      <w:r>
        <w:rPr>
          <w:sz w:val="20"/>
          <w:szCs w:val="20"/>
        </w:rPr>
        <w:t xml:space="preserve"> (uder) and </w:t>
      </w:r>
      <w:r>
        <w:rPr>
          <w:i/>
          <w:sz w:val="20"/>
          <w:szCs w:val="20"/>
        </w:rPr>
        <w:t>Terminalia ivorensis</w:t>
      </w:r>
      <w:r w:rsidR="009163CC">
        <w:rPr>
          <w:i/>
          <w:sz w:val="20"/>
          <w:szCs w:val="20"/>
        </w:rPr>
        <w:t xml:space="preserve"> </w:t>
      </w:r>
      <w:r>
        <w:rPr>
          <w:sz w:val="20"/>
          <w:szCs w:val="20"/>
        </w:rPr>
        <w:t>(black afara)</w:t>
      </w:r>
      <w:r>
        <w:rPr>
          <w:rFonts w:eastAsia="TimesNewRoman"/>
          <w:sz w:val="20"/>
          <w:szCs w:val="20"/>
        </w:rPr>
        <w:t>.The timber (logs) is characterized by abundance of wood with small diameter.. The possibilities are that most trees in the large diameter classes were constantly exploited, often times, illegally. This is similar to the finding of Jimoh</w:t>
      </w:r>
      <w:r w:rsidR="009163CC">
        <w:rPr>
          <w:rFonts w:eastAsia="TimesNewRoman"/>
          <w:sz w:val="20"/>
          <w:szCs w:val="20"/>
        </w:rPr>
        <w:t xml:space="preserve"> </w:t>
      </w:r>
      <w:r>
        <w:rPr>
          <w:rFonts w:eastAsia="TimesNewRoman"/>
          <w:i/>
          <w:iCs/>
          <w:sz w:val="20"/>
          <w:szCs w:val="20"/>
        </w:rPr>
        <w:t xml:space="preserve">et al. </w:t>
      </w:r>
      <w:r>
        <w:rPr>
          <w:rFonts w:eastAsia="TimesNewRoman"/>
          <w:sz w:val="20"/>
          <w:szCs w:val="20"/>
        </w:rPr>
        <w:t>(2012).</w:t>
      </w:r>
    </w:p>
    <w:p w:rsidR="004F3F42" w:rsidRDefault="009A1E75">
      <w:pPr>
        <w:autoSpaceDE w:val="0"/>
        <w:autoSpaceDN w:val="0"/>
        <w:adjustRightInd w:val="0"/>
        <w:ind w:firstLine="720"/>
        <w:jc w:val="both"/>
        <w:rPr>
          <w:sz w:val="20"/>
          <w:szCs w:val="20"/>
        </w:rPr>
      </w:pPr>
      <w:r>
        <w:rPr>
          <w:sz w:val="20"/>
          <w:szCs w:val="20"/>
        </w:rPr>
        <w:t xml:space="preserve">Assessing carbon stock in logs provided a baseline for the monitoring and accounting support of carbon stock of sawn wood prediction in the study. </w:t>
      </w:r>
      <w:r>
        <w:rPr>
          <w:color w:val="000000"/>
          <w:sz w:val="20"/>
          <w:szCs w:val="20"/>
        </w:rPr>
        <w:t>Estimating carbon stock, it is important to include all structural variables that affect biomass in the model (</w:t>
      </w:r>
      <w:r>
        <w:rPr>
          <w:sz w:val="20"/>
          <w:szCs w:val="20"/>
        </w:rPr>
        <w:t xml:space="preserve">Goodman </w:t>
      </w:r>
      <w:r w:rsidRPr="0041306F">
        <w:rPr>
          <w:i/>
          <w:sz w:val="20"/>
          <w:szCs w:val="20"/>
        </w:rPr>
        <w:t>et al</w:t>
      </w:r>
      <w:r>
        <w:rPr>
          <w:sz w:val="20"/>
          <w:szCs w:val="20"/>
        </w:rPr>
        <w:t>., 2014</w:t>
      </w:r>
      <w:r>
        <w:rPr>
          <w:color w:val="000000"/>
          <w:sz w:val="20"/>
          <w:szCs w:val="20"/>
        </w:rPr>
        <w:t xml:space="preserve">, Silprandi </w:t>
      </w:r>
      <w:r w:rsidRPr="00E208AD">
        <w:rPr>
          <w:i/>
          <w:color w:val="000000"/>
          <w:sz w:val="20"/>
          <w:szCs w:val="20"/>
        </w:rPr>
        <w:t>et al</w:t>
      </w:r>
      <w:r>
        <w:rPr>
          <w:color w:val="000000"/>
          <w:sz w:val="20"/>
          <w:szCs w:val="20"/>
        </w:rPr>
        <w:t xml:space="preserve">., 2016), such as total height (reflected in commercial stem length) and basic wood density (Chave </w:t>
      </w:r>
      <w:r w:rsidRPr="00E208AD">
        <w:rPr>
          <w:i/>
          <w:color w:val="000000"/>
          <w:sz w:val="20"/>
          <w:szCs w:val="20"/>
        </w:rPr>
        <w:t>et al</w:t>
      </w:r>
      <w:r>
        <w:rPr>
          <w:color w:val="000000"/>
          <w:sz w:val="20"/>
          <w:szCs w:val="20"/>
        </w:rPr>
        <w:t xml:space="preserve">., 2014, </w:t>
      </w:r>
      <w:r>
        <w:rPr>
          <w:sz w:val="20"/>
          <w:szCs w:val="20"/>
        </w:rPr>
        <w:t>Baker et al., 2004</w:t>
      </w:r>
      <w:r>
        <w:rPr>
          <w:color w:val="000000"/>
          <w:sz w:val="20"/>
          <w:szCs w:val="20"/>
        </w:rPr>
        <w:t>).</w:t>
      </w:r>
      <w:r>
        <w:rPr>
          <w:sz w:val="20"/>
          <w:szCs w:val="20"/>
        </w:rPr>
        <w:t xml:space="preserve"> Carbon stock assessment is a basis for modeling carbon productivity in logs. </w:t>
      </w:r>
      <w:r>
        <w:rPr>
          <w:color w:val="000000"/>
          <w:sz w:val="20"/>
          <w:szCs w:val="20"/>
        </w:rPr>
        <w:t xml:space="preserve">All the parameters in the tested models were significant at the 5% probability level. This is consistent with the findings demonstrated by Adekunle (2007) connections for most of the tree growth variables. </w:t>
      </w:r>
      <w:r>
        <w:rPr>
          <w:sz w:val="20"/>
          <w:szCs w:val="20"/>
        </w:rPr>
        <w:t xml:space="preserve"> Fitting of carbon stock in logs models were based on the total set. Before the models were developed correlation analysis were conducted to give the understanding of association between carbon stock in log and all the growth parameters (diameter, length, volume, wood basic density (dbc), biomass and carbon stored in wood product (FC). Carbon stored showed positive correlation with other measured variables. </w:t>
      </w:r>
      <w:r w:rsidR="00E208AD">
        <w:rPr>
          <w:sz w:val="20"/>
          <w:szCs w:val="20"/>
        </w:rPr>
        <w:t>Biomass displays</w:t>
      </w:r>
      <w:r>
        <w:rPr>
          <w:sz w:val="20"/>
          <w:szCs w:val="20"/>
        </w:rPr>
        <w:t xml:space="preserve"> a higher relationship with carbon stock. The resu</w:t>
      </w:r>
      <w:r w:rsidR="003353F2">
        <w:rPr>
          <w:sz w:val="20"/>
          <w:szCs w:val="20"/>
        </w:rPr>
        <w:t xml:space="preserve">lt aligns with the findings of </w:t>
      </w:r>
      <w:r>
        <w:rPr>
          <w:sz w:val="20"/>
          <w:szCs w:val="20"/>
        </w:rPr>
        <w:t>Aigbe</w:t>
      </w:r>
      <w:r w:rsidR="00E208AD">
        <w:rPr>
          <w:sz w:val="20"/>
          <w:szCs w:val="20"/>
        </w:rPr>
        <w:t xml:space="preserve"> </w:t>
      </w:r>
      <w:r>
        <w:rPr>
          <w:i/>
          <w:iCs/>
          <w:sz w:val="20"/>
          <w:szCs w:val="20"/>
        </w:rPr>
        <w:t xml:space="preserve">et al. </w:t>
      </w:r>
      <w:r>
        <w:rPr>
          <w:sz w:val="20"/>
          <w:szCs w:val="20"/>
        </w:rPr>
        <w:t xml:space="preserve">(2012) which demonstrated that all the relationships among the tested parameters were positive </w:t>
      </w:r>
      <w:r w:rsidR="00E208AD">
        <w:rPr>
          <w:sz w:val="20"/>
          <w:szCs w:val="20"/>
        </w:rPr>
        <w:t>indicating increase</w:t>
      </w:r>
      <w:r>
        <w:rPr>
          <w:sz w:val="20"/>
          <w:szCs w:val="20"/>
        </w:rPr>
        <w:t xml:space="preserve"> in value of one variable is associated with an increase in value of another variable. </w:t>
      </w:r>
    </w:p>
    <w:p w:rsidR="004F3F42" w:rsidRDefault="009A1E75" w:rsidP="00E208AD">
      <w:pPr>
        <w:autoSpaceDE w:val="0"/>
        <w:autoSpaceDN w:val="0"/>
        <w:adjustRightInd w:val="0"/>
        <w:ind w:firstLine="720"/>
        <w:jc w:val="both"/>
        <w:rPr>
          <w:color w:val="000000"/>
          <w:sz w:val="20"/>
          <w:szCs w:val="20"/>
        </w:rPr>
      </w:pPr>
      <w:r>
        <w:rPr>
          <w:sz w:val="20"/>
          <w:szCs w:val="20"/>
        </w:rPr>
        <w:t xml:space="preserve">Different models were examined for predicting carbon stock using </w:t>
      </w:r>
      <w:r>
        <w:rPr>
          <w:rFonts w:eastAsia="TimesNewRoman"/>
          <w:sz w:val="20"/>
          <w:szCs w:val="20"/>
        </w:rPr>
        <w:t>s</w:t>
      </w:r>
      <w:r>
        <w:rPr>
          <w:color w:val="000000"/>
          <w:sz w:val="20"/>
          <w:szCs w:val="20"/>
        </w:rPr>
        <w:t xml:space="preserve">imple linear function, multiple linear function, semi log function, double log function, quadratic function, cubic function, power </w:t>
      </w:r>
      <w:r>
        <w:rPr>
          <w:color w:val="000000"/>
          <w:sz w:val="20"/>
          <w:szCs w:val="20"/>
        </w:rPr>
        <w:lastRenderedPageBreak/>
        <w:t>function, exponential function, combine variables function and inverse variables function. All the tested functions fitted the data set</w:t>
      </w:r>
      <w:r>
        <w:rPr>
          <w:sz w:val="20"/>
          <w:szCs w:val="20"/>
        </w:rPr>
        <w:t>.</w:t>
      </w:r>
      <w:r w:rsidR="0041306F">
        <w:rPr>
          <w:sz w:val="20"/>
          <w:szCs w:val="20"/>
        </w:rPr>
        <w:t xml:space="preserve"> </w:t>
      </w:r>
      <w:r>
        <w:rPr>
          <w:sz w:val="20"/>
          <w:szCs w:val="20"/>
        </w:rPr>
        <w:t>Aigbe and Ekpa (2015) findings on modelling tree v</w:t>
      </w:r>
      <w:r>
        <w:rPr>
          <w:color w:val="000000"/>
          <w:sz w:val="20"/>
          <w:szCs w:val="20"/>
        </w:rPr>
        <w:t xml:space="preserve">olume in </w:t>
      </w:r>
      <w:r>
        <w:rPr>
          <w:sz w:val="20"/>
          <w:szCs w:val="20"/>
        </w:rPr>
        <w:t>t</w:t>
      </w:r>
      <w:r>
        <w:rPr>
          <w:color w:val="000000"/>
          <w:sz w:val="20"/>
          <w:szCs w:val="20"/>
        </w:rPr>
        <w:t xml:space="preserve">ropical rainforest   revealed </w:t>
      </w:r>
      <w:r>
        <w:rPr>
          <w:sz w:val="20"/>
          <w:szCs w:val="20"/>
        </w:rPr>
        <w:t>the use of double log function.</w:t>
      </w:r>
      <w:r w:rsidR="0041306F">
        <w:rPr>
          <w:sz w:val="20"/>
          <w:szCs w:val="20"/>
        </w:rPr>
        <w:t xml:space="preserve"> </w:t>
      </w:r>
      <w:r>
        <w:rPr>
          <w:rFonts w:eastAsia="MinionPro-Regular"/>
          <w:sz w:val="20"/>
          <w:szCs w:val="20"/>
        </w:rPr>
        <w:t>Chave</w:t>
      </w:r>
      <w:r w:rsidR="0041306F">
        <w:rPr>
          <w:rFonts w:eastAsia="MinionPro-Regular"/>
          <w:sz w:val="20"/>
          <w:szCs w:val="20"/>
        </w:rPr>
        <w:t xml:space="preserve"> </w:t>
      </w:r>
      <w:r>
        <w:rPr>
          <w:rFonts w:eastAsia="MinionPro-Regular"/>
          <w:i/>
          <w:sz w:val="20"/>
          <w:szCs w:val="20"/>
        </w:rPr>
        <w:t>et al</w:t>
      </w:r>
      <w:r>
        <w:rPr>
          <w:rFonts w:eastAsia="MinionPro-Regular"/>
          <w:sz w:val="20"/>
          <w:szCs w:val="20"/>
        </w:rPr>
        <w:t xml:space="preserve">. (2014) </w:t>
      </w:r>
      <w:r>
        <w:rPr>
          <w:sz w:val="20"/>
          <w:szCs w:val="20"/>
        </w:rPr>
        <w:t xml:space="preserve"> observed quadratic   and   cubic   regression function in performing better in their modelling The unique independent variable that features in all the models were </w:t>
      </w:r>
      <w:r>
        <w:rPr>
          <w:color w:val="000000"/>
          <w:sz w:val="20"/>
          <w:szCs w:val="20"/>
        </w:rPr>
        <w:t>diameter, volume, wood basic density and biomass</w:t>
      </w:r>
      <w:r>
        <w:rPr>
          <w:sz w:val="20"/>
          <w:szCs w:val="20"/>
        </w:rPr>
        <w:t xml:space="preserve"> proving these factors contributing to the carbon stock estimate. The statistics</w:t>
      </w:r>
      <w:r>
        <w:rPr>
          <w:color w:val="000000"/>
          <w:sz w:val="20"/>
          <w:szCs w:val="20"/>
        </w:rPr>
        <w:t xml:space="preserve"> employed using</w:t>
      </w:r>
      <w:r>
        <w:rPr>
          <w:sz w:val="20"/>
          <w:szCs w:val="20"/>
        </w:rPr>
        <w:t xml:space="preserve"> R</w:t>
      </w:r>
      <w:r>
        <w:rPr>
          <w:sz w:val="20"/>
          <w:szCs w:val="20"/>
          <w:vertAlign w:val="superscript"/>
        </w:rPr>
        <w:t>2</w:t>
      </w:r>
      <w:r>
        <w:rPr>
          <w:sz w:val="20"/>
          <w:szCs w:val="20"/>
        </w:rPr>
        <w:t>, RMSE,</w:t>
      </w:r>
      <w:r w:rsidR="0041306F">
        <w:rPr>
          <w:sz w:val="20"/>
          <w:szCs w:val="20"/>
        </w:rPr>
        <w:t xml:space="preserve"> </w:t>
      </w:r>
      <w:r>
        <w:rPr>
          <w:rFonts w:eastAsia="TimesNewRoman"/>
          <w:sz w:val="20"/>
          <w:szCs w:val="20"/>
        </w:rPr>
        <w:t xml:space="preserve">AIC and </w:t>
      </w:r>
      <w:r>
        <w:rPr>
          <w:sz w:val="20"/>
          <w:szCs w:val="20"/>
        </w:rPr>
        <w:t xml:space="preserve">MAPE </w:t>
      </w:r>
      <w:r>
        <w:rPr>
          <w:rFonts w:eastAsia="TimesNewRoman"/>
          <w:sz w:val="20"/>
          <w:szCs w:val="20"/>
        </w:rPr>
        <w:t xml:space="preserve">were good measure of overall predictive value of regression equations </w:t>
      </w:r>
      <w:r>
        <w:rPr>
          <w:color w:val="000000"/>
          <w:sz w:val="20"/>
          <w:szCs w:val="20"/>
        </w:rPr>
        <w:t xml:space="preserve">(Akaike, 1974; Chave </w:t>
      </w:r>
      <w:r w:rsidRPr="0041306F">
        <w:rPr>
          <w:i/>
          <w:color w:val="000000"/>
          <w:sz w:val="20"/>
          <w:szCs w:val="20"/>
        </w:rPr>
        <w:t>et al</w:t>
      </w:r>
      <w:r>
        <w:rPr>
          <w:color w:val="000000"/>
          <w:sz w:val="20"/>
          <w:szCs w:val="20"/>
        </w:rPr>
        <w:t>., 2005;</w:t>
      </w:r>
      <w:r w:rsidR="0041306F">
        <w:rPr>
          <w:color w:val="000000"/>
          <w:sz w:val="20"/>
          <w:szCs w:val="20"/>
        </w:rPr>
        <w:t xml:space="preserve"> </w:t>
      </w:r>
      <w:r>
        <w:rPr>
          <w:rFonts w:eastAsia="TimesNewRoman"/>
          <w:sz w:val="20"/>
          <w:szCs w:val="20"/>
        </w:rPr>
        <w:t>Adeyemi</w:t>
      </w:r>
      <w:r w:rsidR="0041306F">
        <w:rPr>
          <w:rFonts w:eastAsia="TimesNewRoman"/>
          <w:sz w:val="20"/>
          <w:szCs w:val="20"/>
        </w:rPr>
        <w:t xml:space="preserve"> </w:t>
      </w:r>
      <w:r>
        <w:rPr>
          <w:rFonts w:eastAsia="TimesNewRoman"/>
          <w:sz w:val="20"/>
          <w:szCs w:val="20"/>
        </w:rPr>
        <w:t>&amp;</w:t>
      </w:r>
      <w:r w:rsidR="0041306F">
        <w:rPr>
          <w:rFonts w:eastAsia="TimesNewRoman"/>
          <w:sz w:val="20"/>
          <w:szCs w:val="20"/>
        </w:rPr>
        <w:t xml:space="preserve"> </w:t>
      </w:r>
      <w:r>
        <w:rPr>
          <w:rFonts w:eastAsia="TimesNewRoman"/>
          <w:sz w:val="20"/>
          <w:szCs w:val="20"/>
        </w:rPr>
        <w:t>Adesoye, 2010</w:t>
      </w:r>
      <w:r>
        <w:rPr>
          <w:sz w:val="20"/>
          <w:szCs w:val="20"/>
        </w:rPr>
        <w:t>)</w:t>
      </w:r>
      <w:r>
        <w:rPr>
          <w:rFonts w:eastAsia="TimesNewRoman"/>
          <w:sz w:val="20"/>
          <w:szCs w:val="20"/>
        </w:rPr>
        <w:t xml:space="preserve"> particularly for this prediction suitable.</w:t>
      </w:r>
      <w:r>
        <w:rPr>
          <w:sz w:val="20"/>
          <w:szCs w:val="20"/>
        </w:rPr>
        <w:t xml:space="preserve"> A MAPE value of less than 10% shows that the model is highly accurate, 11–20% indicates a good model, while 21–50% suggests a reasonable model.</w:t>
      </w:r>
      <w:r>
        <w:rPr>
          <w:color w:val="000000"/>
          <w:sz w:val="20"/>
          <w:szCs w:val="20"/>
        </w:rPr>
        <w:t xml:space="preserve"> This confirmation revealed that these selected models perform with low RMSE (%) and AIC with high R</w:t>
      </w:r>
      <w:r>
        <w:rPr>
          <w:color w:val="000000"/>
          <w:sz w:val="20"/>
          <w:szCs w:val="20"/>
          <w:vertAlign w:val="superscript"/>
        </w:rPr>
        <w:t>2</w:t>
      </w:r>
      <w:r>
        <w:rPr>
          <w:color w:val="000000"/>
          <w:sz w:val="20"/>
          <w:szCs w:val="20"/>
        </w:rPr>
        <w:t xml:space="preserve"> values significant at probability level (0.005),  thereby indicating that results obtained from these models above are of good quality. </w:t>
      </w:r>
    </w:p>
    <w:p w:rsidR="004F3F42" w:rsidRDefault="009A1E75">
      <w:pPr>
        <w:ind w:firstLine="720"/>
        <w:jc w:val="both"/>
        <w:rPr>
          <w:sz w:val="20"/>
          <w:szCs w:val="20"/>
        </w:rPr>
      </w:pPr>
      <w:r>
        <w:rPr>
          <w:sz w:val="20"/>
          <w:szCs w:val="20"/>
        </w:rPr>
        <w:t>All the model showed strong fit to carbon stock in log and the test of significance of carbon stock sampled showed no significant difference (</w:t>
      </w:r>
      <w:r>
        <w:rPr>
          <w:i/>
          <w:iCs/>
          <w:sz w:val="20"/>
          <w:szCs w:val="20"/>
        </w:rPr>
        <w:t>P</w:t>
      </w:r>
      <w:r>
        <w:rPr>
          <w:sz w:val="20"/>
          <w:szCs w:val="20"/>
        </w:rPr>
        <w:t xml:space="preserve">=0.05) between the observed value and the predicted values for </w:t>
      </w:r>
      <w:r>
        <w:rPr>
          <w:rFonts w:eastAsia="TimesNewRoman"/>
          <w:sz w:val="20"/>
          <w:szCs w:val="20"/>
        </w:rPr>
        <w:t xml:space="preserve">simple, semi log, double log and </w:t>
      </w:r>
      <w:r>
        <w:rPr>
          <w:sz w:val="20"/>
          <w:szCs w:val="20"/>
        </w:rPr>
        <w:t>quadratic model, hence are therefore suitable for current and future prediction of carbon stock in log among the logs within the range of data used in model development. Semi log function gave the best result hence was selected. One potential source of bias is the fact that this study only considered commercial tree species, while other equations consider all species.</w:t>
      </w:r>
    </w:p>
    <w:p w:rsidR="004F3F42" w:rsidRDefault="004F3F42">
      <w:pPr>
        <w:jc w:val="both"/>
        <w:rPr>
          <w:sz w:val="20"/>
          <w:szCs w:val="20"/>
        </w:rPr>
      </w:pPr>
    </w:p>
    <w:p w:rsidR="004F3F42" w:rsidRDefault="009A1E75">
      <w:pPr>
        <w:pStyle w:val="ListParagraph"/>
        <w:autoSpaceDE w:val="0"/>
        <w:autoSpaceDN w:val="0"/>
        <w:adjustRightInd w:val="0"/>
        <w:spacing w:after="0" w:line="240" w:lineRule="auto"/>
        <w:ind w:left="0"/>
        <w:jc w:val="both"/>
        <w:rPr>
          <w:rFonts w:ascii="Times New Roman" w:hAnsi="Times New Roman"/>
          <w:color w:val="000000"/>
          <w:sz w:val="20"/>
          <w:szCs w:val="20"/>
        </w:rPr>
      </w:pPr>
      <w:r>
        <w:rPr>
          <w:rFonts w:ascii="Times New Roman" w:hAnsi="Times New Roman"/>
          <w:b/>
          <w:sz w:val="20"/>
          <w:szCs w:val="20"/>
        </w:rPr>
        <w:t>5.  Conclusion</w:t>
      </w:r>
    </w:p>
    <w:p w:rsidR="004F3F42" w:rsidRDefault="009A1E75">
      <w:pPr>
        <w:pStyle w:val="ListParagraph"/>
        <w:autoSpaceDE w:val="0"/>
        <w:autoSpaceDN w:val="0"/>
        <w:adjustRightInd w:val="0"/>
        <w:spacing w:after="0" w:line="240" w:lineRule="auto"/>
        <w:ind w:left="0" w:firstLine="720"/>
        <w:jc w:val="both"/>
        <w:rPr>
          <w:rFonts w:ascii="Times New Roman" w:hAnsi="Times New Roman"/>
          <w:sz w:val="20"/>
          <w:szCs w:val="20"/>
        </w:rPr>
      </w:pPr>
      <w:r>
        <w:rPr>
          <w:rFonts w:ascii="Times New Roman" w:hAnsi="Times New Roman"/>
          <w:sz w:val="20"/>
          <w:szCs w:val="20"/>
          <w:lang w:val="en-US"/>
        </w:rPr>
        <w:t xml:space="preserve">Modelling provided a baseline for the monitoring and accounting support of carbon stock of log prediction hence, </w:t>
      </w:r>
      <w:r>
        <w:rPr>
          <w:rFonts w:ascii="Times New Roman" w:hAnsi="Times New Roman"/>
          <w:sz w:val="20"/>
          <w:szCs w:val="20"/>
        </w:rPr>
        <w:t xml:space="preserve">modelling is a useful contribution towards enabling improved and more confident decision making in management regarding buying, selling, and trading in forest resources. Wood resources requires a large amount of supporting information for sustainable management due to </w:t>
      </w:r>
      <w:r>
        <w:rPr>
          <w:rFonts w:ascii="Times New Roman" w:eastAsia="TimesNewRoman" w:hAnsi="Times New Roman"/>
          <w:sz w:val="20"/>
          <w:szCs w:val="20"/>
        </w:rPr>
        <w:t>pressure mounted on them which has negatively impacted local species abundance. Growth parameters, especially diameter</w:t>
      </w:r>
      <w:r>
        <w:rPr>
          <w:rFonts w:ascii="Times New Roman" w:hAnsi="Times New Roman"/>
          <w:sz w:val="20"/>
          <w:szCs w:val="20"/>
        </w:rPr>
        <w:t xml:space="preserve">, volume, basic wood density, and biomass </w:t>
      </w:r>
      <w:r>
        <w:rPr>
          <w:rFonts w:ascii="Times New Roman" w:eastAsia="TimesNewRoman" w:hAnsi="Times New Roman"/>
          <w:sz w:val="20"/>
          <w:szCs w:val="20"/>
        </w:rPr>
        <w:t xml:space="preserve">prove to be good predictors of carbon stock of logs. Semi log function was selected as the carbon stock in sawn logs predicting model. </w:t>
      </w:r>
    </w:p>
    <w:p w:rsidR="00FB6767" w:rsidRDefault="00FB6767">
      <w:pPr>
        <w:jc w:val="both"/>
        <w:rPr>
          <w:b/>
          <w:sz w:val="20"/>
          <w:szCs w:val="20"/>
        </w:rPr>
      </w:pPr>
    </w:p>
    <w:p w:rsidR="00E208AD" w:rsidRDefault="00E208AD">
      <w:pPr>
        <w:jc w:val="both"/>
        <w:rPr>
          <w:b/>
          <w:sz w:val="20"/>
          <w:szCs w:val="20"/>
        </w:rPr>
      </w:pPr>
    </w:p>
    <w:p w:rsidR="00E208AD" w:rsidRDefault="00E208AD">
      <w:pPr>
        <w:jc w:val="both"/>
        <w:rPr>
          <w:b/>
          <w:sz w:val="20"/>
          <w:szCs w:val="20"/>
        </w:rPr>
      </w:pPr>
    </w:p>
    <w:p w:rsidR="00E208AD" w:rsidRDefault="00E208AD">
      <w:pPr>
        <w:jc w:val="both"/>
        <w:rPr>
          <w:b/>
          <w:sz w:val="20"/>
          <w:szCs w:val="20"/>
        </w:rPr>
      </w:pPr>
    </w:p>
    <w:p w:rsidR="00E208AD" w:rsidRDefault="00E208AD">
      <w:pPr>
        <w:jc w:val="both"/>
        <w:rPr>
          <w:b/>
          <w:sz w:val="20"/>
          <w:szCs w:val="20"/>
        </w:rPr>
      </w:pPr>
    </w:p>
    <w:p w:rsidR="004F3F42" w:rsidRDefault="009A1E75">
      <w:pPr>
        <w:jc w:val="both"/>
        <w:rPr>
          <w:b/>
          <w:sz w:val="20"/>
          <w:szCs w:val="20"/>
        </w:rPr>
      </w:pPr>
      <w:r>
        <w:rPr>
          <w:b/>
          <w:sz w:val="20"/>
          <w:szCs w:val="20"/>
        </w:rPr>
        <w:lastRenderedPageBreak/>
        <w:t>Corresponding Author:</w:t>
      </w:r>
    </w:p>
    <w:p w:rsidR="004F3F42" w:rsidRDefault="009A1E75">
      <w:pPr>
        <w:jc w:val="both"/>
        <w:rPr>
          <w:sz w:val="20"/>
          <w:szCs w:val="20"/>
        </w:rPr>
      </w:pPr>
      <w:r>
        <w:rPr>
          <w:sz w:val="20"/>
          <w:szCs w:val="20"/>
        </w:rPr>
        <w:t>Dr. Eguakun</w:t>
      </w:r>
      <w:r w:rsidR="00E208AD">
        <w:rPr>
          <w:sz w:val="20"/>
          <w:szCs w:val="20"/>
        </w:rPr>
        <w:t xml:space="preserve"> </w:t>
      </w:r>
      <w:r>
        <w:rPr>
          <w:sz w:val="20"/>
          <w:szCs w:val="20"/>
        </w:rPr>
        <w:t xml:space="preserve">Funmilayo Sarah </w:t>
      </w:r>
    </w:p>
    <w:p w:rsidR="004F3F42" w:rsidRDefault="00E208AD">
      <w:pPr>
        <w:jc w:val="both"/>
        <w:rPr>
          <w:sz w:val="20"/>
          <w:szCs w:val="20"/>
        </w:rPr>
      </w:pPr>
      <w:r>
        <w:rPr>
          <w:sz w:val="20"/>
          <w:szCs w:val="20"/>
        </w:rPr>
        <w:t>Department of Forestry and Wild</w:t>
      </w:r>
      <w:r w:rsidR="009A1E75">
        <w:rPr>
          <w:sz w:val="20"/>
          <w:szCs w:val="20"/>
        </w:rPr>
        <w:t xml:space="preserve">life Management </w:t>
      </w:r>
    </w:p>
    <w:p w:rsidR="004F3F42" w:rsidRDefault="009A1E75">
      <w:pPr>
        <w:jc w:val="both"/>
        <w:rPr>
          <w:sz w:val="20"/>
          <w:szCs w:val="20"/>
        </w:rPr>
      </w:pPr>
      <w:r>
        <w:rPr>
          <w:sz w:val="20"/>
          <w:szCs w:val="20"/>
        </w:rPr>
        <w:t xml:space="preserve">Faculty of Agriculture </w:t>
      </w:r>
    </w:p>
    <w:p w:rsidR="004F3F42" w:rsidRDefault="009A1E75">
      <w:pPr>
        <w:jc w:val="both"/>
        <w:rPr>
          <w:sz w:val="20"/>
          <w:szCs w:val="20"/>
          <w:lang w:eastAsia="zh-CN"/>
        </w:rPr>
      </w:pPr>
      <w:r>
        <w:rPr>
          <w:sz w:val="20"/>
          <w:szCs w:val="20"/>
        </w:rPr>
        <w:t>University of Port Harcourt, Nigeria</w:t>
      </w:r>
    </w:p>
    <w:p w:rsidR="004F3F42" w:rsidRDefault="009A1E75">
      <w:pPr>
        <w:jc w:val="both"/>
        <w:rPr>
          <w:sz w:val="20"/>
          <w:szCs w:val="20"/>
          <w:lang w:eastAsia="zh-CN"/>
        </w:rPr>
      </w:pPr>
      <w:r>
        <w:rPr>
          <w:rFonts w:hint="eastAsia"/>
          <w:sz w:val="20"/>
          <w:szCs w:val="20"/>
          <w:lang w:eastAsia="zh-CN"/>
        </w:rPr>
        <w:t xml:space="preserve">Telephone: </w:t>
      </w:r>
      <w:r>
        <w:rPr>
          <w:sz w:val="20"/>
          <w:szCs w:val="20"/>
          <w:lang w:eastAsia="zh-CN"/>
        </w:rPr>
        <w:t>+2348038624661</w:t>
      </w:r>
    </w:p>
    <w:p w:rsidR="003353F2" w:rsidRDefault="009A1E75">
      <w:pPr>
        <w:jc w:val="both"/>
        <w:rPr>
          <w:sz w:val="20"/>
          <w:szCs w:val="20"/>
        </w:rPr>
      </w:pPr>
      <w:r>
        <w:rPr>
          <w:sz w:val="20"/>
          <w:szCs w:val="20"/>
        </w:rPr>
        <w:t xml:space="preserve">E-mail: </w:t>
      </w:r>
      <w:hyperlink r:id="rId39" w:history="1">
        <w:r w:rsidR="003353F2" w:rsidRPr="00A878D8">
          <w:rPr>
            <w:rStyle w:val="Hyperlink"/>
            <w:sz w:val="20"/>
            <w:szCs w:val="20"/>
          </w:rPr>
          <w:t>funmilayo.popo-ola@uniport.edu.ng</w:t>
        </w:r>
      </w:hyperlink>
    </w:p>
    <w:p w:rsidR="00E208AD" w:rsidRDefault="00E208AD">
      <w:pPr>
        <w:jc w:val="both"/>
        <w:rPr>
          <w:b/>
          <w:sz w:val="20"/>
          <w:szCs w:val="20"/>
        </w:rPr>
      </w:pPr>
    </w:p>
    <w:p w:rsidR="004F3F42" w:rsidRDefault="009A1E75">
      <w:pPr>
        <w:jc w:val="both"/>
        <w:rPr>
          <w:b/>
          <w:sz w:val="20"/>
          <w:szCs w:val="20"/>
        </w:rPr>
      </w:pPr>
      <w:r>
        <w:rPr>
          <w:b/>
          <w:sz w:val="20"/>
          <w:szCs w:val="20"/>
        </w:rPr>
        <w:t>References</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eastAsia="TimesNewRoman" w:hAnsi="Times New Roman"/>
          <w:sz w:val="20"/>
          <w:szCs w:val="20"/>
        </w:rPr>
        <w:t>Adekunle, V. A. J. (2007). Non-Linear Regression Models for Timber Volume Estimation in Natural Forest Ecosystem,Southwest Nigeria. Research Journal of Forestry 1: 40-54</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eastAsia="TimesNewRoman" w:hAnsi="Times New Roman"/>
          <w:sz w:val="20"/>
          <w:szCs w:val="20"/>
        </w:rPr>
        <w:t xml:space="preserve">Adesoye, P. O. (2014). Canopy Layers Stratified Volume Equations for </w:t>
      </w:r>
      <w:r>
        <w:rPr>
          <w:rFonts w:ascii="Times New Roman" w:eastAsia="TimesNewRoman" w:hAnsi="Times New Roman"/>
          <w:i/>
          <w:iCs/>
          <w:sz w:val="20"/>
          <w:szCs w:val="20"/>
        </w:rPr>
        <w:t>Pinuscaribaea</w:t>
      </w:r>
      <w:r>
        <w:rPr>
          <w:rFonts w:ascii="Times New Roman" w:eastAsia="TimesNewRoman" w:hAnsi="Times New Roman"/>
          <w:sz w:val="20"/>
          <w:szCs w:val="20"/>
        </w:rPr>
        <w:t>Stands in SouthWest Nigeria using Linear Mixed Models. South-east European Forestry 5 (2): 153-161.</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eastAsia="TimesNewRoman" w:hAnsi="Times New Roman"/>
          <w:sz w:val="20"/>
          <w:szCs w:val="20"/>
        </w:rPr>
        <w:t xml:space="preserve">Adeyemi, A. A &amp;Adesoye, P. O. (2010). Site Quality Assessment and Yield Models for </w:t>
      </w:r>
      <w:r>
        <w:rPr>
          <w:rFonts w:ascii="Times New Roman" w:eastAsia="TimesNewRoman" w:hAnsi="Times New Roman"/>
          <w:i/>
          <w:iCs/>
          <w:sz w:val="20"/>
          <w:szCs w:val="20"/>
        </w:rPr>
        <w:t>Tectona</w:t>
      </w:r>
      <w:r>
        <w:rPr>
          <w:rFonts w:ascii="Times New Roman" w:eastAsia="TimesNewRoman" w:hAnsi="Times New Roman"/>
          <w:i/>
          <w:iCs/>
          <w:sz w:val="20"/>
          <w:szCs w:val="20"/>
        </w:rPr>
        <w:tab/>
        <w:t>grandis</w:t>
      </w:r>
      <w:r>
        <w:rPr>
          <w:rFonts w:ascii="Times New Roman" w:eastAsia="TimesNewRoman" w:hAnsi="Times New Roman"/>
          <w:sz w:val="20"/>
          <w:szCs w:val="20"/>
        </w:rPr>
        <w:t>(Linn. F.) Stands in Ibadan Metropolis. Nigerian Journal of Forestry 40(2): 67-77</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Aigbe, H. I., Modugu W. W., &amp;Oyebade, B. A. (2012). Modeling Volume from Stump Diameter </w:t>
      </w:r>
      <w:r>
        <w:rPr>
          <w:rFonts w:ascii="Times New Roman" w:hAnsi="Times New Roman"/>
          <w:sz w:val="20"/>
          <w:szCs w:val="20"/>
        </w:rPr>
        <w:tab/>
        <w:t xml:space="preserve">of </w:t>
      </w:r>
      <w:r>
        <w:rPr>
          <w:rFonts w:ascii="Times New Roman" w:hAnsi="Times New Roman"/>
          <w:i/>
          <w:iCs/>
          <w:sz w:val="20"/>
          <w:szCs w:val="20"/>
        </w:rPr>
        <w:t>Terminalia Ivorensis</w:t>
      </w:r>
      <w:r>
        <w:rPr>
          <w:rFonts w:ascii="Times New Roman" w:hAnsi="Times New Roman"/>
          <w:sz w:val="20"/>
          <w:szCs w:val="20"/>
        </w:rPr>
        <w:t xml:space="preserve">(A. Chev) in Sokponba Forest Reserve, Edo State, Nigeria.  </w:t>
      </w:r>
      <w:r>
        <w:rPr>
          <w:rFonts w:ascii="Times New Roman" w:hAnsi="Times New Roman"/>
          <w:i/>
          <w:iCs/>
          <w:sz w:val="20"/>
          <w:szCs w:val="20"/>
        </w:rPr>
        <w:t xml:space="preserve">ARPN </w:t>
      </w:r>
      <w:r>
        <w:rPr>
          <w:rFonts w:ascii="Times New Roman" w:hAnsi="Times New Roman"/>
          <w:i/>
          <w:iCs/>
          <w:sz w:val="20"/>
          <w:szCs w:val="20"/>
        </w:rPr>
        <w:tab/>
        <w:t xml:space="preserve">JournalofAgriculture  and Biological Science </w:t>
      </w:r>
      <w:r>
        <w:rPr>
          <w:rFonts w:ascii="Times New Roman" w:hAnsi="Times New Roman"/>
          <w:sz w:val="20"/>
          <w:szCs w:val="20"/>
        </w:rPr>
        <w:t xml:space="preserve"> 7 ( 3). 146-151 </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Aigbe, H.I., &amp;Ekpa, N.E (2015).Modelling Tree Volume in Tropical rainforest of Afi River Forest Reserve in Cross River State, Nigeria. </w:t>
      </w:r>
      <w:r>
        <w:rPr>
          <w:rFonts w:ascii="Times New Roman" w:hAnsi="Times New Roman"/>
          <w:i/>
          <w:sz w:val="20"/>
          <w:szCs w:val="20"/>
        </w:rPr>
        <w:t xml:space="preserve">International Journal of Scientific &amp; Engineering </w:t>
      </w:r>
      <w:r>
        <w:rPr>
          <w:rFonts w:ascii="Times New Roman" w:hAnsi="Times New Roman"/>
          <w:i/>
          <w:sz w:val="20"/>
          <w:szCs w:val="20"/>
        </w:rPr>
        <w:tab/>
        <w:t>Research</w:t>
      </w:r>
      <w:r>
        <w:rPr>
          <w:rFonts w:ascii="Times New Roman" w:hAnsi="Times New Roman"/>
          <w:sz w:val="20"/>
          <w:szCs w:val="20"/>
        </w:rPr>
        <w:t>, 6.Retrived from http://www. ijser.org</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Akinyemi, D.S., &amp;Oke, S.O. ( 2014). Floristic composition and structural diversity of Shasha Reserve in Ile-Ife, Southwestern Nigeria. Not SciBiol 6(4): 433-440.</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Arowosege O.G.E (2010). Lesser used wood species and their relevance to sustainability of tropical forests. In S.KoladeAdeyoju and S.O Bada (ed) Readings in Sustainable Tropical Forest Management pp. 305 – 32</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eastAsia="TimesNewRoman" w:hAnsi="Times New Roman"/>
          <w:sz w:val="20"/>
          <w:szCs w:val="20"/>
        </w:rPr>
        <w:t xml:space="preserve">Avery, T. E. &amp; Burkhart, H. (2011). </w:t>
      </w:r>
      <w:r>
        <w:rPr>
          <w:rFonts w:ascii="Times New Roman" w:eastAsia="TimesNewRoman" w:hAnsi="Times New Roman"/>
          <w:i/>
          <w:iCs/>
          <w:sz w:val="20"/>
          <w:szCs w:val="20"/>
        </w:rPr>
        <w:t>Forest Measurements</w:t>
      </w:r>
      <w:r>
        <w:rPr>
          <w:rFonts w:ascii="Times New Roman" w:eastAsia="TimesNewRoman" w:hAnsi="Times New Roman"/>
          <w:sz w:val="20"/>
          <w:szCs w:val="20"/>
        </w:rPr>
        <w:t>, 5th edition. McGraw-Hill, NewYork</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Baker, T.R., Phillips, O.L., Malhi, Y., Almeida, S., Arroyo, L., Di Fiore, A., Erwin, T., Killeen, </w:t>
      </w:r>
      <w:r>
        <w:rPr>
          <w:rFonts w:ascii="Times New Roman" w:hAnsi="Times New Roman"/>
          <w:sz w:val="20"/>
          <w:szCs w:val="20"/>
        </w:rPr>
        <w:tab/>
        <w:t xml:space="preserve">T.J. &amp;Laurance, W.F.. (2004). Variation in wood density determines spatial patterns in Amazonian forest biomass. </w:t>
      </w:r>
      <w:r>
        <w:rPr>
          <w:rFonts w:ascii="Times New Roman" w:hAnsi="Times New Roman"/>
          <w:i/>
          <w:sz w:val="20"/>
          <w:szCs w:val="20"/>
        </w:rPr>
        <w:t>Global. Change. Biology</w:t>
      </w:r>
      <w:r>
        <w:rPr>
          <w:rFonts w:ascii="Times New Roman" w:hAnsi="Times New Roman"/>
          <w:sz w:val="20"/>
          <w:szCs w:val="20"/>
        </w:rPr>
        <w:t>, 10, 545–562.</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lastRenderedPageBreak/>
        <w:t xml:space="preserve">Brunet-Navarro, P., Jochheim, H., and Muys, B. (2016). Modelling carbon stocks and fluxes in the wood product sector: A comparative review. </w:t>
      </w:r>
      <w:r>
        <w:rPr>
          <w:rFonts w:ascii="Times New Roman" w:hAnsi="Times New Roman"/>
          <w:i/>
          <w:iCs/>
          <w:sz w:val="20"/>
          <w:szCs w:val="20"/>
        </w:rPr>
        <w:t>Glob. Change Biol.</w:t>
      </w:r>
      <w:r>
        <w:rPr>
          <w:rFonts w:ascii="Times New Roman" w:hAnsi="Times New Roman"/>
          <w:sz w:val="20"/>
          <w:szCs w:val="20"/>
        </w:rPr>
        <w:t xml:space="preserve"> 22, 2555–2569. doi: 10.1111/gcb.13235</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Brunet-Navarro, P., Jochheim, H., and Muys, B. (2017). The effect of increasing lifespan and recycling rate on carbon storage in wood products from theoretical model to application for the European wood sector. </w:t>
      </w:r>
      <w:r>
        <w:rPr>
          <w:rFonts w:ascii="Times New Roman" w:hAnsi="Times New Roman"/>
          <w:i/>
          <w:iCs/>
          <w:sz w:val="20"/>
          <w:szCs w:val="20"/>
        </w:rPr>
        <w:t>Mitig. Adapt. Strateg. Glob. Change</w:t>
      </w:r>
      <w:r>
        <w:rPr>
          <w:rFonts w:ascii="Times New Roman" w:hAnsi="Times New Roman"/>
          <w:sz w:val="20"/>
          <w:szCs w:val="20"/>
        </w:rPr>
        <w:t xml:space="preserve"> 22, 1193–1205. doi: 10.1007/s11027-016-9722-z</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Chave, J., Andalo, C., Brown, S., Cairns, M.A., Chambers, J.Q., Eamus, D., Fölster, H., Fromard, </w:t>
      </w:r>
      <w:r>
        <w:rPr>
          <w:rFonts w:ascii="Times New Roman" w:hAnsi="Times New Roman"/>
          <w:sz w:val="20"/>
          <w:szCs w:val="20"/>
        </w:rPr>
        <w:tab/>
        <w:t>F., Higuchi, N., Kira, T., Lescure, J.-P., Nelson, B., Ogawa, H., Puig, H., Riéra, B., &amp;</w:t>
      </w:r>
      <w:r>
        <w:rPr>
          <w:rFonts w:ascii="Times New Roman" w:hAnsi="Times New Roman"/>
          <w:sz w:val="20"/>
          <w:szCs w:val="20"/>
        </w:rPr>
        <w:tab/>
        <w:t xml:space="preserve">Yamakura, T.( 2005). Tree allometry and improved estimation of carbon stocks and </w:t>
      </w:r>
      <w:r>
        <w:rPr>
          <w:rFonts w:ascii="Times New Roman" w:hAnsi="Times New Roman"/>
          <w:sz w:val="20"/>
          <w:szCs w:val="20"/>
        </w:rPr>
        <w:tab/>
        <w:t xml:space="preserve">balance in tropical forests. In: </w:t>
      </w:r>
      <w:r>
        <w:rPr>
          <w:rFonts w:ascii="Times New Roman" w:hAnsi="Times New Roman"/>
          <w:i/>
          <w:iCs/>
          <w:sz w:val="20"/>
          <w:szCs w:val="20"/>
        </w:rPr>
        <w:t xml:space="preserve">Oecologia. </w:t>
      </w:r>
      <w:r>
        <w:rPr>
          <w:rFonts w:ascii="Times New Roman" w:hAnsi="Times New Roman"/>
          <w:sz w:val="20"/>
          <w:szCs w:val="20"/>
        </w:rPr>
        <w:t>145: 87–99.</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Chave, J., Réjou-Méchain, M., Búrquez, A., Chidumayo, E., Colgan, M.S., Delitti, W.B.C., Duque, A., Eid, T., Fearnside, P.M., &amp; Goodman, R.C. (2014). Improved allometric models to estimate the aboveground biomass of tropical trees. </w:t>
      </w:r>
      <w:r>
        <w:rPr>
          <w:rFonts w:ascii="Times New Roman" w:hAnsi="Times New Roman"/>
          <w:i/>
          <w:sz w:val="20"/>
          <w:szCs w:val="20"/>
        </w:rPr>
        <w:t>Glob. Chang. Biol</w:t>
      </w:r>
      <w:r>
        <w:rPr>
          <w:rFonts w:ascii="Times New Roman" w:hAnsi="Times New Roman"/>
          <w:sz w:val="20"/>
          <w:szCs w:val="20"/>
        </w:rPr>
        <w:t xml:space="preserve">. </w:t>
      </w:r>
      <w:r>
        <w:rPr>
          <w:rFonts w:ascii="Times New Roman" w:hAnsi="Times New Roman"/>
          <w:b/>
          <w:bCs/>
          <w:sz w:val="20"/>
          <w:szCs w:val="20"/>
        </w:rPr>
        <w:t>Vol</w:t>
      </w:r>
      <w:r>
        <w:rPr>
          <w:rFonts w:ascii="Times New Roman" w:hAnsi="Times New Roman"/>
          <w:sz w:val="20"/>
          <w:szCs w:val="20"/>
        </w:rPr>
        <w:t xml:space="preserve"> 20, </w:t>
      </w:r>
      <w:r>
        <w:rPr>
          <w:rFonts w:ascii="Times New Roman" w:hAnsi="Times New Roman"/>
          <w:sz w:val="20"/>
          <w:szCs w:val="20"/>
        </w:rPr>
        <w:tab/>
        <w:t>3177–</w:t>
      </w:r>
      <w:r>
        <w:rPr>
          <w:rFonts w:ascii="Times New Roman" w:hAnsi="Times New Roman"/>
          <w:sz w:val="20"/>
          <w:szCs w:val="20"/>
        </w:rPr>
        <w:tab/>
        <w:t>3190.</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Davis, L.S., Johnson, K.N., Bettinger, P., &amp; Howard, T.E. (2001). Forest management: To sustain ecological, economic, and social values (4th ed ). Waveland Press, Inc., Long Grove, IL.</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Goodman, R.C., Phillips, O.L., &amp; Baker, T.R. (2014). The importance of crown dimensions to improve tropical tree biomass estimates. </w:t>
      </w:r>
      <w:r>
        <w:rPr>
          <w:rFonts w:ascii="Times New Roman" w:hAnsi="Times New Roman"/>
          <w:i/>
          <w:sz w:val="20"/>
          <w:szCs w:val="20"/>
        </w:rPr>
        <w:t>Ecol. Appl</w:t>
      </w:r>
      <w:r>
        <w:rPr>
          <w:rFonts w:ascii="Times New Roman" w:hAnsi="Times New Roman"/>
          <w:sz w:val="20"/>
          <w:szCs w:val="20"/>
        </w:rPr>
        <w:t xml:space="preserve">. 24, 680–698. </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Gustavsson, L., Madlener, R., Hoen, H. F., Jungmeier, G., Karjalainen, T., Klöhn, S., et al. (2006). The role of wood material for greenhouse gas mitigation. </w:t>
      </w:r>
      <w:r>
        <w:rPr>
          <w:rFonts w:ascii="Times New Roman" w:hAnsi="Times New Roman"/>
          <w:i/>
          <w:iCs/>
          <w:sz w:val="20"/>
          <w:szCs w:val="20"/>
        </w:rPr>
        <w:t>Mitig. Adapt. Strateg. Glob. Change</w:t>
      </w:r>
      <w:r>
        <w:rPr>
          <w:rFonts w:ascii="Times New Roman" w:hAnsi="Times New Roman"/>
          <w:sz w:val="20"/>
          <w:szCs w:val="20"/>
        </w:rPr>
        <w:t xml:space="preserve"> 11, 1097–1127. doi: 10.1007/s11027-006-9035-8</w:t>
      </w:r>
      <w:bookmarkStart w:id="1" w:name="B27"/>
      <w:bookmarkEnd w:id="1"/>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Harris, N. L., Gibbs, D. A., Baccini, A., Birdsey, R. A., De Bruin, S., Farina, M., et al. (2021). Global maps of twenty-first century forest carbon fluxes. </w:t>
      </w:r>
      <w:r>
        <w:rPr>
          <w:rFonts w:ascii="Times New Roman" w:hAnsi="Times New Roman"/>
          <w:i/>
          <w:iCs/>
          <w:sz w:val="20"/>
          <w:szCs w:val="20"/>
        </w:rPr>
        <w:t>Nat. Clim. Change</w:t>
      </w:r>
      <w:r>
        <w:rPr>
          <w:rFonts w:ascii="Times New Roman" w:hAnsi="Times New Roman"/>
          <w:sz w:val="20"/>
          <w:szCs w:val="20"/>
        </w:rPr>
        <w:t xml:space="preserve"> 11, 234–240. doi: 10.1038/s41558-020-00976-6</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Inter-governmental Panel on Climate Change. (2001). ‘The Carbon Cycle and Atmospheric Carbon Dioxide’, In: Houghton, J. T. et al. (eds.), </w:t>
      </w:r>
      <w:r>
        <w:rPr>
          <w:rFonts w:ascii="Times New Roman" w:hAnsi="Times New Roman"/>
          <w:i/>
          <w:iCs/>
          <w:sz w:val="20"/>
          <w:szCs w:val="20"/>
        </w:rPr>
        <w:t xml:space="preserve">Climate Change 2001: The scientific </w:t>
      </w:r>
      <w:r>
        <w:rPr>
          <w:rFonts w:ascii="Times New Roman" w:hAnsi="Times New Roman"/>
          <w:i/>
          <w:iCs/>
          <w:sz w:val="20"/>
          <w:szCs w:val="20"/>
        </w:rPr>
        <w:tab/>
        <w:t>Basis</w:t>
      </w:r>
      <w:r>
        <w:rPr>
          <w:rFonts w:ascii="Times New Roman" w:hAnsi="Times New Roman"/>
          <w:sz w:val="20"/>
          <w:szCs w:val="20"/>
        </w:rPr>
        <w:t>, Cambridge University Press, Cambridge. 183– 237</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eastAsia="TimesNewRoman" w:hAnsi="Times New Roman"/>
          <w:sz w:val="20"/>
          <w:szCs w:val="20"/>
        </w:rPr>
        <w:t xml:space="preserve">Jimoh, S. O., Adesoye, P. O., Adeyemi, A. A &amp;Ikyaagba, E. T. (2012). Forest Structure </w:t>
      </w:r>
      <w:r>
        <w:rPr>
          <w:rFonts w:ascii="Times New Roman" w:eastAsia="TimesNewRoman" w:hAnsi="Times New Roman"/>
          <w:sz w:val="20"/>
          <w:szCs w:val="20"/>
        </w:rPr>
        <w:lastRenderedPageBreak/>
        <w:tab/>
        <w:t>Analysis in the Oban Division of Cross River National Park, Nigeria. Journal of Agricultural Science and Technology B2: 510-518.</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Kershaw, J.A., Ducey, M.J., Beers, T.W., &amp;Husch, B (2016). Forest Mensuration, (5th ed.). Wiley: Hoboken, NJ, USA,. 592.</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Li, L., Wei, X., Zhao, J., Hayes, D., Daigneault, A., Weiskittel, A., et al. (2022). Technological advancement expands carbon storage in harvested wood products in Maine, USA. </w:t>
      </w:r>
      <w:r>
        <w:rPr>
          <w:rFonts w:ascii="Times New Roman" w:hAnsi="Times New Roman"/>
          <w:i/>
          <w:iCs/>
          <w:sz w:val="20"/>
          <w:szCs w:val="20"/>
        </w:rPr>
        <w:t>Biomass Bioenergy</w:t>
      </w:r>
      <w:r>
        <w:rPr>
          <w:rFonts w:ascii="Times New Roman" w:hAnsi="Times New Roman"/>
          <w:sz w:val="20"/>
          <w:szCs w:val="20"/>
        </w:rPr>
        <w:t xml:space="preserve"> 161:106457. doi: 10.1016/j.biombioe.2022.106457</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eastAsia="MinionPro-Regular" w:hAnsi="Times New Roman"/>
          <w:sz w:val="20"/>
          <w:szCs w:val="20"/>
        </w:rPr>
        <w:t xml:space="preserve">Molto, Q., Rossi, V., &amp; Blanc, L. (2013). “Error propagation in biomass estimation in tropical forests,” </w:t>
      </w:r>
      <w:r>
        <w:rPr>
          <w:rFonts w:ascii="Times New Roman" w:eastAsia="MinionPro-Regular" w:hAnsi="Times New Roman"/>
          <w:i/>
          <w:iCs/>
          <w:sz w:val="20"/>
          <w:szCs w:val="20"/>
        </w:rPr>
        <w:t>Methods in Ecology and Evolution</w:t>
      </w:r>
      <w:r>
        <w:rPr>
          <w:rFonts w:ascii="Times New Roman" w:eastAsia="MinionPro-Regular" w:hAnsi="Times New Roman"/>
          <w:sz w:val="20"/>
          <w:szCs w:val="20"/>
        </w:rPr>
        <w:t>,  4 (2),  175–183, 2013.</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NDES (2001).Biological Environment and Resources Report. RSUST, Port Harcourt  46. 251</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Nolan, C. J., Field, C. B., and Mach, K. J. (2021). Constraints and enablers for increasing carbon storage in the terrestrial biosphere. </w:t>
      </w:r>
      <w:r>
        <w:rPr>
          <w:rFonts w:ascii="Times New Roman" w:hAnsi="Times New Roman"/>
          <w:i/>
          <w:iCs/>
          <w:sz w:val="20"/>
          <w:szCs w:val="20"/>
        </w:rPr>
        <w:t>Nat. Rev. Earth Environ.</w:t>
      </w:r>
      <w:r>
        <w:rPr>
          <w:rFonts w:ascii="Times New Roman" w:hAnsi="Times New Roman"/>
          <w:sz w:val="20"/>
          <w:szCs w:val="20"/>
        </w:rPr>
        <w:t xml:space="preserve"> 2, 436–446. doi: 10.1038/s43017-021-00166-8</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Pan, Y., Birdsey, R. A., Fang, J., Houghton, R., Kauppi, P. E., Kurz, W. A., et al. (2011). A large and persistent carbon sink in the world’s forests. </w:t>
      </w:r>
      <w:r>
        <w:rPr>
          <w:rFonts w:ascii="Times New Roman" w:hAnsi="Times New Roman"/>
          <w:i/>
          <w:iCs/>
          <w:sz w:val="20"/>
          <w:szCs w:val="20"/>
        </w:rPr>
        <w:t>Science</w:t>
      </w:r>
      <w:r>
        <w:rPr>
          <w:rFonts w:ascii="Times New Roman" w:hAnsi="Times New Roman"/>
          <w:sz w:val="20"/>
          <w:szCs w:val="20"/>
        </w:rPr>
        <w:t xml:space="preserve"> 333, 988–993. doi: 10.1126/science.1201609</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Philip, M.S. (1994). </w:t>
      </w:r>
      <w:r>
        <w:rPr>
          <w:rFonts w:ascii="Times New Roman" w:hAnsi="Times New Roman"/>
          <w:i/>
          <w:iCs/>
          <w:sz w:val="20"/>
          <w:szCs w:val="20"/>
        </w:rPr>
        <w:t>Measuring Trees and Forests</w:t>
      </w:r>
      <w:r>
        <w:rPr>
          <w:rFonts w:ascii="Times New Roman" w:hAnsi="Times New Roman"/>
          <w:sz w:val="20"/>
          <w:szCs w:val="20"/>
        </w:rPr>
        <w:t>. 2nd edition. Oxford: CABI Publishing. 310</w:t>
      </w:r>
      <w:r>
        <w:rPr>
          <w:rFonts w:ascii="Times New Roman" w:hAnsi="Times New Roman"/>
          <w:i/>
          <w:iCs/>
          <w:sz w:val="20"/>
          <w:szCs w:val="20"/>
        </w:rPr>
        <w:t>.</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Seidl, R., Schelhaas, M. J., Rammer, W., and Verkerk, P. J. (2014). Increasing forest disturbances in Europe and their impact on carbon storage. </w:t>
      </w:r>
      <w:r>
        <w:rPr>
          <w:rFonts w:ascii="Times New Roman" w:hAnsi="Times New Roman"/>
          <w:i/>
          <w:iCs/>
          <w:sz w:val="20"/>
          <w:szCs w:val="20"/>
        </w:rPr>
        <w:t>Nat. Clim. Change</w:t>
      </w:r>
      <w:r>
        <w:rPr>
          <w:rFonts w:ascii="Times New Roman" w:hAnsi="Times New Roman"/>
          <w:sz w:val="20"/>
          <w:szCs w:val="20"/>
        </w:rPr>
        <w:t xml:space="preserve"> 4, 806–810. doi: 10.1038/nclimate2318</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Silprandi, N.C., Nogueira, E.M., Toledo, J.J., Fearnside, P.M., &amp;Nascimento, H.E.M. (2016). </w:t>
      </w:r>
      <w:r>
        <w:rPr>
          <w:rFonts w:ascii="Times New Roman" w:hAnsi="Times New Roman"/>
          <w:sz w:val="20"/>
          <w:szCs w:val="20"/>
        </w:rPr>
        <w:tab/>
        <w:t xml:space="preserve">Inter-site variation in allometry and wood density of GoupiaglabraAubl. in Amazonia. Braz. </w:t>
      </w:r>
      <w:r>
        <w:rPr>
          <w:rFonts w:ascii="Times New Roman" w:hAnsi="Times New Roman"/>
          <w:i/>
          <w:sz w:val="20"/>
          <w:szCs w:val="20"/>
        </w:rPr>
        <w:t>Journal. Biol.</w:t>
      </w:r>
      <w:r>
        <w:rPr>
          <w:rFonts w:ascii="Times New Roman" w:hAnsi="Times New Roman"/>
          <w:sz w:val="20"/>
          <w:szCs w:val="20"/>
        </w:rPr>
        <w:t>76, 268–276.</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Skog, K. E., and Nicholson, G. A. (2000). “Carbon sequestration in wood and paper products,” in </w:t>
      </w:r>
      <w:r>
        <w:rPr>
          <w:rFonts w:ascii="Times New Roman" w:hAnsi="Times New Roman"/>
          <w:i/>
          <w:iCs/>
          <w:sz w:val="20"/>
          <w:szCs w:val="20"/>
        </w:rPr>
        <w:t xml:space="preserve">The impact of climate change on America”s forests: A technical document </w:t>
      </w:r>
      <w:r>
        <w:rPr>
          <w:rFonts w:ascii="Times New Roman" w:hAnsi="Times New Roman"/>
          <w:i/>
          <w:iCs/>
          <w:sz w:val="20"/>
          <w:szCs w:val="20"/>
        </w:rPr>
        <w:lastRenderedPageBreak/>
        <w:t>supporting the 2000 USDA Forest Service RPA Assessment. Gen. Tech. Rep. RMRS-GTR-59</w:t>
      </w:r>
      <w:r>
        <w:rPr>
          <w:rFonts w:ascii="Times New Roman" w:hAnsi="Times New Roman"/>
          <w:sz w:val="20"/>
          <w:szCs w:val="20"/>
        </w:rPr>
        <w:t>, eds L. A. Joyce and R. Birdsey (Fort Collins, CO: U.S. Department of Agriculture, Forest Service), 79–88.</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Smith, M. N., Taylor, T. C., Van Haren, J., Rosolem, R., Restrepo-Coupe, N., Adams, J., et al. (2020). Empirical evidence for resilience of tropical forest photosynthesis in a warmer world. </w:t>
      </w:r>
      <w:r>
        <w:rPr>
          <w:rFonts w:ascii="Times New Roman" w:hAnsi="Times New Roman"/>
          <w:i/>
          <w:iCs/>
          <w:sz w:val="20"/>
          <w:szCs w:val="20"/>
        </w:rPr>
        <w:t>Nat. Plants</w:t>
      </w:r>
      <w:r>
        <w:rPr>
          <w:rFonts w:ascii="Times New Roman" w:hAnsi="Times New Roman"/>
          <w:sz w:val="20"/>
          <w:szCs w:val="20"/>
        </w:rPr>
        <w:t xml:space="preserve"> 6, 1225–1230. doi: 10.1038/s41477-020-00780-2</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eastAsia="TimesNewRoman" w:hAnsi="Times New Roman"/>
          <w:sz w:val="20"/>
          <w:szCs w:val="20"/>
        </w:rPr>
        <w:t>Wardle, D. A., Walker, L. R. and Bardgett, R. D. (2004). Ecosystem Properties and Forest Decline in Contrasting Long- Term Chronosequence. Science 305: 509-513.</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Wong, T.M. (2002).</w:t>
      </w:r>
      <w:r>
        <w:rPr>
          <w:rFonts w:ascii="Times New Roman" w:hAnsi="Times New Roman"/>
          <w:i/>
          <w:sz w:val="20"/>
          <w:szCs w:val="20"/>
        </w:rPr>
        <w:t xml:space="preserve">A Dictionary of Malaysian Timbers. </w:t>
      </w:r>
      <w:r>
        <w:rPr>
          <w:rFonts w:ascii="Times New Roman" w:hAnsi="Times New Roman"/>
          <w:sz w:val="20"/>
          <w:szCs w:val="20"/>
        </w:rPr>
        <w:t xml:space="preserve">Revised by Lim, S.C.&amp; Chung, R.C.K. </w:t>
      </w:r>
      <w:r>
        <w:rPr>
          <w:rFonts w:ascii="Times New Roman" w:hAnsi="Times New Roman"/>
          <w:sz w:val="20"/>
          <w:szCs w:val="20"/>
        </w:rPr>
        <w:tab/>
        <w:t>Malayan Forest Record; No. 30.Forest Research Institute Malaysia. Printed in Malaysia by Percetakan Haji Jantan, Kuala Lumpur, Malaysia..201.</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Zabbey, N. (2004). Impacts of extractive industries on the biodiversity of the Niger Delta Region. </w:t>
      </w:r>
      <w:r>
        <w:rPr>
          <w:rFonts w:ascii="Times New Roman" w:hAnsi="Times New Roman"/>
          <w:sz w:val="20"/>
          <w:szCs w:val="20"/>
        </w:rPr>
        <w:tab/>
        <w:t xml:space="preserve">Paper Presented At A 3-Day National Workshop on Coastal and Marine Biodiversity </w:t>
      </w:r>
      <w:r>
        <w:rPr>
          <w:rFonts w:ascii="Times New Roman" w:hAnsi="Times New Roman"/>
          <w:sz w:val="20"/>
          <w:szCs w:val="20"/>
        </w:rPr>
        <w:tab/>
        <w:t>Management Holding in Pyramid Hotel, Calabar</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Zhang, X., Chen, J., Dias, A. C., and Yang, H. (2020). Improving Carbon Stock Estimates for In-Use Harvested Wood Products by Linking Production and Consumption—A Global Case Study. </w:t>
      </w:r>
      <w:r>
        <w:rPr>
          <w:rFonts w:ascii="Times New Roman" w:hAnsi="Times New Roman"/>
          <w:i/>
          <w:iCs/>
          <w:sz w:val="20"/>
          <w:szCs w:val="20"/>
        </w:rPr>
        <w:t>Environ. Sci. Technol.</w:t>
      </w:r>
      <w:r>
        <w:rPr>
          <w:rFonts w:ascii="Times New Roman" w:hAnsi="Times New Roman"/>
          <w:sz w:val="20"/>
          <w:szCs w:val="20"/>
        </w:rPr>
        <w:t xml:space="preserve"> 54, 2565–2574. doi: 10.1021/acs.est.9b05721</w:t>
      </w:r>
    </w:p>
    <w:p w:rsidR="004F3F42" w:rsidRDefault="009A1E75" w:rsidP="003353F2">
      <w:pPr>
        <w:pStyle w:val="ListParagraph"/>
        <w:numPr>
          <w:ilvl w:val="0"/>
          <w:numId w:val="2"/>
        </w:numPr>
        <w:autoSpaceDE w:val="0"/>
        <w:autoSpaceDN w:val="0"/>
        <w:adjustRightInd w:val="0"/>
        <w:spacing w:after="0" w:line="240" w:lineRule="auto"/>
        <w:ind w:left="567" w:hanging="567"/>
        <w:jc w:val="both"/>
        <w:rPr>
          <w:rFonts w:ascii="Times New Roman" w:eastAsia="TimesNewRoman" w:hAnsi="Times New Roman"/>
          <w:sz w:val="20"/>
          <w:szCs w:val="20"/>
        </w:rPr>
      </w:pPr>
      <w:r>
        <w:rPr>
          <w:rFonts w:ascii="Times New Roman" w:hAnsi="Times New Roman"/>
          <w:sz w:val="20"/>
          <w:szCs w:val="20"/>
        </w:rPr>
        <w:t xml:space="preserve">Zhao, J., Daigneault, A., and Weiskittel, A. (2022). Estimating regional timber supply and forest carbon sequestration under shared socioeconomic pathways: A case study of Maine, USA. </w:t>
      </w:r>
      <w:r>
        <w:rPr>
          <w:rFonts w:ascii="Times New Roman" w:hAnsi="Times New Roman"/>
          <w:i/>
          <w:iCs/>
          <w:sz w:val="20"/>
          <w:szCs w:val="20"/>
        </w:rPr>
        <w:t>PLoSClim.</w:t>
      </w:r>
      <w:r>
        <w:rPr>
          <w:rFonts w:ascii="Times New Roman" w:hAnsi="Times New Roman"/>
          <w:sz w:val="20"/>
          <w:szCs w:val="20"/>
        </w:rPr>
        <w:t>1:e0000018. doi: 10.1371/journal.pclm.0000018</w:t>
      </w:r>
    </w:p>
    <w:p w:rsidR="004F3F42" w:rsidRDefault="004F3F42">
      <w:pPr>
        <w:jc w:val="both"/>
        <w:rPr>
          <w:sz w:val="20"/>
          <w:szCs w:val="20"/>
        </w:rPr>
        <w:sectPr w:rsidR="004F3F42">
          <w:footnotePr>
            <w:pos w:val="beneathText"/>
          </w:footnotePr>
          <w:type w:val="continuous"/>
          <w:pgSz w:w="12240" w:h="15840"/>
          <w:pgMar w:top="1440" w:right="1440" w:bottom="1440" w:left="1440" w:header="720" w:footer="720" w:gutter="0"/>
          <w:cols w:num="2" w:space="576"/>
          <w:docGrid w:linePitch="360"/>
        </w:sectPr>
      </w:pPr>
    </w:p>
    <w:p w:rsidR="004F3F42" w:rsidRDefault="004F3F42">
      <w:pPr>
        <w:jc w:val="both"/>
        <w:rPr>
          <w:sz w:val="20"/>
          <w:szCs w:val="20"/>
        </w:rPr>
      </w:pPr>
    </w:p>
    <w:p w:rsidR="004F3F42" w:rsidRDefault="004F3F42">
      <w:pPr>
        <w:jc w:val="both"/>
        <w:rPr>
          <w:sz w:val="20"/>
          <w:szCs w:val="20"/>
        </w:rPr>
      </w:pPr>
    </w:p>
    <w:p w:rsidR="004F3F42" w:rsidRDefault="004F3F42">
      <w:pPr>
        <w:jc w:val="both"/>
        <w:rPr>
          <w:sz w:val="20"/>
          <w:szCs w:val="20"/>
        </w:rPr>
      </w:pPr>
    </w:p>
    <w:p w:rsidR="004F3F42" w:rsidRDefault="004F3F42">
      <w:pPr>
        <w:jc w:val="both"/>
        <w:rPr>
          <w:sz w:val="20"/>
          <w:szCs w:val="20"/>
        </w:rPr>
      </w:pPr>
    </w:p>
    <w:p w:rsidR="004F3F42" w:rsidRDefault="009A1E75">
      <w:pPr>
        <w:jc w:val="right"/>
        <w:rPr>
          <w:rFonts w:eastAsia="DengXian"/>
          <w:sz w:val="20"/>
          <w:szCs w:val="20"/>
          <w:lang w:eastAsia="zh-CN"/>
        </w:rPr>
      </w:pPr>
      <w:r>
        <w:rPr>
          <w:sz w:val="20"/>
          <w:szCs w:val="20"/>
        </w:rPr>
        <w:t>7/</w:t>
      </w:r>
      <w:r>
        <w:rPr>
          <w:rFonts w:eastAsia="DengXian"/>
          <w:sz w:val="20"/>
          <w:szCs w:val="20"/>
          <w:lang w:eastAsia="zh-CN"/>
        </w:rPr>
        <w:t>5/2023</w:t>
      </w:r>
    </w:p>
    <w:p w:rsidR="004F3F42" w:rsidRDefault="004F3F42">
      <w:pPr>
        <w:jc w:val="both"/>
        <w:rPr>
          <w:sz w:val="20"/>
          <w:szCs w:val="20"/>
        </w:rPr>
      </w:pPr>
    </w:p>
    <w:sectPr w:rsidR="004F3F42" w:rsidSect="00547315">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A88" w:rsidRDefault="00815A88">
      <w:r>
        <w:separator/>
      </w:r>
    </w:p>
  </w:endnote>
  <w:endnote w:type="continuationSeparator" w:id="0">
    <w:p w:rsidR="00815A88" w:rsidRDefault="0081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88"/>
    <w:family w:val="auto"/>
    <w:pitch w:val="variable"/>
    <w:sig w:usb0="00000001" w:usb1="08080000" w:usb2="00000010" w:usb3="00000000" w:csb0="00100000" w:csb1="00000000"/>
  </w:font>
  <w:font w:name="Futura CondensedExtraBold">
    <w:altName w:val="Segoe Print"/>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Gothic"/>
    <w:charset w:val="80"/>
    <w:family w:val="auto"/>
    <w:pitch w:val="default"/>
    <w:sig w:usb0="00000000" w:usb1="00000000" w:usb2="00000010" w:usb3="00000000" w:csb0="00020000" w:csb1="00000000"/>
  </w:font>
  <w:font w:name="MinionPro-Regular">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Math">
    <w:altName w:val="MS Gothic"/>
    <w:charset w:val="80"/>
    <w:family w:val="auto"/>
    <w:pitch w:val="default"/>
    <w:sig w:usb0="00000000" w:usb1="00000000" w:usb2="00000010" w:usb3="00000000" w:csb0="00020000" w:csb1="00000000"/>
  </w:font>
  <w:font w:name="TTF8t00">
    <w:altName w:val="MS Gothic"/>
    <w:charset w:val="80"/>
    <w:family w:val="auto"/>
    <w:pitch w:val="default"/>
    <w:sig w:usb0="00000000" w:usb1="0000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F42" w:rsidRDefault="00547315">
    <w:pPr>
      <w:pStyle w:val="Footer"/>
      <w:framePr w:wrap="around" w:vAnchor="text" w:hAnchor="margin" w:xAlign="center" w:y="1"/>
      <w:rPr>
        <w:rStyle w:val="PageNumber"/>
      </w:rPr>
    </w:pPr>
    <w:r>
      <w:rPr>
        <w:rStyle w:val="PageNumber"/>
      </w:rPr>
      <w:fldChar w:fldCharType="begin"/>
    </w:r>
    <w:r w:rsidR="009A1E75">
      <w:rPr>
        <w:rStyle w:val="PageNumber"/>
      </w:rPr>
      <w:instrText xml:space="preserve">PAGE  </w:instrText>
    </w:r>
    <w:r>
      <w:rPr>
        <w:rStyle w:val="PageNumber"/>
      </w:rPr>
      <w:fldChar w:fldCharType="end"/>
    </w:r>
  </w:p>
  <w:p w:rsidR="004F3F42" w:rsidRDefault="004F3F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F42" w:rsidRDefault="006D70E9">
    <w:pPr>
      <w:pStyle w:val="Footer"/>
      <w:tabs>
        <w:tab w:val="clear" w:pos="4320"/>
        <w:tab w:val="clear" w:pos="8640"/>
        <w:tab w:val="center" w:pos="4680"/>
        <w:tab w:val="right" w:pos="9360"/>
      </w:tabs>
      <w:ind w:firstLineChars="300" w:firstLine="600"/>
    </w:pPr>
    <w:r w:rsidRPr="00547315">
      <w:rPr>
        <w:noProof/>
        <w:sz w:val="20"/>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7635" cy="146050"/>
              <wp:effectExtent l="0" t="0" r="0" b="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3F42" w:rsidRDefault="00547315">
                          <w:pPr>
                            <w:pStyle w:val="Footer"/>
                            <w:rPr>
                              <w:rStyle w:val="PageNumber"/>
                              <w:sz w:val="20"/>
                              <w:szCs w:val="20"/>
                            </w:rPr>
                          </w:pPr>
                          <w:r>
                            <w:rPr>
                              <w:rStyle w:val="PageNumber"/>
                              <w:sz w:val="20"/>
                              <w:szCs w:val="20"/>
                            </w:rPr>
                            <w:fldChar w:fldCharType="begin"/>
                          </w:r>
                          <w:r w:rsidR="009A1E75">
                            <w:rPr>
                              <w:rStyle w:val="PageNumber"/>
                              <w:sz w:val="20"/>
                              <w:szCs w:val="20"/>
                            </w:rPr>
                            <w:instrText xml:space="preserve">PAGE  </w:instrText>
                          </w:r>
                          <w:r>
                            <w:rPr>
                              <w:rStyle w:val="PageNumber"/>
                              <w:sz w:val="20"/>
                              <w:szCs w:val="20"/>
                            </w:rPr>
                            <w:fldChar w:fldCharType="separate"/>
                          </w:r>
                          <w:r w:rsidR="006D70E9">
                            <w:rPr>
                              <w:rStyle w:val="PageNumber"/>
                              <w:noProof/>
                              <w:sz w:val="20"/>
                              <w:szCs w:val="20"/>
                            </w:rPr>
                            <w:t>30</w:t>
                          </w:r>
                          <w:r>
                            <w:rPr>
                              <w:rStyle w:val="PageNumber"/>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10.05pt;height:1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" filled="f" stroked="f" strokeweight=".5pt">
              <v:textbox style="mso-fit-shape-to-text:t" inset="0,0,0,0">
                <w:txbxContent>
                  <w:p w:rsidR="004F3F42" w:rsidRDefault="00547315">
                    <w:pPr>
                      <w:pStyle w:val="Footer"/>
                      <w:rPr>
                        <w:rStyle w:val="PageNumber"/>
                        <w:sz w:val="20"/>
                        <w:szCs w:val="20"/>
                      </w:rPr>
                    </w:pPr>
                    <w:r>
                      <w:rPr>
                        <w:rStyle w:val="PageNumber"/>
                        <w:sz w:val="20"/>
                        <w:szCs w:val="20"/>
                      </w:rPr>
                      <w:fldChar w:fldCharType="begin"/>
                    </w:r>
                    <w:r w:rsidR="009A1E75">
                      <w:rPr>
                        <w:rStyle w:val="PageNumber"/>
                        <w:sz w:val="20"/>
                        <w:szCs w:val="20"/>
                      </w:rPr>
                      <w:instrText xml:space="preserve">PAGE  </w:instrText>
                    </w:r>
                    <w:r>
                      <w:rPr>
                        <w:rStyle w:val="PageNumber"/>
                        <w:sz w:val="20"/>
                        <w:szCs w:val="20"/>
                      </w:rPr>
                      <w:fldChar w:fldCharType="separate"/>
                    </w:r>
                    <w:r w:rsidR="006D70E9">
                      <w:rPr>
                        <w:rStyle w:val="PageNumber"/>
                        <w:noProof/>
                        <w:sz w:val="20"/>
                        <w:szCs w:val="20"/>
                      </w:rPr>
                      <w:t>30</w:t>
                    </w:r>
                    <w:r>
                      <w:rPr>
                        <w:rStyle w:val="PageNumber"/>
                        <w:sz w:val="20"/>
                        <w:szCs w:val="20"/>
                      </w:rPr>
                      <w:fldChar w:fldCharType="end"/>
                    </w:r>
                  </w:p>
                </w:txbxContent>
              </v:textbox>
              <w10:wrap anchorx="margin"/>
            </v:shape>
          </w:pict>
        </mc:Fallback>
      </mc:AlternateContent>
    </w:r>
    <w:hyperlink r:id="rId1" w:history="1">
      <w:r w:rsidR="009A1E75">
        <w:rPr>
          <w:rStyle w:val="Hyperlink"/>
          <w:sz w:val="20"/>
          <w:szCs w:val="20"/>
        </w:rPr>
        <w:t>http://www.sciencepub.net/researcher</w:t>
      </w:r>
    </w:hyperlink>
    <w:r w:rsidR="00AB3A8B">
      <w:t xml:space="preserve">                           </w:t>
    </w:r>
    <w:hyperlink r:id="rId2" w:history="1">
      <w:r w:rsidR="009A1E75">
        <w:rPr>
          <w:rStyle w:val="Hyperlink"/>
          <w:bCs/>
          <w:sz w:val="20"/>
          <w:szCs w:val="20"/>
        </w:rPr>
        <w:t>researcher135@gmail.com</w:t>
      </w:r>
    </w:hyperlink>
    <w:r w:rsidRPr="00547315">
      <w:rPr>
        <w:noProof/>
        <w:sz w:val="22"/>
        <w:lang w:eastAsia="zh-CN"/>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69215" cy="17526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75260"/>
                      </a:xfrm>
                      <a:prstGeom prst="rect">
                        <a:avLst/>
                      </a:prstGeom>
                      <a:noFill/>
                      <a:ln w="6350">
                        <a:noFill/>
                      </a:ln>
                    </wps:spPr>
                    <wps:txbx>
                      <w:txbxContent>
                        <w:p w:rsidR="00547315" w:rsidRDefault="00547315"/>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0;margin-top:0;width:5.45pt;height:13.8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" filled="f" stroked="f" strokeweight=".5pt">
              <v:path arrowok="t"/>
              <v:textbox style="mso-fit-shape-to-text:t" inset="0,0,0,0">
                <w:txbxContent>
                  <w:p w:rsidR="00547315" w:rsidRDefault="00547315"/>
                </w:txbxContent>
              </v:textbox>
              <w10:wrap anchorx="margin"/>
            </v:shape>
          </w:pict>
        </mc:Fallback>
      </mc:AlternateContent>
    </w:r>
  </w:p>
  <w:p w:rsidR="004F3F42" w:rsidRDefault="004F3F42">
    <w:pPr>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F42" w:rsidRDefault="006D70E9">
    <w:pPr>
      <w:pStyle w:val="Footer"/>
      <w:tabs>
        <w:tab w:val="clear" w:pos="4320"/>
        <w:tab w:val="clear" w:pos="8640"/>
        <w:tab w:val="center" w:pos="4680"/>
        <w:tab w:val="right" w:pos="9360"/>
      </w:tabs>
      <w:ind w:firstLineChars="300" w:firstLine="600"/>
      <w:rPr>
        <w:sz w:val="22"/>
      </w:rPr>
    </w:pPr>
    <w:r w:rsidRPr="00547315">
      <w:rPr>
        <w:noProof/>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146050"/>
              <wp:effectExtent l="0" t="0" r="0" b="0"/>
              <wp:wrapNone/>
              <wp:docPr id="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3F42" w:rsidRDefault="00547315">
                          <w:pPr>
                            <w:pStyle w:val="Footer"/>
                            <w:rPr>
                              <w:sz w:val="20"/>
                              <w:szCs w:val="20"/>
                            </w:rPr>
                          </w:pPr>
                          <w:r>
                            <w:rPr>
                              <w:sz w:val="20"/>
                              <w:szCs w:val="20"/>
                            </w:rPr>
                            <w:fldChar w:fldCharType="begin"/>
                          </w:r>
                          <w:r w:rsidR="009A1E75">
                            <w:rPr>
                              <w:sz w:val="20"/>
                              <w:szCs w:val="20"/>
                            </w:rPr>
                            <w:instrText xml:space="preserve"> PAGE  \* MERGEFORMAT </w:instrText>
                          </w:r>
                          <w:r>
                            <w:rPr>
                              <w:sz w:val="20"/>
                              <w:szCs w:val="20"/>
                            </w:rPr>
                            <w:fldChar w:fldCharType="separate"/>
                          </w:r>
                          <w:r w:rsidR="006D70E9">
                            <w:rPr>
                              <w:noProof/>
                              <w:sz w:val="20"/>
                              <w:szCs w:val="20"/>
                            </w:rPr>
                            <w:t>29</w:t>
                          </w:r>
                          <w:r>
                            <w:rPr>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10.0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" filled="f" stroked="f" strokeweight=".5pt">
              <v:textbox style="mso-fit-shape-to-text:t" inset="0,0,0,0">
                <w:txbxContent>
                  <w:p w:rsidR="004F3F42" w:rsidRDefault="00547315">
                    <w:pPr>
                      <w:pStyle w:val="Footer"/>
                      <w:rPr>
                        <w:sz w:val="20"/>
                        <w:szCs w:val="20"/>
                      </w:rPr>
                    </w:pPr>
                    <w:r>
                      <w:rPr>
                        <w:sz w:val="20"/>
                        <w:szCs w:val="20"/>
                      </w:rPr>
                      <w:fldChar w:fldCharType="begin"/>
                    </w:r>
                    <w:r w:rsidR="009A1E75">
                      <w:rPr>
                        <w:sz w:val="20"/>
                        <w:szCs w:val="20"/>
                      </w:rPr>
                      <w:instrText xml:space="preserve"> PAGE  \* MERGEFORMAT </w:instrText>
                    </w:r>
                    <w:r>
                      <w:rPr>
                        <w:sz w:val="20"/>
                        <w:szCs w:val="20"/>
                      </w:rPr>
                      <w:fldChar w:fldCharType="separate"/>
                    </w:r>
                    <w:r w:rsidR="006D70E9">
                      <w:rPr>
                        <w:noProof/>
                        <w:sz w:val="20"/>
                        <w:szCs w:val="20"/>
                      </w:rPr>
                      <w:t>29</w:t>
                    </w:r>
                    <w:r>
                      <w:rPr>
                        <w:sz w:val="20"/>
                        <w:szCs w:val="20"/>
                      </w:rPr>
                      <w:fldChar w:fldCharType="end"/>
                    </w:r>
                  </w:p>
                </w:txbxContent>
              </v:textbox>
              <w10:wrap anchorx="margin"/>
            </v:shape>
          </w:pict>
        </mc:Fallback>
      </mc:AlternateContent>
    </w:r>
    <w:hyperlink r:id="rId1" w:history="1">
      <w:r w:rsidR="009A1E75">
        <w:rPr>
          <w:rStyle w:val="Hyperlink"/>
          <w:sz w:val="20"/>
          <w:szCs w:val="20"/>
        </w:rPr>
        <w:t>http://www.sciencepub.net/researcher</w:t>
      </w:r>
    </w:hyperlink>
    <w:r w:rsidR="00AB3A8B">
      <w:t xml:space="preserve">                              </w:t>
    </w:r>
    <w:hyperlink r:id="rId2" w:history="1">
      <w:r w:rsidR="009A1E75">
        <w:rPr>
          <w:rStyle w:val="Hyperlink"/>
          <w:bCs/>
          <w:sz w:val="20"/>
          <w:szCs w:val="20"/>
        </w:rPr>
        <w:t>researcher135@gmail.com</w:t>
      </w:r>
    </w:hyperlink>
    <w:r>
      <w:rPr>
        <w:noProof/>
        <w:sz w:val="22"/>
        <w:lang w:eastAsia="zh-CN"/>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69215" cy="17526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75260"/>
                      </a:xfrm>
                      <a:prstGeom prst="rect">
                        <a:avLst/>
                      </a:prstGeom>
                      <a:noFill/>
                      <a:ln w="6350">
                        <a:noFill/>
                      </a:ln>
                    </wps:spPr>
                    <wps:txbx>
                      <w:txbxContent>
                        <w:p w:rsidR="00547315" w:rsidRDefault="00547315"/>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id="文本框 3" o:spid="_x0000_s1029" type="#_x0000_t202" style="position:absolute;left:0;text-align:left;margin-left:0;margin-top:0;width:5.45pt;height:13.8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" filled="f" stroked="f" strokeweight=".5pt">
              <v:path arrowok="t"/>
              <v:textbox style="mso-fit-shape-to-text:t" inset="0,0,0,0">
                <w:txbxContent>
                  <w:p w:rsidR="00547315" w:rsidRDefault="00547315"/>
                </w:txbxContent>
              </v:textbox>
              <w10:wrap anchorx="margin"/>
            </v:shape>
          </w:pict>
        </mc:Fallback>
      </mc:AlternateContent>
    </w:r>
  </w:p>
  <w:p w:rsidR="004F3F42" w:rsidRDefault="004F3F42">
    <w:pPr>
      <w:pStyle w:val="Footer"/>
      <w:tabs>
        <w:tab w:val="clear" w:pos="4320"/>
        <w:tab w:val="clear" w:pos="8640"/>
        <w:tab w:val="center" w:pos="4680"/>
        <w:tab w:val="right" w:pos="9360"/>
      </w:tabs>
      <w:ind w:firstLineChars="300" w:firstLine="660"/>
      <w:rP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A88" w:rsidRDefault="00815A88">
      <w:r>
        <w:separator/>
      </w:r>
    </w:p>
  </w:footnote>
  <w:footnote w:type="continuationSeparator" w:id="0">
    <w:p w:rsidR="00815A88" w:rsidRDefault="00815A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F42" w:rsidRDefault="009A1E75">
    <w:pPr>
      <w:widowControl w:val="0"/>
      <w:pBdr>
        <w:bottom w:val="thinThickMediumGap" w:sz="12" w:space="1" w:color="auto"/>
      </w:pBdr>
      <w:autoSpaceDE w:val="0"/>
      <w:autoSpaceDN w:val="0"/>
      <w:snapToGrid w:val="0"/>
      <w:jc w:val="both"/>
    </w:pPr>
    <w:r>
      <w:rPr>
        <w:iCs/>
        <w:color w:val="000000"/>
        <w:sz w:val="20"/>
        <w:szCs w:val="20"/>
      </w:rPr>
      <w:t>Researcher</w:t>
    </w:r>
    <w:r>
      <w:rPr>
        <w:iCs/>
        <w:sz w:val="20"/>
        <w:szCs w:val="20"/>
      </w:rPr>
      <w:t>202</w:t>
    </w:r>
    <w:r>
      <w:rPr>
        <w:rFonts w:hint="eastAsia"/>
        <w:iCs/>
        <w:sz w:val="20"/>
        <w:szCs w:val="20"/>
        <w:lang w:eastAsia="zh-CN"/>
      </w:rPr>
      <w:t>3</w:t>
    </w:r>
    <w:r>
      <w:rPr>
        <w:iCs/>
        <w:sz w:val="20"/>
        <w:szCs w:val="20"/>
      </w:rPr>
      <w:t>;</w:t>
    </w:r>
    <w:r>
      <w:rPr>
        <w:iCs/>
        <w:sz w:val="20"/>
        <w:szCs w:val="20"/>
        <w:lang w:eastAsia="zh-CN"/>
      </w:rPr>
      <w:t>1</w:t>
    </w:r>
    <w:r>
      <w:rPr>
        <w:rFonts w:hint="eastAsia"/>
        <w:iCs/>
        <w:sz w:val="20"/>
        <w:szCs w:val="20"/>
        <w:lang w:eastAsia="zh-CN"/>
      </w:rPr>
      <w:t>5</w:t>
    </w:r>
    <w:r>
      <w:rPr>
        <w:iCs/>
        <w:sz w:val="20"/>
        <w:szCs w:val="20"/>
      </w:rPr>
      <w:t>(</w:t>
    </w:r>
    <w:r>
      <w:rPr>
        <w:rFonts w:hint="eastAsia"/>
        <w:iCs/>
        <w:sz w:val="20"/>
        <w:szCs w:val="20"/>
        <w:lang w:eastAsia="zh-CN"/>
      </w:rPr>
      <w:t>7</w:t>
    </w:r>
    <w:r>
      <w:rPr>
        <w:iCs/>
        <w:sz w:val="20"/>
        <w:szCs w:val="20"/>
      </w:rPr>
      <w:t xml:space="preserve">)      </w:t>
    </w:r>
    <w:r w:rsidR="00AB3A8B">
      <w:rPr>
        <w:iCs/>
        <w:sz w:val="20"/>
        <w:szCs w:val="20"/>
      </w:rPr>
      <w:t xml:space="preserve">                                                              </w:t>
    </w:r>
    <w:r>
      <w:rPr>
        <w:iCs/>
        <w:sz w:val="20"/>
        <w:szCs w:val="20"/>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4F3F42" w:rsidRDefault="004F3F42">
    <w:pPr>
      <w:pStyle w:val="Header"/>
      <w:rPr>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F42" w:rsidRDefault="006D70E9">
    <w:pPr>
      <w:pStyle w:val="Header"/>
    </w:pPr>
    <w:r w:rsidRPr="000209DD">
      <w:rPr>
        <w:b/>
        <w:noProof/>
        <w:sz w:val="20"/>
        <w:szCs w:val="20"/>
        <w:lang w:eastAsia="zh-CN"/>
      </w:rPr>
      <w:drawing>
        <wp:inline distT="0" distB="0" distL="0" distR="0">
          <wp:extent cx="5972175" cy="790575"/>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B5BDFC"/>
    <w:multiLevelType w:val="multilevel"/>
    <w:tmpl w:val="9BB5BDFC"/>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kNjNjMWIxYmU5NjVmZTcwN2QyYWRlMDA4NGJlNDEifQ=="/>
  </w:docVars>
  <w:rsids>
    <w:rsidRoot w:val="009459B3"/>
    <w:rsid w:val="00000358"/>
    <w:rsid w:val="00005C8E"/>
    <w:rsid w:val="000075A2"/>
    <w:rsid w:val="00012408"/>
    <w:rsid w:val="000209DD"/>
    <w:rsid w:val="00042753"/>
    <w:rsid w:val="0006091F"/>
    <w:rsid w:val="00080CE9"/>
    <w:rsid w:val="000827B7"/>
    <w:rsid w:val="000844D7"/>
    <w:rsid w:val="00086790"/>
    <w:rsid w:val="00090A06"/>
    <w:rsid w:val="000A0250"/>
    <w:rsid w:val="000B46C6"/>
    <w:rsid w:val="000F1D12"/>
    <w:rsid w:val="000F24D3"/>
    <w:rsid w:val="001063EC"/>
    <w:rsid w:val="001817C7"/>
    <w:rsid w:val="00183764"/>
    <w:rsid w:val="00192076"/>
    <w:rsid w:val="001964D0"/>
    <w:rsid w:val="001B41B8"/>
    <w:rsid w:val="001B650D"/>
    <w:rsid w:val="001C3D42"/>
    <w:rsid w:val="001C6F49"/>
    <w:rsid w:val="001E32B8"/>
    <w:rsid w:val="00205E97"/>
    <w:rsid w:val="00213927"/>
    <w:rsid w:val="00245C21"/>
    <w:rsid w:val="002721F1"/>
    <w:rsid w:val="00282FA1"/>
    <w:rsid w:val="002B5613"/>
    <w:rsid w:val="002D3558"/>
    <w:rsid w:val="002D589A"/>
    <w:rsid w:val="002F20CD"/>
    <w:rsid w:val="002F49EF"/>
    <w:rsid w:val="00314F95"/>
    <w:rsid w:val="003169A5"/>
    <w:rsid w:val="00322FAB"/>
    <w:rsid w:val="003353F2"/>
    <w:rsid w:val="00344A9C"/>
    <w:rsid w:val="00345581"/>
    <w:rsid w:val="0034702D"/>
    <w:rsid w:val="003679A0"/>
    <w:rsid w:val="00394B65"/>
    <w:rsid w:val="003A785E"/>
    <w:rsid w:val="003B55FF"/>
    <w:rsid w:val="003B651F"/>
    <w:rsid w:val="003C0116"/>
    <w:rsid w:val="003C4C28"/>
    <w:rsid w:val="003E7FC6"/>
    <w:rsid w:val="0041306F"/>
    <w:rsid w:val="0043645D"/>
    <w:rsid w:val="00454A59"/>
    <w:rsid w:val="00456753"/>
    <w:rsid w:val="00465CDD"/>
    <w:rsid w:val="00471E57"/>
    <w:rsid w:val="00476140"/>
    <w:rsid w:val="00480715"/>
    <w:rsid w:val="00481D82"/>
    <w:rsid w:val="0049143E"/>
    <w:rsid w:val="004C7E2A"/>
    <w:rsid w:val="004D01D3"/>
    <w:rsid w:val="004D0467"/>
    <w:rsid w:val="004F3F42"/>
    <w:rsid w:val="004F4AFB"/>
    <w:rsid w:val="00520D1A"/>
    <w:rsid w:val="0052512B"/>
    <w:rsid w:val="00547315"/>
    <w:rsid w:val="00553F9B"/>
    <w:rsid w:val="00593132"/>
    <w:rsid w:val="005A21B0"/>
    <w:rsid w:val="005A2CF9"/>
    <w:rsid w:val="005A41D0"/>
    <w:rsid w:val="005A5E42"/>
    <w:rsid w:val="005B1FC6"/>
    <w:rsid w:val="005C2F35"/>
    <w:rsid w:val="005D1DA6"/>
    <w:rsid w:val="005F11C2"/>
    <w:rsid w:val="005F3C61"/>
    <w:rsid w:val="005F5E04"/>
    <w:rsid w:val="0065209A"/>
    <w:rsid w:val="00657995"/>
    <w:rsid w:val="006B5399"/>
    <w:rsid w:val="006C5723"/>
    <w:rsid w:val="006D5C2E"/>
    <w:rsid w:val="006D70E9"/>
    <w:rsid w:val="006E6ACB"/>
    <w:rsid w:val="006E7156"/>
    <w:rsid w:val="006F1706"/>
    <w:rsid w:val="00744442"/>
    <w:rsid w:val="007725E7"/>
    <w:rsid w:val="00784B67"/>
    <w:rsid w:val="0078507E"/>
    <w:rsid w:val="007B01CC"/>
    <w:rsid w:val="007B0296"/>
    <w:rsid w:val="007D3D09"/>
    <w:rsid w:val="007D746F"/>
    <w:rsid w:val="007F763B"/>
    <w:rsid w:val="008131CF"/>
    <w:rsid w:val="00814FA7"/>
    <w:rsid w:val="00815A88"/>
    <w:rsid w:val="008233D0"/>
    <w:rsid w:val="00830349"/>
    <w:rsid w:val="00833596"/>
    <w:rsid w:val="00846D8D"/>
    <w:rsid w:val="0085007D"/>
    <w:rsid w:val="008714D6"/>
    <w:rsid w:val="00875C08"/>
    <w:rsid w:val="00886E15"/>
    <w:rsid w:val="008A20AC"/>
    <w:rsid w:val="008A67B6"/>
    <w:rsid w:val="008A79CD"/>
    <w:rsid w:val="008C20A9"/>
    <w:rsid w:val="00907EAD"/>
    <w:rsid w:val="0091208A"/>
    <w:rsid w:val="00914558"/>
    <w:rsid w:val="009163CC"/>
    <w:rsid w:val="00935CF7"/>
    <w:rsid w:val="0094140D"/>
    <w:rsid w:val="009457D8"/>
    <w:rsid w:val="009459B3"/>
    <w:rsid w:val="00952EB8"/>
    <w:rsid w:val="00997A8E"/>
    <w:rsid w:val="009A1E75"/>
    <w:rsid w:val="009A3681"/>
    <w:rsid w:val="009C7207"/>
    <w:rsid w:val="00A1557F"/>
    <w:rsid w:val="00A3476D"/>
    <w:rsid w:val="00A5661A"/>
    <w:rsid w:val="00A67749"/>
    <w:rsid w:val="00AB3A8B"/>
    <w:rsid w:val="00AB3E67"/>
    <w:rsid w:val="00B3167C"/>
    <w:rsid w:val="00B36B45"/>
    <w:rsid w:val="00B60E8D"/>
    <w:rsid w:val="00B80C0E"/>
    <w:rsid w:val="00B918AE"/>
    <w:rsid w:val="00B94E19"/>
    <w:rsid w:val="00B96C20"/>
    <w:rsid w:val="00BD2A8D"/>
    <w:rsid w:val="00BD4E6C"/>
    <w:rsid w:val="00BF4B01"/>
    <w:rsid w:val="00BF6579"/>
    <w:rsid w:val="00BF7DFD"/>
    <w:rsid w:val="00C0761F"/>
    <w:rsid w:val="00C101C9"/>
    <w:rsid w:val="00C44596"/>
    <w:rsid w:val="00C46E4B"/>
    <w:rsid w:val="00C60D61"/>
    <w:rsid w:val="00C92003"/>
    <w:rsid w:val="00C97D9D"/>
    <w:rsid w:val="00CC4387"/>
    <w:rsid w:val="00CE7B2F"/>
    <w:rsid w:val="00CF24FB"/>
    <w:rsid w:val="00CF6616"/>
    <w:rsid w:val="00D04C27"/>
    <w:rsid w:val="00D13147"/>
    <w:rsid w:val="00D26F2E"/>
    <w:rsid w:val="00D3777A"/>
    <w:rsid w:val="00D56002"/>
    <w:rsid w:val="00D778C9"/>
    <w:rsid w:val="00D83030"/>
    <w:rsid w:val="00D938F2"/>
    <w:rsid w:val="00DB51F4"/>
    <w:rsid w:val="00DB790C"/>
    <w:rsid w:val="00DF0E5E"/>
    <w:rsid w:val="00DF30F9"/>
    <w:rsid w:val="00DF6507"/>
    <w:rsid w:val="00DF7353"/>
    <w:rsid w:val="00E015B9"/>
    <w:rsid w:val="00E208AD"/>
    <w:rsid w:val="00E34501"/>
    <w:rsid w:val="00E34DBD"/>
    <w:rsid w:val="00E52EA0"/>
    <w:rsid w:val="00E57761"/>
    <w:rsid w:val="00E617EB"/>
    <w:rsid w:val="00E66EDE"/>
    <w:rsid w:val="00E70EFF"/>
    <w:rsid w:val="00E73E1D"/>
    <w:rsid w:val="00E85781"/>
    <w:rsid w:val="00EB51F4"/>
    <w:rsid w:val="00EC565A"/>
    <w:rsid w:val="00EC5C53"/>
    <w:rsid w:val="00ED2C87"/>
    <w:rsid w:val="00ED4441"/>
    <w:rsid w:val="00ED4A29"/>
    <w:rsid w:val="00ED4ED9"/>
    <w:rsid w:val="00EE1CEE"/>
    <w:rsid w:val="00EE1F4B"/>
    <w:rsid w:val="00EE2D96"/>
    <w:rsid w:val="00F03305"/>
    <w:rsid w:val="00F2228B"/>
    <w:rsid w:val="00F42CB7"/>
    <w:rsid w:val="00F62573"/>
    <w:rsid w:val="00F83A62"/>
    <w:rsid w:val="00FA6D77"/>
    <w:rsid w:val="00FB5B6A"/>
    <w:rsid w:val="00FB6767"/>
    <w:rsid w:val="00FC4906"/>
    <w:rsid w:val="00FD67CA"/>
    <w:rsid w:val="00FE70A4"/>
    <w:rsid w:val="00FF5835"/>
    <w:rsid w:val="00FF7666"/>
    <w:rsid w:val="26C514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9F4C5"/>
  <w15:chartTrackingRefBased/>
  <w15:docId w15:val="{1636B52D-3657-4B32-8F05-94CB7873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315"/>
    <w:pPr>
      <w:suppressAutoHyphens/>
    </w:pPr>
    <w:rPr>
      <w:sz w:val="24"/>
      <w:szCs w:val="24"/>
      <w:lang w:eastAsia="ar-SA"/>
    </w:rPr>
  </w:style>
  <w:style w:type="paragraph" w:styleId="Heading1">
    <w:name w:val="heading 1"/>
    <w:basedOn w:val="Normal"/>
    <w:next w:val="Normal"/>
    <w:qFormat/>
    <w:rsid w:val="00547315"/>
    <w:pPr>
      <w:keepNext/>
      <w:numPr>
        <w:numId w:val="1"/>
      </w:numPr>
      <w:outlineLvl w:val="0"/>
    </w:pPr>
    <w:rPr>
      <w:b/>
      <w:bCs/>
      <w:sz w:val="32"/>
    </w:rPr>
  </w:style>
  <w:style w:type="paragraph" w:styleId="Heading2">
    <w:name w:val="heading 2"/>
    <w:basedOn w:val="Normal"/>
    <w:next w:val="Normal"/>
    <w:qFormat/>
    <w:rsid w:val="00547315"/>
    <w:pPr>
      <w:keepNext/>
      <w:numPr>
        <w:ilvl w:val="1"/>
        <w:numId w:val="1"/>
      </w:numPr>
      <w:jc w:val="both"/>
      <w:outlineLvl w:val="1"/>
    </w:pPr>
    <w:rPr>
      <w:b/>
      <w:sz w:val="28"/>
    </w:rPr>
  </w:style>
  <w:style w:type="paragraph" w:styleId="Heading3">
    <w:name w:val="heading 3"/>
    <w:basedOn w:val="Normal"/>
    <w:next w:val="Normal"/>
    <w:qFormat/>
    <w:rsid w:val="00547315"/>
    <w:pPr>
      <w:keepNext/>
      <w:numPr>
        <w:ilvl w:val="2"/>
        <w:numId w:val="1"/>
      </w:numPr>
      <w:spacing w:line="360" w:lineRule="auto"/>
      <w:jc w:val="both"/>
      <w:outlineLvl w:val="2"/>
    </w:pPr>
    <w:rPr>
      <w:b/>
      <w:bCs/>
    </w:rPr>
  </w:style>
  <w:style w:type="paragraph" w:styleId="Heading6">
    <w:name w:val="heading 6"/>
    <w:basedOn w:val="Normal"/>
    <w:next w:val="Normal"/>
    <w:qFormat/>
    <w:rsid w:val="00547315"/>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547315"/>
    <w:pPr>
      <w:suppressLineNumbers/>
      <w:spacing w:before="120" w:after="120"/>
    </w:pPr>
    <w:rPr>
      <w:i/>
      <w:iCs/>
    </w:rPr>
  </w:style>
  <w:style w:type="paragraph" w:styleId="BodyText">
    <w:name w:val="Body Text"/>
    <w:basedOn w:val="Normal"/>
    <w:qFormat/>
    <w:rsid w:val="00547315"/>
    <w:pPr>
      <w:spacing w:line="360" w:lineRule="auto"/>
    </w:pPr>
  </w:style>
  <w:style w:type="paragraph" w:styleId="BodyTextIndent">
    <w:name w:val="Body Text Indent"/>
    <w:basedOn w:val="Normal"/>
    <w:qFormat/>
    <w:rsid w:val="00547315"/>
    <w:pPr>
      <w:ind w:left="540" w:hanging="720"/>
      <w:jc w:val="both"/>
    </w:pPr>
  </w:style>
  <w:style w:type="paragraph" w:styleId="BodyTextIndent2">
    <w:name w:val="Body Text Indent 2"/>
    <w:basedOn w:val="Normal"/>
    <w:qFormat/>
    <w:rsid w:val="00547315"/>
    <w:pPr>
      <w:spacing w:line="360" w:lineRule="auto"/>
      <w:ind w:firstLine="720"/>
      <w:jc w:val="both"/>
    </w:pPr>
  </w:style>
  <w:style w:type="paragraph" w:styleId="Footer">
    <w:name w:val="footer"/>
    <w:basedOn w:val="Normal"/>
    <w:qFormat/>
    <w:rsid w:val="00547315"/>
    <w:pPr>
      <w:tabs>
        <w:tab w:val="center" w:pos="4320"/>
        <w:tab w:val="right" w:pos="8640"/>
      </w:tabs>
    </w:pPr>
    <w:rPr>
      <w:sz w:val="32"/>
    </w:rPr>
  </w:style>
  <w:style w:type="paragraph" w:styleId="Header">
    <w:name w:val="header"/>
    <w:basedOn w:val="Normal"/>
    <w:next w:val="Heading1"/>
    <w:link w:val="HeaderChar"/>
    <w:qFormat/>
    <w:rsid w:val="00547315"/>
    <w:pPr>
      <w:tabs>
        <w:tab w:val="center" w:pos="4320"/>
        <w:tab w:val="right" w:pos="8640"/>
      </w:tabs>
    </w:pPr>
  </w:style>
  <w:style w:type="paragraph" w:styleId="List">
    <w:name w:val="List"/>
    <w:basedOn w:val="BodyText"/>
    <w:qFormat/>
    <w:rsid w:val="00547315"/>
  </w:style>
  <w:style w:type="paragraph" w:styleId="BodyTextIndent3">
    <w:name w:val="Body Text Indent 3"/>
    <w:basedOn w:val="Normal"/>
    <w:qFormat/>
    <w:rsid w:val="00547315"/>
    <w:pPr>
      <w:spacing w:line="360" w:lineRule="auto"/>
      <w:ind w:firstLine="720"/>
      <w:jc w:val="both"/>
    </w:pPr>
    <w:rPr>
      <w:b/>
      <w:bCs/>
    </w:rPr>
  </w:style>
  <w:style w:type="paragraph" w:styleId="BodyText2">
    <w:name w:val="Body Text 2"/>
    <w:basedOn w:val="Normal"/>
    <w:qFormat/>
    <w:rsid w:val="00547315"/>
    <w:pPr>
      <w:spacing w:line="360" w:lineRule="auto"/>
      <w:jc w:val="both"/>
    </w:pPr>
  </w:style>
  <w:style w:type="table" w:styleId="TableGrid">
    <w:name w:val="Table Grid"/>
    <w:basedOn w:val="TableNormal"/>
    <w:uiPriority w:val="39"/>
    <w:qFormat/>
    <w:rsid w:val="005473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47315"/>
  </w:style>
  <w:style w:type="character" w:styleId="FollowedHyperlink">
    <w:name w:val="FollowedHyperlink"/>
    <w:basedOn w:val="DefaultParagraphFont"/>
    <w:qFormat/>
    <w:rsid w:val="00547315"/>
    <w:rPr>
      <w:color w:val="800080"/>
      <w:u w:val="single"/>
    </w:rPr>
  </w:style>
  <w:style w:type="character" w:styleId="Hyperlink">
    <w:name w:val="Hyperlink"/>
    <w:basedOn w:val="DefaultParagraphFont1"/>
    <w:qFormat/>
    <w:rsid w:val="00547315"/>
    <w:rPr>
      <w:color w:val="0000FF"/>
      <w:u w:val="single"/>
    </w:rPr>
  </w:style>
  <w:style w:type="character" w:customStyle="1" w:styleId="DefaultParagraphFont1">
    <w:name w:val="Default Paragraph Font1"/>
    <w:qFormat/>
    <w:rsid w:val="00547315"/>
  </w:style>
  <w:style w:type="character" w:customStyle="1" w:styleId="Absatz-Standardschriftart">
    <w:name w:val="Absatz-Standardschriftart"/>
    <w:qFormat/>
    <w:rsid w:val="00547315"/>
  </w:style>
  <w:style w:type="character" w:customStyle="1" w:styleId="WW-Absatz-Standardschriftart">
    <w:name w:val="WW-Absatz-Standardschriftart"/>
    <w:qFormat/>
    <w:rsid w:val="00547315"/>
  </w:style>
  <w:style w:type="character" w:customStyle="1" w:styleId="WW-Absatz-Standardschriftart1">
    <w:name w:val="WW-Absatz-Standardschriftart1"/>
    <w:qFormat/>
    <w:rsid w:val="00547315"/>
  </w:style>
  <w:style w:type="character" w:customStyle="1" w:styleId="WW-Absatz-Standardschriftart11">
    <w:name w:val="WW-Absatz-Standardschriftart11"/>
    <w:qFormat/>
    <w:rsid w:val="00547315"/>
  </w:style>
  <w:style w:type="character" w:customStyle="1" w:styleId="WW-Absatz-Standardschriftart111">
    <w:name w:val="WW-Absatz-Standardschriftart111"/>
    <w:qFormat/>
    <w:rsid w:val="00547315"/>
  </w:style>
  <w:style w:type="character" w:customStyle="1" w:styleId="WW-Absatz-Standardschriftart1111">
    <w:name w:val="WW-Absatz-Standardschriftart1111"/>
    <w:qFormat/>
    <w:rsid w:val="00547315"/>
  </w:style>
  <w:style w:type="character" w:customStyle="1" w:styleId="WW-Absatz-Standardschriftart11111">
    <w:name w:val="WW-Absatz-Standardschriftart11111"/>
    <w:qFormat/>
    <w:rsid w:val="00547315"/>
  </w:style>
  <w:style w:type="character" w:customStyle="1" w:styleId="WW-Absatz-Standardschriftart111111">
    <w:name w:val="WW-Absatz-Standardschriftart111111"/>
    <w:qFormat/>
    <w:rsid w:val="00547315"/>
  </w:style>
  <w:style w:type="character" w:customStyle="1" w:styleId="WW-Absatz-Standardschriftart1111111">
    <w:name w:val="WW-Absatz-Standardschriftart1111111"/>
    <w:qFormat/>
    <w:rsid w:val="00547315"/>
  </w:style>
  <w:style w:type="character" w:customStyle="1" w:styleId="WW-Absatz-Standardschriftart11111111">
    <w:name w:val="WW-Absatz-Standardschriftart11111111"/>
    <w:qFormat/>
    <w:rsid w:val="00547315"/>
  </w:style>
  <w:style w:type="character" w:customStyle="1" w:styleId="WW-Absatz-Standardschriftart111111111">
    <w:name w:val="WW-Absatz-Standardschriftart111111111"/>
    <w:qFormat/>
    <w:rsid w:val="00547315"/>
  </w:style>
  <w:style w:type="character" w:customStyle="1" w:styleId="WW-Absatz-Standardschriftart1111111111">
    <w:name w:val="WW-Absatz-Standardschriftart1111111111"/>
    <w:qFormat/>
    <w:rsid w:val="00547315"/>
  </w:style>
  <w:style w:type="character" w:customStyle="1" w:styleId="WW-Absatz-Standardschriftart11111111111">
    <w:name w:val="WW-Absatz-Standardschriftart11111111111"/>
    <w:qFormat/>
    <w:rsid w:val="00547315"/>
  </w:style>
  <w:style w:type="character" w:customStyle="1" w:styleId="WW-Absatz-Standardschriftart111111111111">
    <w:name w:val="WW-Absatz-Standardschriftart111111111111"/>
    <w:qFormat/>
    <w:rsid w:val="00547315"/>
  </w:style>
  <w:style w:type="character" w:customStyle="1" w:styleId="WW-Absatz-Standardschriftart1111111111111">
    <w:name w:val="WW-Absatz-Standardschriftart1111111111111"/>
    <w:qFormat/>
    <w:rsid w:val="00547315"/>
  </w:style>
  <w:style w:type="character" w:customStyle="1" w:styleId="WW-Absatz-Standardschriftart11111111111111">
    <w:name w:val="WW-Absatz-Standardschriftart11111111111111"/>
    <w:qFormat/>
    <w:rsid w:val="00547315"/>
  </w:style>
  <w:style w:type="character" w:customStyle="1" w:styleId="WW-Absatz-Standardschriftart111111111111111">
    <w:name w:val="WW-Absatz-Standardschriftart111111111111111"/>
    <w:qFormat/>
    <w:rsid w:val="00547315"/>
  </w:style>
  <w:style w:type="character" w:customStyle="1" w:styleId="WW-Absatz-Standardschriftart1111111111111111">
    <w:name w:val="WW-Absatz-Standardschriftart1111111111111111"/>
    <w:qFormat/>
    <w:rsid w:val="00547315"/>
  </w:style>
  <w:style w:type="character" w:customStyle="1" w:styleId="WW8Num1z0">
    <w:name w:val="WW8Num1z0"/>
    <w:qFormat/>
    <w:rsid w:val="00547315"/>
    <w:rPr>
      <w:rFonts w:ascii="Symbol" w:eastAsia="Times New Roman" w:hAnsi="Symbol" w:cs="Times New Roman"/>
    </w:rPr>
  </w:style>
  <w:style w:type="character" w:customStyle="1" w:styleId="WW8Num1z1">
    <w:name w:val="WW8Num1z1"/>
    <w:qFormat/>
    <w:rsid w:val="00547315"/>
    <w:rPr>
      <w:rFonts w:ascii="Courier New" w:hAnsi="Courier New" w:cs="Courier New"/>
    </w:rPr>
  </w:style>
  <w:style w:type="character" w:customStyle="1" w:styleId="WW8Num1z2">
    <w:name w:val="WW8Num1z2"/>
    <w:qFormat/>
    <w:rsid w:val="00547315"/>
    <w:rPr>
      <w:rFonts w:ascii="Wingdings" w:hAnsi="Wingdings"/>
    </w:rPr>
  </w:style>
  <w:style w:type="character" w:customStyle="1" w:styleId="WW8Num1z3">
    <w:name w:val="WW8Num1z3"/>
    <w:qFormat/>
    <w:rsid w:val="00547315"/>
    <w:rPr>
      <w:rFonts w:ascii="Symbol" w:hAnsi="Symbol"/>
    </w:rPr>
  </w:style>
  <w:style w:type="character" w:customStyle="1" w:styleId="NumberingSymbols">
    <w:name w:val="Numbering Symbols"/>
    <w:qFormat/>
    <w:rsid w:val="00547315"/>
  </w:style>
  <w:style w:type="paragraph" w:customStyle="1" w:styleId="Heading">
    <w:name w:val="Heading"/>
    <w:basedOn w:val="Normal"/>
    <w:next w:val="BodyText"/>
    <w:qFormat/>
    <w:rsid w:val="00547315"/>
    <w:pPr>
      <w:keepNext/>
      <w:spacing w:before="240" w:after="120"/>
    </w:pPr>
    <w:rPr>
      <w:rFonts w:ascii="Nimbus Sans L" w:eastAsia="DejaVu Sans" w:hAnsi="Nimbus Sans L" w:cs="DejaVu Sans"/>
      <w:sz w:val="28"/>
      <w:szCs w:val="28"/>
    </w:rPr>
  </w:style>
  <w:style w:type="paragraph" w:customStyle="1" w:styleId="Index">
    <w:name w:val="Index"/>
    <w:basedOn w:val="Normal"/>
    <w:qFormat/>
    <w:rsid w:val="00547315"/>
    <w:pPr>
      <w:suppressLineNumbers/>
    </w:pPr>
  </w:style>
  <w:style w:type="paragraph" w:customStyle="1" w:styleId="TableContents">
    <w:name w:val="Table Contents"/>
    <w:basedOn w:val="Normal"/>
    <w:qFormat/>
    <w:rsid w:val="00547315"/>
    <w:pPr>
      <w:suppressLineNumbers/>
    </w:pPr>
  </w:style>
  <w:style w:type="paragraph" w:customStyle="1" w:styleId="TableHeading">
    <w:name w:val="Table Heading"/>
    <w:basedOn w:val="TableContents"/>
    <w:qFormat/>
    <w:rsid w:val="00547315"/>
    <w:pPr>
      <w:jc w:val="center"/>
    </w:pPr>
    <w:rPr>
      <w:b/>
      <w:bCs/>
    </w:rPr>
  </w:style>
  <w:style w:type="paragraph" w:customStyle="1" w:styleId="Framecontents">
    <w:name w:val="Frame contents"/>
    <w:basedOn w:val="BodyText"/>
    <w:qFormat/>
    <w:rsid w:val="00547315"/>
  </w:style>
  <w:style w:type="paragraph" w:customStyle="1" w:styleId="Text">
    <w:name w:val="Text"/>
    <w:basedOn w:val="Normal"/>
    <w:qFormat/>
    <w:rsid w:val="00547315"/>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547315"/>
    <w:rPr>
      <w:sz w:val="24"/>
      <w:szCs w:val="24"/>
      <w:lang w:eastAsia="ar-SA"/>
    </w:rPr>
  </w:style>
  <w:style w:type="paragraph" w:customStyle="1" w:styleId="Default">
    <w:name w:val="Default"/>
    <w:qFormat/>
    <w:rsid w:val="00547315"/>
    <w:pPr>
      <w:autoSpaceDE w:val="0"/>
      <w:autoSpaceDN w:val="0"/>
      <w:adjustRightInd w:val="0"/>
    </w:pPr>
    <w:rPr>
      <w:rFonts w:ascii="Futura CondensedExtraBold" w:eastAsia="Calibri" w:hAnsi="Futura CondensedExtraBold" w:cs="Futura CondensedExtraBold"/>
      <w:color w:val="000000"/>
      <w:sz w:val="24"/>
      <w:szCs w:val="24"/>
      <w:lang w:eastAsia="en-US"/>
    </w:rPr>
  </w:style>
  <w:style w:type="paragraph" w:styleId="ListParagraph">
    <w:name w:val="List Paragraph"/>
    <w:basedOn w:val="Normal"/>
    <w:uiPriority w:val="34"/>
    <w:qFormat/>
    <w:rsid w:val="00547315"/>
    <w:pPr>
      <w:suppressAutoHyphens w:val="0"/>
      <w:spacing w:after="160" w:line="259" w:lineRule="auto"/>
      <w:ind w:left="720"/>
      <w:contextualSpacing/>
    </w:pPr>
    <w:rPr>
      <w:rFonts w:ascii="Calibri" w:eastAsia="Calibri" w:hAnsi="Calibri"/>
      <w:sz w:val="22"/>
      <w:szCs w:val="22"/>
      <w:lang w:val="en-GB" w:eastAsia="en-US"/>
    </w:rPr>
  </w:style>
  <w:style w:type="character" w:customStyle="1" w:styleId="st">
    <w:name w:val="st"/>
    <w:basedOn w:val="DefaultParagraphFont"/>
    <w:qFormat/>
    <w:rsid w:val="00547315"/>
  </w:style>
  <w:style w:type="paragraph" w:styleId="NoSpacing">
    <w:name w:val="No Spacing"/>
    <w:uiPriority w:val="1"/>
    <w:qFormat/>
    <w:rsid w:val="00547315"/>
    <w:rPr>
      <w:rFonts w:ascii="Calibri" w:eastAsia="Calibri" w:hAnsi="Calibri"/>
      <w:sz w:val="22"/>
      <w:szCs w:val="22"/>
      <w:lang w:val="en-GB" w:eastAsia="en-US"/>
    </w:rPr>
  </w:style>
  <w:style w:type="paragraph" w:styleId="BalloonText">
    <w:name w:val="Balloon Text"/>
    <w:basedOn w:val="Normal"/>
    <w:link w:val="BalloonTextChar"/>
    <w:uiPriority w:val="99"/>
    <w:semiHidden/>
    <w:unhideWhenUsed/>
    <w:rsid w:val="000209DD"/>
    <w:rPr>
      <w:rFonts w:ascii="Tahoma" w:hAnsi="Tahoma" w:cs="Tahoma"/>
      <w:sz w:val="16"/>
      <w:szCs w:val="16"/>
    </w:rPr>
  </w:style>
  <w:style w:type="character" w:customStyle="1" w:styleId="BalloonTextChar">
    <w:name w:val="Balloon Text Char"/>
    <w:basedOn w:val="DefaultParagraphFont"/>
    <w:link w:val="BalloonText"/>
    <w:uiPriority w:val="99"/>
    <w:semiHidden/>
    <w:rsid w:val="000209D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unmilayo.popo-ola@uniport.edu.ng" TargetMode="External"/><Relationship Id="rId13" Type="http://schemas.openxmlformats.org/officeDocument/2006/relationships/footer" Target="footer2.xml"/><Relationship Id="rId18" Type="http://schemas.openxmlformats.org/officeDocument/2006/relationships/hyperlink" Target="https://www.frontiersin.org/articles/10.3389/ffgc.2022.1055410/full" TargetMode="External"/><Relationship Id="rId26" Type="http://schemas.openxmlformats.org/officeDocument/2006/relationships/hyperlink" Target="https://www.frontiersin.org/articles/10.3389/ffgc.2022.1055410/full" TargetMode="External"/><Relationship Id="rId39" Type="http://schemas.openxmlformats.org/officeDocument/2006/relationships/hyperlink" Target="mailto:funmilayo.popo-ola@uniport.edu.ng" TargetMode="External"/><Relationship Id="rId3" Type="http://schemas.openxmlformats.org/officeDocument/2006/relationships/styles" Target="styles.xml"/><Relationship Id="rId21" Type="http://schemas.openxmlformats.org/officeDocument/2006/relationships/hyperlink" Target="https://www.frontiersin.org/articles/10.3389/ffgc.2022.1055410/full" TargetMode="External"/><Relationship Id="rId34"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rontiersin.org/articles/10.3389/ffgc.2022.1055410/full" TargetMode="External"/><Relationship Id="rId25" Type="http://schemas.openxmlformats.org/officeDocument/2006/relationships/hyperlink" Target="https://www.frontiersin.org/articles/10.3389/ffgc.2022.1055410/full" TargetMode="External"/><Relationship Id="rId33" Type="http://schemas.openxmlformats.org/officeDocument/2006/relationships/oleObject" Target="embeddings/oleObject2.bin"/><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frontiersin.org/articles/10.3389/ffgc.2022.1055410/full" TargetMode="External"/><Relationship Id="rId20" Type="http://schemas.openxmlformats.org/officeDocument/2006/relationships/hyperlink" Target="https://www.frontiersin.org/articles/10.3389/ffgc.2022.1055410/full" TargetMode="External"/><Relationship Id="rId29" Type="http://schemas.openxmlformats.org/officeDocument/2006/relationships/image" Target="media/image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frontiersin.org/articles/10.3389/ffgc.2022.1055410/full" TargetMode="External"/><Relationship Id="rId32" Type="http://schemas.openxmlformats.org/officeDocument/2006/relationships/image" Target="media/image4.wmf"/><Relationship Id="rId37" Type="http://schemas.openxmlformats.org/officeDocument/2006/relationships/oleObject" Target="embeddings/oleObject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frontiersin.org/articles/10.3389/ffgc.2022.1055410/full" TargetMode="External"/><Relationship Id="rId28" Type="http://schemas.openxmlformats.org/officeDocument/2006/relationships/hyperlink" Target="https://www.frontiersin.org/articles/10.3389/ffgc.2022.1055410/full" TargetMode="External"/><Relationship Id="rId36" Type="http://schemas.openxmlformats.org/officeDocument/2006/relationships/image" Target="media/image6.wmf"/><Relationship Id="rId10" Type="http://schemas.openxmlformats.org/officeDocument/2006/relationships/hyperlink" Target="http://www.dx.doi.org/10.7537/marsrsj150723.04" TargetMode="External"/><Relationship Id="rId19" Type="http://schemas.openxmlformats.org/officeDocument/2006/relationships/hyperlink" Target="https://www.frontiersin.org/articles/10.3389/ffgc.2022.1055410/full" TargetMode="Externa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hyperlink" Target="https://www.frontiersin.org/articles/10.3389/ffgc.2022.1055410/full" TargetMode="External"/><Relationship Id="rId27" Type="http://schemas.openxmlformats.org/officeDocument/2006/relationships/hyperlink" Target="https://www.frontiersin.org/articles/10.3389/ffgc.2022.1055410/full" TargetMode="External"/><Relationship Id="rId30" Type="http://schemas.openxmlformats.org/officeDocument/2006/relationships/image" Target="media/image3.wmf"/><Relationship Id="rId35" Type="http://schemas.openxmlformats.org/officeDocument/2006/relationships/oleObject" Target="embeddings/oleObject3.bin"/></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5282</Words>
  <Characters>30109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35321</CharactersWithSpaces>
  <SharedDoc>false</SharedDoc>
  <HLinks>
    <vt:vector size="132" baseType="variant">
      <vt:variant>
        <vt:i4>6488094</vt:i4>
      </vt:variant>
      <vt:variant>
        <vt:i4>78</vt:i4>
      </vt:variant>
      <vt:variant>
        <vt:i4>0</vt:i4>
      </vt:variant>
      <vt:variant>
        <vt:i4>5</vt:i4>
      </vt:variant>
      <vt:variant>
        <vt:lpwstr>mailto:funmilayo.popo-ola@uniport.edu.ng</vt:lpwstr>
      </vt:variant>
      <vt:variant>
        <vt:lpwstr/>
      </vt:variant>
      <vt:variant>
        <vt:i4>5505090</vt:i4>
      </vt:variant>
      <vt:variant>
        <vt:i4>45</vt:i4>
      </vt:variant>
      <vt:variant>
        <vt:i4>0</vt:i4>
      </vt:variant>
      <vt:variant>
        <vt:i4>5</vt:i4>
      </vt:variant>
      <vt:variant>
        <vt:lpwstr>https://www.frontiersin.org/articles/10.3389/ffgc.2022.1055410/full</vt:lpwstr>
      </vt:variant>
      <vt:variant>
        <vt:lpwstr>B72</vt:lpwstr>
      </vt:variant>
      <vt:variant>
        <vt:i4>5505090</vt:i4>
      </vt:variant>
      <vt:variant>
        <vt:i4>42</vt:i4>
      </vt:variant>
      <vt:variant>
        <vt:i4>0</vt:i4>
      </vt:variant>
      <vt:variant>
        <vt:i4>5</vt:i4>
      </vt:variant>
      <vt:variant>
        <vt:lpwstr>https://www.frontiersin.org/articles/10.3389/ffgc.2022.1055410/full</vt:lpwstr>
      </vt:variant>
      <vt:variant>
        <vt:lpwstr>B70</vt:lpwstr>
      </vt:variant>
      <vt:variant>
        <vt:i4>5242946</vt:i4>
      </vt:variant>
      <vt:variant>
        <vt:i4>39</vt:i4>
      </vt:variant>
      <vt:variant>
        <vt:i4>0</vt:i4>
      </vt:variant>
      <vt:variant>
        <vt:i4>5</vt:i4>
      </vt:variant>
      <vt:variant>
        <vt:lpwstr>https://www.frontiersin.org/articles/10.3389/ffgc.2022.1055410/full</vt:lpwstr>
      </vt:variant>
      <vt:variant>
        <vt:lpwstr>B37</vt:lpwstr>
      </vt:variant>
      <vt:variant>
        <vt:i4>5636162</vt:i4>
      </vt:variant>
      <vt:variant>
        <vt:i4>36</vt:i4>
      </vt:variant>
      <vt:variant>
        <vt:i4>0</vt:i4>
      </vt:variant>
      <vt:variant>
        <vt:i4>5</vt:i4>
      </vt:variant>
      <vt:variant>
        <vt:lpwstr>https://www.frontiersin.org/articles/10.3389/ffgc.2022.1055410/full</vt:lpwstr>
      </vt:variant>
      <vt:variant>
        <vt:lpwstr>B59</vt:lpwstr>
      </vt:variant>
      <vt:variant>
        <vt:i4>5374018</vt:i4>
      </vt:variant>
      <vt:variant>
        <vt:i4>33</vt:i4>
      </vt:variant>
      <vt:variant>
        <vt:i4>0</vt:i4>
      </vt:variant>
      <vt:variant>
        <vt:i4>5</vt:i4>
      </vt:variant>
      <vt:variant>
        <vt:lpwstr>https://www.frontiersin.org/articles/10.3389/ffgc.2022.1055410/full</vt:lpwstr>
      </vt:variant>
      <vt:variant>
        <vt:lpwstr>B10</vt:lpwstr>
      </vt:variant>
      <vt:variant>
        <vt:i4>5636162</vt:i4>
      </vt:variant>
      <vt:variant>
        <vt:i4>30</vt:i4>
      </vt:variant>
      <vt:variant>
        <vt:i4>0</vt:i4>
      </vt:variant>
      <vt:variant>
        <vt:i4>5</vt:i4>
      </vt:variant>
      <vt:variant>
        <vt:lpwstr>https://www.frontiersin.org/articles/10.3389/ffgc.2022.1055410/full</vt:lpwstr>
      </vt:variant>
      <vt:variant>
        <vt:lpwstr>B57</vt:lpwstr>
      </vt:variant>
      <vt:variant>
        <vt:i4>5308482</vt:i4>
      </vt:variant>
      <vt:variant>
        <vt:i4>27</vt:i4>
      </vt:variant>
      <vt:variant>
        <vt:i4>0</vt:i4>
      </vt:variant>
      <vt:variant>
        <vt:i4>5</vt:i4>
      </vt:variant>
      <vt:variant>
        <vt:lpwstr>https://www.frontiersin.org/articles/10.3389/ffgc.2022.1055410/full</vt:lpwstr>
      </vt:variant>
      <vt:variant>
        <vt:lpwstr>B26</vt:lpwstr>
      </vt:variant>
      <vt:variant>
        <vt:i4>5505090</vt:i4>
      </vt:variant>
      <vt:variant>
        <vt:i4>24</vt:i4>
      </vt:variant>
      <vt:variant>
        <vt:i4>0</vt:i4>
      </vt:variant>
      <vt:variant>
        <vt:i4>5</vt:i4>
      </vt:variant>
      <vt:variant>
        <vt:lpwstr>https://www.frontiersin.org/articles/10.3389/ffgc.2022.1055410/full</vt:lpwstr>
      </vt:variant>
      <vt:variant>
        <vt:lpwstr>B70</vt:lpwstr>
      </vt:variant>
      <vt:variant>
        <vt:i4>5374018</vt:i4>
      </vt:variant>
      <vt:variant>
        <vt:i4>21</vt:i4>
      </vt:variant>
      <vt:variant>
        <vt:i4>0</vt:i4>
      </vt:variant>
      <vt:variant>
        <vt:i4>5</vt:i4>
      </vt:variant>
      <vt:variant>
        <vt:lpwstr>https://www.frontiersin.org/articles/10.3389/ffgc.2022.1055410/full</vt:lpwstr>
      </vt:variant>
      <vt:variant>
        <vt:lpwstr>B11</vt:lpwstr>
      </vt:variant>
      <vt:variant>
        <vt:i4>5636162</vt:i4>
      </vt:variant>
      <vt:variant>
        <vt:i4>18</vt:i4>
      </vt:variant>
      <vt:variant>
        <vt:i4>0</vt:i4>
      </vt:variant>
      <vt:variant>
        <vt:i4>5</vt:i4>
      </vt:variant>
      <vt:variant>
        <vt:lpwstr>https://www.frontiersin.org/articles/10.3389/ffgc.2022.1055410/full</vt:lpwstr>
      </vt:variant>
      <vt:variant>
        <vt:lpwstr>B54</vt:lpwstr>
      </vt:variant>
      <vt:variant>
        <vt:i4>5701698</vt:i4>
      </vt:variant>
      <vt:variant>
        <vt:i4>15</vt:i4>
      </vt:variant>
      <vt:variant>
        <vt:i4>0</vt:i4>
      </vt:variant>
      <vt:variant>
        <vt:i4>5</vt:i4>
      </vt:variant>
      <vt:variant>
        <vt:lpwstr>https://www.frontiersin.org/articles/10.3389/ffgc.2022.1055410/full</vt:lpwstr>
      </vt:variant>
      <vt:variant>
        <vt:lpwstr>B47</vt:lpwstr>
      </vt:variant>
      <vt:variant>
        <vt:i4>5701698</vt:i4>
      </vt:variant>
      <vt:variant>
        <vt:i4>12</vt:i4>
      </vt:variant>
      <vt:variant>
        <vt:i4>0</vt:i4>
      </vt:variant>
      <vt:variant>
        <vt:i4>5</vt:i4>
      </vt:variant>
      <vt:variant>
        <vt:lpwstr>https://www.frontiersin.org/articles/10.3389/ffgc.2022.1055410/full</vt:lpwstr>
      </vt:variant>
      <vt:variant>
        <vt:lpwstr>B45</vt:lpwstr>
      </vt:variant>
      <vt:variant>
        <vt:i4>5308482</vt:i4>
      </vt:variant>
      <vt:variant>
        <vt:i4>9</vt:i4>
      </vt:variant>
      <vt:variant>
        <vt:i4>0</vt:i4>
      </vt:variant>
      <vt:variant>
        <vt:i4>5</vt:i4>
      </vt:variant>
      <vt:variant>
        <vt:lpwstr>https://www.frontiersin.org/articles/10.3389/ffgc.2022.1055410/full</vt:lpwstr>
      </vt:variant>
      <vt:variant>
        <vt:lpwstr>B27</vt:lpwstr>
      </vt:variant>
      <vt:variant>
        <vt:i4>3014710</vt:i4>
      </vt:variant>
      <vt:variant>
        <vt:i4>6</vt:i4>
      </vt:variant>
      <vt:variant>
        <vt:i4>0</vt:i4>
      </vt:variant>
      <vt:variant>
        <vt:i4>5</vt:i4>
      </vt:variant>
      <vt:variant>
        <vt:lpwstr>http://www.dx.doi.org/10.7537/marsrsj150723.04</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6488094</vt:i4>
      </vt:variant>
      <vt:variant>
        <vt:i4>0</vt:i4>
      </vt:variant>
      <vt:variant>
        <vt:i4>0</vt:i4>
      </vt:variant>
      <vt:variant>
        <vt:i4>5</vt:i4>
      </vt:variant>
      <vt:variant>
        <vt:lpwstr>mailto:funmilayo.popo-ola@uniport.edu.ng</vt:lpwstr>
      </vt:variant>
      <vt:variant>
        <vt:lpwstr/>
      </vt:variant>
      <vt:variant>
        <vt:i4>6553620</vt:i4>
      </vt:variant>
      <vt:variant>
        <vt:i4>14</vt:i4>
      </vt:variant>
      <vt:variant>
        <vt:i4>0</vt:i4>
      </vt:variant>
      <vt:variant>
        <vt:i4>5</vt:i4>
      </vt:variant>
      <vt:variant>
        <vt:lpwstr>mailto:researcher135@gmail.com</vt:lpwstr>
      </vt:variant>
      <vt:variant>
        <vt:lpwstr/>
      </vt:variant>
      <vt:variant>
        <vt:i4>4391003</vt:i4>
      </vt:variant>
      <vt:variant>
        <vt:i4>11</vt:i4>
      </vt:variant>
      <vt:variant>
        <vt:i4>0</vt:i4>
      </vt:variant>
      <vt:variant>
        <vt:i4>5</vt:i4>
      </vt:variant>
      <vt:variant>
        <vt:lpwstr>http://www.sciencepub.net/researcher</vt:lpwstr>
      </vt:variant>
      <vt:variant>
        <vt:lpwstr/>
      </vt:variant>
      <vt:variant>
        <vt:i4>6553620</vt:i4>
      </vt:variant>
      <vt:variant>
        <vt:i4>8</vt:i4>
      </vt:variant>
      <vt:variant>
        <vt:i4>0</vt:i4>
      </vt:variant>
      <vt:variant>
        <vt:i4>5</vt:i4>
      </vt:variant>
      <vt:variant>
        <vt:lpwstr>mailto:researcher135@gmail.com</vt:lpwstr>
      </vt:variant>
      <vt:variant>
        <vt:lpwstr/>
      </vt:variant>
      <vt:variant>
        <vt:i4>4391003</vt:i4>
      </vt:variant>
      <vt:variant>
        <vt:i4>5</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cp:lastModifiedBy>
  <cp:revision>2</cp:revision>
  <cp:lastPrinted>2023-08-19T09:05:00Z</cp:lastPrinted>
  <dcterms:created xsi:type="dcterms:W3CDTF">2023-08-19T10:54:00Z</dcterms:created>
  <dcterms:modified xsi:type="dcterms:W3CDTF">2023-08-19T10:54:00Z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94F143FC067F4D56B550E92668AD43C6_12</vt:lpwstr>
  </property>
</Properties>
</file>