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3ABD" w:rsidRDefault="005B3ABD">
      <w:pPr>
        <w:snapToGrid w:val="0"/>
        <w:jc w:val="center"/>
        <w:rPr>
          <w:b/>
          <w:sz w:val="20"/>
          <w:szCs w:val="20"/>
        </w:rPr>
      </w:pPr>
    </w:p>
    <w:p w:rsidR="005B3ABD" w:rsidRDefault="003F2B6A">
      <w:pPr>
        <w:snapToGrid w:val="0"/>
        <w:jc w:val="center"/>
        <w:rPr>
          <w:sz w:val="20"/>
          <w:szCs w:val="20"/>
          <w:lang w:val="en-GB"/>
        </w:rPr>
      </w:pPr>
      <w:r>
        <w:rPr>
          <w:b/>
          <w:sz w:val="20"/>
          <w:szCs w:val="20"/>
        </w:rPr>
        <w:t>NUTRITIONAL STATUS AND DIETARY PATTERN I: PRESCHOOL AGE CHILDREN IN AKINYELE LOCAL GOVERNMENT AREA OYO STATE</w:t>
      </w:r>
    </w:p>
    <w:p w:rsidR="005B3ABD" w:rsidRDefault="005B3ABD">
      <w:pPr>
        <w:snapToGrid w:val="0"/>
        <w:jc w:val="center"/>
        <w:rPr>
          <w:sz w:val="20"/>
          <w:szCs w:val="20"/>
          <w:lang w:val="en-GB"/>
        </w:rPr>
      </w:pPr>
    </w:p>
    <w:p w:rsidR="005B3ABD" w:rsidRDefault="003F2B6A">
      <w:pPr>
        <w:snapToGrid w:val="0"/>
        <w:jc w:val="center"/>
        <w:rPr>
          <w:sz w:val="20"/>
          <w:szCs w:val="20"/>
        </w:rPr>
      </w:pPr>
      <w:r>
        <w:rPr>
          <w:sz w:val="20"/>
          <w:szCs w:val="20"/>
        </w:rPr>
        <w:t>AKINSOLA, A.O</w:t>
      </w:r>
      <w:r>
        <w:rPr>
          <w:sz w:val="20"/>
          <w:szCs w:val="20"/>
        </w:rPr>
        <w:t xml:space="preserve">., </w:t>
      </w:r>
      <w:proofErr w:type="spellStart"/>
      <w:r>
        <w:rPr>
          <w:sz w:val="20"/>
          <w:szCs w:val="20"/>
        </w:rPr>
        <w:t>Saliu-Olaoluwa</w:t>
      </w:r>
      <w:proofErr w:type="spellEnd"/>
      <w:r>
        <w:rPr>
          <w:sz w:val="20"/>
          <w:szCs w:val="20"/>
        </w:rPr>
        <w:t>, A.J</w:t>
      </w:r>
      <w:r>
        <w:rPr>
          <w:sz w:val="20"/>
          <w:szCs w:val="20"/>
        </w:rPr>
        <w:t xml:space="preserve">. &amp; </w:t>
      </w:r>
      <w:proofErr w:type="spellStart"/>
      <w:r>
        <w:rPr>
          <w:sz w:val="20"/>
          <w:szCs w:val="20"/>
        </w:rPr>
        <w:t>Oyeleye</w:t>
      </w:r>
      <w:proofErr w:type="spellEnd"/>
      <w:r>
        <w:rPr>
          <w:sz w:val="20"/>
          <w:szCs w:val="20"/>
        </w:rPr>
        <w:t>, B.R</w:t>
      </w:r>
      <w:r>
        <w:rPr>
          <w:sz w:val="20"/>
          <w:szCs w:val="20"/>
        </w:rPr>
        <w:t>.</w:t>
      </w:r>
    </w:p>
    <w:p w:rsidR="005B3ABD" w:rsidRDefault="005B3ABD">
      <w:pPr>
        <w:snapToGrid w:val="0"/>
        <w:jc w:val="center"/>
        <w:rPr>
          <w:sz w:val="20"/>
          <w:szCs w:val="20"/>
        </w:rPr>
      </w:pPr>
    </w:p>
    <w:p w:rsidR="005B3ABD" w:rsidRDefault="003F2B6A">
      <w:pPr>
        <w:snapToGrid w:val="0"/>
        <w:jc w:val="center"/>
        <w:rPr>
          <w:sz w:val="20"/>
          <w:szCs w:val="20"/>
        </w:rPr>
      </w:pPr>
      <w:r>
        <w:rPr>
          <w:sz w:val="20"/>
          <w:szCs w:val="20"/>
        </w:rPr>
        <w:t>Department of Home Economics, Federal College of Education (Special), Oyo</w:t>
      </w:r>
    </w:p>
    <w:p w:rsidR="005B3ABD" w:rsidRDefault="003F2B6A">
      <w:pPr>
        <w:snapToGrid w:val="0"/>
        <w:jc w:val="center"/>
        <w:rPr>
          <w:sz w:val="20"/>
          <w:szCs w:val="20"/>
        </w:rPr>
      </w:pPr>
      <w:r>
        <w:rPr>
          <w:sz w:val="20"/>
          <w:szCs w:val="20"/>
        </w:rPr>
        <w:t>Corresponding author: akinsola4gold@gmail.com</w:t>
      </w:r>
    </w:p>
    <w:p w:rsidR="005B3ABD" w:rsidRDefault="005B3ABD">
      <w:pPr>
        <w:snapToGrid w:val="0"/>
        <w:jc w:val="both"/>
        <w:rPr>
          <w:b/>
          <w:sz w:val="20"/>
          <w:szCs w:val="20"/>
        </w:rPr>
      </w:pPr>
    </w:p>
    <w:p w:rsidR="005B3ABD" w:rsidRDefault="003F2B6A">
      <w:pPr>
        <w:snapToGrid w:val="0"/>
        <w:jc w:val="both"/>
        <w:rPr>
          <w:i/>
          <w:sz w:val="20"/>
          <w:szCs w:val="20"/>
        </w:rPr>
      </w:pPr>
      <w:r>
        <w:rPr>
          <w:b/>
          <w:sz w:val="20"/>
          <w:szCs w:val="20"/>
        </w:rPr>
        <w:t>Abstract</w:t>
      </w:r>
      <w:r w:rsidR="005A57CC">
        <w:rPr>
          <w:b/>
          <w:sz w:val="20"/>
          <w:szCs w:val="20"/>
        </w:rPr>
        <w:t>:</w:t>
      </w:r>
      <w:r>
        <w:rPr>
          <w:b/>
          <w:sz w:val="20"/>
          <w:szCs w:val="20"/>
        </w:rPr>
        <w:t xml:space="preserve"> </w:t>
      </w:r>
      <w:r>
        <w:rPr>
          <w:sz w:val="20"/>
          <w:szCs w:val="20"/>
        </w:rPr>
        <w:t xml:space="preserve">The study investigated dietary pattern and nutritional status of preschool aged children in </w:t>
      </w:r>
      <w:proofErr w:type="spellStart"/>
      <w:r>
        <w:rPr>
          <w:sz w:val="20"/>
          <w:szCs w:val="20"/>
        </w:rPr>
        <w:t>Akinyele</w:t>
      </w:r>
      <w:proofErr w:type="spellEnd"/>
      <w:r>
        <w:rPr>
          <w:sz w:val="20"/>
          <w:szCs w:val="20"/>
        </w:rPr>
        <w:t xml:space="preserve"> Local Government Area, a sub-urban setting in Oyo State compared with FDN reference standards. The</w:t>
      </w:r>
      <w:r>
        <w:rPr>
          <w:sz w:val="20"/>
          <w:szCs w:val="20"/>
        </w:rPr>
        <w:t xml:space="preserve"> study determined dietary intake of their 24-hr recall intake samples for proximate composition, vitamins and mineral profiles using established standard methods while inferential statistics of t-test at a significant level of p&lt;0.05 was used to test the a</w:t>
      </w:r>
      <w:r>
        <w:rPr>
          <w:sz w:val="20"/>
          <w:szCs w:val="20"/>
        </w:rPr>
        <w:t>cceptance or rejection of the study hypotheses. Results obtained shows that protein content per meal of their meal intake was below 13 – 14 g/100g while same was observed for fat/oil content intake which cannot provides up to 28.4 % energy recommended as f</w:t>
      </w:r>
      <w:r>
        <w:rPr>
          <w:sz w:val="20"/>
          <w:szCs w:val="20"/>
        </w:rPr>
        <w:t>at allowance contribution in food. However, all the samples analyzed can provides them with enough energy per 100 g compared with reference standard and adequate presence of minerals in their food connotes a good source of acid-base (ionic) balancing of bo</w:t>
      </w:r>
      <w:r>
        <w:rPr>
          <w:sz w:val="20"/>
          <w:szCs w:val="20"/>
        </w:rPr>
        <w:t>dy fluid system in term of micronutrients. The study revealed that locations/environments have effect on healthy eating habits of preschool aged children, hence an adequate healthy eating policy and implementation needs to be put in place for preschool age</w:t>
      </w:r>
      <w:r>
        <w:rPr>
          <w:sz w:val="20"/>
          <w:szCs w:val="20"/>
        </w:rPr>
        <w:t>d children especially in rural and semi-urban areas to prevent malnutrition and intestinal disorder and diseases which can have pronounce effect on their growth.</w:t>
      </w:r>
    </w:p>
    <w:p w:rsidR="005B3ABD" w:rsidRDefault="003F2B6A">
      <w:pPr>
        <w:widowControl w:val="0"/>
        <w:autoSpaceDE w:val="0"/>
        <w:autoSpaceDN w:val="0"/>
        <w:adjustRightInd w:val="0"/>
        <w:snapToGrid w:val="0"/>
        <w:jc w:val="both"/>
        <w:rPr>
          <w:rStyle w:val="Hyperlink"/>
          <w:sz w:val="20"/>
          <w:szCs w:val="20"/>
        </w:rPr>
      </w:pPr>
      <w:r>
        <w:rPr>
          <w:sz w:val="20"/>
          <w:szCs w:val="20"/>
        </w:rPr>
        <w:t xml:space="preserve">[AKINSOLA, A.O, </w:t>
      </w:r>
      <w:proofErr w:type="spellStart"/>
      <w:r>
        <w:rPr>
          <w:sz w:val="20"/>
          <w:szCs w:val="20"/>
        </w:rPr>
        <w:t>Saliu-Olaoluwa</w:t>
      </w:r>
      <w:proofErr w:type="spellEnd"/>
      <w:r>
        <w:rPr>
          <w:sz w:val="20"/>
          <w:szCs w:val="20"/>
        </w:rPr>
        <w:t xml:space="preserve">, A.J. &amp; </w:t>
      </w:r>
      <w:proofErr w:type="spellStart"/>
      <w:r>
        <w:rPr>
          <w:sz w:val="20"/>
          <w:szCs w:val="20"/>
        </w:rPr>
        <w:t>Oyeleye</w:t>
      </w:r>
      <w:proofErr w:type="spellEnd"/>
      <w:r>
        <w:rPr>
          <w:sz w:val="20"/>
          <w:szCs w:val="20"/>
        </w:rPr>
        <w:t xml:space="preserve">, B.R. </w:t>
      </w:r>
      <w:r>
        <w:rPr>
          <w:b/>
          <w:sz w:val="20"/>
          <w:szCs w:val="20"/>
        </w:rPr>
        <w:t>NUTRITIONAL STATUS AND DIETARY PATTERN I:</w:t>
      </w:r>
      <w:r>
        <w:rPr>
          <w:b/>
          <w:sz w:val="20"/>
          <w:szCs w:val="20"/>
        </w:rPr>
        <w:t xml:space="preserve"> PRESCHOOL AGE CHILDREN IN AKINYELE LOCAL GOVERNMENT AREA OYO STATE</w:t>
      </w:r>
      <w:r>
        <w:rPr>
          <w:sz w:val="20"/>
          <w:szCs w:val="20"/>
        </w:rPr>
        <w:t xml:space="preserve">. </w:t>
      </w:r>
      <w:r>
        <w:rPr>
          <w:bCs/>
          <w:i/>
          <w:sz w:val="20"/>
          <w:szCs w:val="20"/>
        </w:rPr>
        <w:t>Researcher</w:t>
      </w:r>
      <w:r>
        <w:rPr>
          <w:bCs/>
          <w:sz w:val="20"/>
          <w:szCs w:val="20"/>
        </w:rPr>
        <w:t xml:space="preserve"> 20</w:t>
      </w:r>
      <w:r>
        <w:rPr>
          <w:bCs/>
          <w:sz w:val="20"/>
          <w:szCs w:val="20"/>
          <w:lang w:eastAsia="zh-CN"/>
        </w:rPr>
        <w:t>24</w:t>
      </w:r>
      <w:r>
        <w:rPr>
          <w:bCs/>
          <w:sz w:val="20"/>
          <w:szCs w:val="20"/>
        </w:rPr>
        <w:t>;</w:t>
      </w:r>
      <w:r>
        <w:rPr>
          <w:bCs/>
          <w:sz w:val="20"/>
          <w:szCs w:val="20"/>
          <w:lang w:eastAsia="zh-CN"/>
        </w:rPr>
        <w:t>16</w:t>
      </w:r>
      <w:r>
        <w:rPr>
          <w:bCs/>
          <w:sz w:val="20"/>
          <w:szCs w:val="20"/>
        </w:rPr>
        <w:t>(</w:t>
      </w:r>
      <w:r>
        <w:rPr>
          <w:rFonts w:hint="eastAsia"/>
          <w:bCs/>
          <w:sz w:val="20"/>
          <w:szCs w:val="20"/>
          <w:lang w:eastAsia="zh-CN"/>
        </w:rPr>
        <w:t>6</w:t>
      </w:r>
      <w:r>
        <w:rPr>
          <w:bCs/>
          <w:sz w:val="20"/>
          <w:szCs w:val="20"/>
        </w:rPr>
        <w:t>):</w:t>
      </w:r>
      <w:r>
        <w:rPr>
          <w:bCs/>
          <w:sz w:val="20"/>
          <w:szCs w:val="20"/>
          <w:lang w:eastAsia="zh-CN"/>
        </w:rPr>
        <w:t>12</w:t>
      </w:r>
      <w:r>
        <w:rPr>
          <w:rFonts w:hint="eastAsia"/>
          <w:bCs/>
          <w:sz w:val="20"/>
          <w:szCs w:val="20"/>
          <w:lang w:eastAsia="zh-CN"/>
        </w:rPr>
        <w:t>6</w:t>
      </w:r>
      <w:r>
        <w:rPr>
          <w:bCs/>
          <w:sz w:val="20"/>
          <w:szCs w:val="20"/>
        </w:rPr>
        <w:t>-</w:t>
      </w:r>
      <w:r>
        <w:rPr>
          <w:bCs/>
          <w:sz w:val="20"/>
          <w:szCs w:val="20"/>
          <w:lang w:eastAsia="zh-CN"/>
        </w:rPr>
        <w:t>1</w:t>
      </w:r>
      <w:r>
        <w:rPr>
          <w:rFonts w:hint="eastAsia"/>
          <w:bCs/>
          <w:sz w:val="20"/>
          <w:szCs w:val="20"/>
          <w:lang w:eastAsia="zh-CN"/>
        </w:rPr>
        <w:t>33</w:t>
      </w:r>
      <w:r>
        <w:rPr>
          <w:bCs/>
          <w:sz w:val="20"/>
          <w:szCs w:val="20"/>
        </w:rPr>
        <w:t xml:space="preserve">]. </w:t>
      </w:r>
      <w:r>
        <w:rPr>
          <w:sz w:val="20"/>
          <w:szCs w:val="20"/>
        </w:rPr>
        <w:t>ISSN 1553-9865 (print); ISSN 2163-8950 (online).</w:t>
      </w:r>
      <w:r>
        <w:rPr>
          <w:bCs/>
          <w:sz w:val="20"/>
          <w:szCs w:val="20"/>
        </w:rPr>
        <w:t xml:space="preserve"> </w:t>
      </w:r>
      <w:hyperlink r:id="rId8" w:history="1">
        <w:r>
          <w:rPr>
            <w:rStyle w:val="Hyperlink"/>
            <w:sz w:val="20"/>
            <w:szCs w:val="20"/>
          </w:rPr>
          <w:t>http://www.sciencepub.net/researcher</w:t>
        </w:r>
      </w:hyperlink>
      <w:r>
        <w:rPr>
          <w:bCs/>
          <w:sz w:val="20"/>
          <w:szCs w:val="20"/>
        </w:rPr>
        <w:t xml:space="preserve">. </w:t>
      </w:r>
      <w:r>
        <w:rPr>
          <w:rFonts w:eastAsia="SimSun"/>
          <w:sz w:val="20"/>
          <w:szCs w:val="20"/>
          <w:lang w:eastAsia="zh-CN"/>
        </w:rPr>
        <w:t>0</w:t>
      </w:r>
      <w:r>
        <w:rPr>
          <w:rFonts w:hint="eastAsia"/>
          <w:sz w:val="20"/>
          <w:szCs w:val="20"/>
          <w:shd w:val="clear" w:color="auto" w:fill="FFFFFF"/>
          <w:lang w:eastAsia="zh-CN"/>
        </w:rPr>
        <w:t>4</w:t>
      </w:r>
      <w:r>
        <w:rPr>
          <w:rFonts w:eastAsiaTheme="minorEastAsia"/>
          <w:sz w:val="20"/>
          <w:szCs w:val="20"/>
          <w:shd w:val="clear" w:color="auto" w:fill="FFFFFF"/>
          <w:lang w:eastAsia="zh-CN"/>
        </w:rPr>
        <w:t>.</w:t>
      </w:r>
      <w:r>
        <w:rPr>
          <w:rFonts w:eastAsiaTheme="minorEastAsia"/>
          <w:sz w:val="20"/>
          <w:szCs w:val="20"/>
          <w:shd w:val="clear" w:color="auto" w:fill="FFFFFF"/>
        </w:rPr>
        <w:t>doi</w:t>
      </w:r>
      <w:r>
        <w:rPr>
          <w:sz w:val="20"/>
          <w:szCs w:val="20"/>
        </w:rPr>
        <w:t>:</w:t>
      </w:r>
      <w:hyperlink r:id="rId9" w:history="1">
        <w:r>
          <w:rPr>
            <w:rStyle w:val="Hyperlink"/>
            <w:sz w:val="20"/>
            <w:szCs w:val="20"/>
          </w:rPr>
          <w:t>10.7537/marsrsj16</w:t>
        </w:r>
      </w:hyperlink>
      <w:r>
        <w:rPr>
          <w:rStyle w:val="Hyperlink"/>
          <w:sz w:val="20"/>
          <w:szCs w:val="20"/>
          <w:lang w:eastAsia="zh-CN"/>
        </w:rPr>
        <w:t>0</w:t>
      </w:r>
      <w:r>
        <w:rPr>
          <w:rStyle w:val="Hyperlink"/>
          <w:rFonts w:hint="eastAsia"/>
          <w:sz w:val="20"/>
          <w:szCs w:val="20"/>
          <w:lang w:eastAsia="zh-CN"/>
        </w:rPr>
        <w:t>6</w:t>
      </w:r>
      <w:r>
        <w:rPr>
          <w:rStyle w:val="Hyperlink"/>
          <w:sz w:val="20"/>
          <w:szCs w:val="20"/>
          <w:lang w:eastAsia="zh-CN"/>
        </w:rPr>
        <w:t>24</w:t>
      </w:r>
      <w:r>
        <w:rPr>
          <w:rStyle w:val="Hyperlink"/>
          <w:sz w:val="20"/>
          <w:szCs w:val="20"/>
        </w:rPr>
        <w:t>.</w:t>
      </w:r>
      <w:r>
        <w:rPr>
          <w:rStyle w:val="Hyperlink"/>
          <w:sz w:val="20"/>
          <w:szCs w:val="20"/>
          <w:lang w:eastAsia="zh-CN"/>
        </w:rPr>
        <w:t>0</w:t>
      </w:r>
      <w:r>
        <w:rPr>
          <w:rStyle w:val="Hyperlink"/>
          <w:rFonts w:hint="eastAsia"/>
          <w:sz w:val="20"/>
          <w:szCs w:val="20"/>
          <w:lang w:eastAsia="zh-CN"/>
        </w:rPr>
        <w:t>4</w:t>
      </w:r>
      <w:r>
        <w:rPr>
          <w:rStyle w:val="Hyperlink"/>
          <w:sz w:val="20"/>
          <w:szCs w:val="20"/>
        </w:rPr>
        <w:t>.</w:t>
      </w:r>
    </w:p>
    <w:p w:rsidR="005B3ABD" w:rsidRDefault="005B3ABD">
      <w:pPr>
        <w:snapToGrid w:val="0"/>
        <w:jc w:val="both"/>
        <w:rPr>
          <w:b/>
          <w:i/>
          <w:sz w:val="20"/>
          <w:szCs w:val="20"/>
        </w:rPr>
      </w:pPr>
    </w:p>
    <w:p w:rsidR="005B3ABD" w:rsidRDefault="003F2B6A">
      <w:pPr>
        <w:snapToGrid w:val="0"/>
        <w:jc w:val="both"/>
        <w:rPr>
          <w:b/>
          <w:sz w:val="20"/>
          <w:szCs w:val="20"/>
        </w:rPr>
      </w:pPr>
      <w:r>
        <w:rPr>
          <w:b/>
          <w:sz w:val="20"/>
          <w:szCs w:val="20"/>
        </w:rPr>
        <w:t xml:space="preserve">Keywords: </w:t>
      </w:r>
      <w:r>
        <w:rPr>
          <w:sz w:val="20"/>
          <w:szCs w:val="20"/>
        </w:rPr>
        <w:t>Acid-base, dietary pattern, malnutrition, micronutrients, preschool aged children</w:t>
      </w:r>
      <w:r>
        <w:rPr>
          <w:b/>
          <w:sz w:val="20"/>
          <w:szCs w:val="20"/>
        </w:rPr>
        <w:t xml:space="preserve"> </w:t>
      </w:r>
    </w:p>
    <w:p w:rsidR="005B3ABD" w:rsidRDefault="005B3ABD">
      <w:pPr>
        <w:snapToGrid w:val="0"/>
        <w:jc w:val="both"/>
        <w:rPr>
          <w:b/>
          <w:sz w:val="20"/>
          <w:szCs w:val="20"/>
        </w:rPr>
      </w:pPr>
    </w:p>
    <w:p w:rsidR="005B3ABD" w:rsidRDefault="005B3ABD">
      <w:pPr>
        <w:snapToGrid w:val="0"/>
        <w:jc w:val="both"/>
        <w:rPr>
          <w:b/>
          <w:sz w:val="20"/>
          <w:szCs w:val="20"/>
        </w:rPr>
        <w:sectPr w:rsidR="005B3ABD">
          <w:headerReference w:type="default" r:id="rId10"/>
          <w:footerReference w:type="default" r:id="rId11"/>
          <w:headerReference w:type="first" r:id="rId12"/>
          <w:footerReference w:type="first" r:id="rId13"/>
          <w:type w:val="continuous"/>
          <w:pgSz w:w="12240" w:h="15839"/>
          <w:pgMar w:top="1440" w:right="1440" w:bottom="1440" w:left="1440" w:header="720" w:footer="720" w:gutter="0"/>
          <w:pgNumType w:start="126"/>
          <w:cols w:space="425"/>
          <w:titlePg/>
          <w:docGrid w:linePitch="360"/>
        </w:sectPr>
      </w:pPr>
    </w:p>
    <w:p w:rsidR="005B3ABD" w:rsidRDefault="003F2B6A">
      <w:pPr>
        <w:snapToGrid w:val="0"/>
        <w:jc w:val="both"/>
        <w:rPr>
          <w:b/>
          <w:sz w:val="20"/>
          <w:szCs w:val="20"/>
        </w:rPr>
      </w:pPr>
      <w:r>
        <w:rPr>
          <w:b/>
          <w:sz w:val="20"/>
          <w:szCs w:val="20"/>
        </w:rPr>
        <w:lastRenderedPageBreak/>
        <w:t>1.0 Introduction</w:t>
      </w:r>
    </w:p>
    <w:p w:rsidR="005B3ABD" w:rsidRDefault="003F2B6A">
      <w:pPr>
        <w:autoSpaceDE w:val="0"/>
        <w:autoSpaceDN w:val="0"/>
        <w:adjustRightInd w:val="0"/>
        <w:snapToGrid w:val="0"/>
        <w:jc w:val="both"/>
        <w:rPr>
          <w:rFonts w:eastAsia="Calibri"/>
          <w:sz w:val="20"/>
          <w:szCs w:val="20"/>
        </w:rPr>
      </w:pPr>
      <w:r>
        <w:rPr>
          <w:rFonts w:eastAsia="Calibri"/>
          <w:sz w:val="20"/>
          <w:szCs w:val="20"/>
        </w:rPr>
        <w:tab/>
      </w:r>
      <w:r>
        <w:rPr>
          <w:rFonts w:eastAsia="Calibri"/>
          <w:sz w:val="20"/>
          <w:szCs w:val="20"/>
        </w:rPr>
        <w:t>The first six years of a child’s life mark a period of rapid physical, emotional and mental development. These formative years is characterized with social, culture and environmental development as the most active period. Early childhood development pertai</w:t>
      </w:r>
      <w:r>
        <w:rPr>
          <w:rFonts w:eastAsia="Calibri"/>
          <w:sz w:val="20"/>
          <w:szCs w:val="20"/>
        </w:rPr>
        <w:t xml:space="preserve">ns to physical, mental and social growth and consists of various interventions, such as those involving the promotion of nutrition, health, mental and social development </w:t>
      </w:r>
      <w:r>
        <w:rPr>
          <w:rFonts w:eastAsia="Calibri"/>
          <w:sz w:val="20"/>
          <w:szCs w:val="20"/>
          <w:vertAlign w:val="superscript"/>
        </w:rPr>
        <w:t>[1]</w:t>
      </w:r>
      <w:r>
        <w:rPr>
          <w:rFonts w:eastAsia="Calibri"/>
          <w:sz w:val="20"/>
          <w:szCs w:val="20"/>
        </w:rPr>
        <w:t>. Consumption of a healthy diet is essential for children to ensure that they under</w:t>
      </w:r>
      <w:r>
        <w:rPr>
          <w:rFonts w:eastAsia="Calibri"/>
          <w:sz w:val="20"/>
          <w:szCs w:val="20"/>
        </w:rPr>
        <w:t xml:space="preserve">go normal growth, development and to prevent a variety of nutrition-related health problems, such as anemia, growth retardation, malnutrition, compromised cognitive achievement, obesity, dental problems, and chronic diseases later in life </w:t>
      </w:r>
      <w:r>
        <w:rPr>
          <w:rFonts w:eastAsia="Calibri"/>
          <w:sz w:val="20"/>
          <w:szCs w:val="20"/>
          <w:vertAlign w:val="superscript"/>
        </w:rPr>
        <w:t>[2]</w:t>
      </w:r>
      <w:r>
        <w:rPr>
          <w:rFonts w:eastAsia="Calibri"/>
          <w:sz w:val="20"/>
          <w:szCs w:val="20"/>
        </w:rPr>
        <w:t xml:space="preserve">. The healthy </w:t>
      </w:r>
      <w:r>
        <w:rPr>
          <w:rFonts w:eastAsia="Calibri"/>
          <w:sz w:val="20"/>
          <w:szCs w:val="20"/>
        </w:rPr>
        <w:t>development of a person starts, before they are even born, with the health and nutrition of the mother and is a process that continues throughout their life. The part of this process that begins at birth and lasts until the age of compulsory education is c</w:t>
      </w:r>
      <w:r>
        <w:rPr>
          <w:rFonts w:eastAsia="Calibri"/>
          <w:sz w:val="20"/>
          <w:szCs w:val="20"/>
        </w:rPr>
        <w:t xml:space="preserve">alled the “preschool education period”. </w:t>
      </w:r>
    </w:p>
    <w:p w:rsidR="005B3ABD" w:rsidRDefault="003F2B6A">
      <w:pPr>
        <w:autoSpaceDE w:val="0"/>
        <w:autoSpaceDN w:val="0"/>
        <w:adjustRightInd w:val="0"/>
        <w:snapToGrid w:val="0"/>
        <w:jc w:val="both"/>
        <w:rPr>
          <w:rFonts w:eastAsia="Calibri"/>
          <w:sz w:val="20"/>
          <w:szCs w:val="20"/>
        </w:rPr>
      </w:pPr>
      <w:r>
        <w:rPr>
          <w:rFonts w:eastAsia="Calibri"/>
          <w:sz w:val="20"/>
          <w:szCs w:val="20"/>
        </w:rPr>
        <w:tab/>
        <w:t xml:space="preserve">This period is the most significant stage of human development coupled with the exposure children are subjected to provide qualified stimulants that will influence their mental and social development </w:t>
      </w:r>
      <w:r>
        <w:rPr>
          <w:rFonts w:eastAsia="Calibri"/>
          <w:sz w:val="20"/>
          <w:szCs w:val="20"/>
        </w:rPr>
        <w:lastRenderedPageBreak/>
        <w:t>positively. Th</w:t>
      </w:r>
      <w:r>
        <w:rPr>
          <w:rFonts w:eastAsia="Calibri"/>
          <w:sz w:val="20"/>
          <w:szCs w:val="20"/>
        </w:rPr>
        <w:t xml:space="preserve">e importance of having proper nutrition has in recent years been emphasized as a key factor in leading a healthy life and has contributed to the trend toward healthier diets </w:t>
      </w:r>
      <w:r>
        <w:rPr>
          <w:rFonts w:eastAsia="Calibri"/>
          <w:sz w:val="20"/>
          <w:szCs w:val="20"/>
          <w:vertAlign w:val="superscript"/>
        </w:rPr>
        <w:t>[3]</w:t>
      </w:r>
      <w:r>
        <w:rPr>
          <w:rFonts w:eastAsia="Calibri"/>
          <w:sz w:val="20"/>
          <w:szCs w:val="20"/>
        </w:rPr>
        <w:t>. It is of critical importance that nutrition education be given at early ages,</w:t>
      </w:r>
      <w:r>
        <w:rPr>
          <w:rFonts w:eastAsia="Calibri"/>
          <w:sz w:val="20"/>
          <w:szCs w:val="20"/>
        </w:rPr>
        <w:t xml:space="preserve"> particularly in the preschool period, to ensure that a healthy lifestyle is maintained. It has been well-established that nutrition education programs have a positive impact on nutritional knowledge and eating habits of preschool aged children </w:t>
      </w:r>
      <w:r>
        <w:rPr>
          <w:rFonts w:eastAsia="Calibri"/>
          <w:sz w:val="20"/>
          <w:szCs w:val="20"/>
          <w:vertAlign w:val="superscript"/>
        </w:rPr>
        <w:t>[4]</w:t>
      </w:r>
      <w:r>
        <w:rPr>
          <w:rFonts w:eastAsia="Calibri"/>
          <w:sz w:val="20"/>
          <w:szCs w:val="20"/>
        </w:rPr>
        <w:t xml:space="preserve">. </w:t>
      </w:r>
      <w:r>
        <w:rPr>
          <w:sz w:val="20"/>
          <w:szCs w:val="20"/>
        </w:rPr>
        <w:t>In add</w:t>
      </w:r>
      <w:r>
        <w:rPr>
          <w:sz w:val="20"/>
          <w:szCs w:val="20"/>
        </w:rPr>
        <w:t xml:space="preserve">ition, delayed motor development, impaired cognitive function, poor school performance and low intelligent quotient (IQ) are associated with early childhood malnutrition </w:t>
      </w:r>
      <w:r>
        <w:rPr>
          <w:rFonts w:eastAsia="Calibri"/>
          <w:sz w:val="20"/>
          <w:szCs w:val="20"/>
          <w:vertAlign w:val="superscript"/>
        </w:rPr>
        <w:t>[5]</w:t>
      </w:r>
      <w:r>
        <w:rPr>
          <w:sz w:val="20"/>
          <w:szCs w:val="20"/>
        </w:rPr>
        <w:t xml:space="preserve">. Improvement in infants and young child’s nutrition should be of top priority for improved nutritional status, key household decisions and practices that determine the survival, growth and development of the child </w:t>
      </w:r>
      <w:r>
        <w:rPr>
          <w:rFonts w:eastAsia="Calibri"/>
          <w:sz w:val="20"/>
          <w:szCs w:val="20"/>
        </w:rPr>
        <w:t>preschool aged children</w:t>
      </w:r>
      <w:r>
        <w:rPr>
          <w:sz w:val="20"/>
          <w:szCs w:val="20"/>
        </w:rPr>
        <w:t>.</w:t>
      </w:r>
    </w:p>
    <w:p w:rsidR="005B3ABD" w:rsidRDefault="003F2B6A">
      <w:pPr>
        <w:snapToGrid w:val="0"/>
        <w:jc w:val="both"/>
        <w:rPr>
          <w:sz w:val="20"/>
          <w:szCs w:val="20"/>
        </w:rPr>
      </w:pPr>
      <w:r>
        <w:rPr>
          <w:sz w:val="20"/>
          <w:szCs w:val="20"/>
        </w:rPr>
        <w:tab/>
        <w:t xml:space="preserve">Reports abound </w:t>
      </w:r>
      <w:r>
        <w:rPr>
          <w:sz w:val="20"/>
          <w:szCs w:val="20"/>
        </w:rPr>
        <w:t xml:space="preserve">that availability of food does not always translate into corresponding consumption of the food due in part to ignorance of what to eat, when to eat and how to eat. According to Black et al. </w:t>
      </w:r>
      <w:r>
        <w:rPr>
          <w:rFonts w:eastAsia="Calibri"/>
          <w:sz w:val="20"/>
          <w:szCs w:val="20"/>
          <w:vertAlign w:val="superscript"/>
        </w:rPr>
        <w:t>[6]</w:t>
      </w:r>
      <w:r>
        <w:rPr>
          <w:rFonts w:eastAsia="Calibri"/>
          <w:sz w:val="20"/>
          <w:szCs w:val="20"/>
        </w:rPr>
        <w:t>,</w:t>
      </w:r>
      <w:r>
        <w:rPr>
          <w:sz w:val="20"/>
          <w:szCs w:val="20"/>
        </w:rPr>
        <w:t xml:space="preserve"> training and nutrition education of the mothers is necessary </w:t>
      </w:r>
      <w:r>
        <w:rPr>
          <w:sz w:val="20"/>
          <w:szCs w:val="20"/>
        </w:rPr>
        <w:t xml:space="preserve">to change feeding practices and provide correct information while the importance of varying the </w:t>
      </w:r>
      <w:r>
        <w:rPr>
          <w:rFonts w:eastAsia="Calibri"/>
          <w:sz w:val="20"/>
          <w:szCs w:val="20"/>
        </w:rPr>
        <w:lastRenderedPageBreak/>
        <w:t>preschool aged children</w:t>
      </w:r>
      <w:r>
        <w:rPr>
          <w:sz w:val="20"/>
          <w:szCs w:val="20"/>
        </w:rPr>
        <w:t xml:space="preserve"> diet and practicing good hygiene when handling and storing of </w:t>
      </w:r>
      <w:r>
        <w:rPr>
          <w:rFonts w:eastAsia="Calibri"/>
          <w:sz w:val="20"/>
          <w:szCs w:val="20"/>
        </w:rPr>
        <w:t>preschool aged children</w:t>
      </w:r>
      <w:r>
        <w:rPr>
          <w:sz w:val="20"/>
          <w:szCs w:val="20"/>
        </w:rPr>
        <w:t xml:space="preserve"> food can be included as well </w:t>
      </w:r>
      <w:r>
        <w:rPr>
          <w:rFonts w:eastAsia="Calibri"/>
          <w:sz w:val="20"/>
          <w:szCs w:val="20"/>
          <w:vertAlign w:val="superscript"/>
        </w:rPr>
        <w:t>[7]</w:t>
      </w:r>
      <w:r>
        <w:rPr>
          <w:sz w:val="20"/>
          <w:szCs w:val="20"/>
        </w:rPr>
        <w:t>. The teaching and</w:t>
      </w:r>
      <w:r>
        <w:rPr>
          <w:sz w:val="20"/>
          <w:szCs w:val="20"/>
        </w:rPr>
        <w:t xml:space="preserve"> training of nursing mothers could have a long-term impact on weaning practices and nutritional status of </w:t>
      </w:r>
      <w:r>
        <w:rPr>
          <w:rFonts w:eastAsia="Calibri"/>
          <w:sz w:val="20"/>
          <w:szCs w:val="20"/>
        </w:rPr>
        <w:t>preschool aged children</w:t>
      </w:r>
      <w:r>
        <w:rPr>
          <w:sz w:val="20"/>
          <w:szCs w:val="20"/>
        </w:rPr>
        <w:t>. Therefore, in an economy undergoing high inflation trends like Nigeria, malnutrition is bound to be prevalent. This may be du</w:t>
      </w:r>
      <w:r>
        <w:rPr>
          <w:sz w:val="20"/>
          <w:szCs w:val="20"/>
        </w:rPr>
        <w:t>e to hunger, poverty and economic instability among others. The ravages of malnutrition on the health of children may be enormous ranging from growth retardation, low academic potentials, to disease conditions and even death. It became apparent that the di</w:t>
      </w:r>
      <w:r>
        <w:rPr>
          <w:sz w:val="20"/>
          <w:szCs w:val="20"/>
        </w:rPr>
        <w:t xml:space="preserve">etary pattern and nutritional status of children must first be determined before interventional measures can be taken. </w:t>
      </w:r>
      <w:r>
        <w:rPr>
          <w:rFonts w:eastAsia="Arial Unicode MS"/>
          <w:sz w:val="20"/>
          <w:szCs w:val="20"/>
        </w:rPr>
        <w:t xml:space="preserve">Therefore, the purpose of this study was to investigate the dietary pattern and nutritional status of preschool aged children in </w:t>
      </w:r>
      <w:proofErr w:type="spellStart"/>
      <w:r>
        <w:rPr>
          <w:sz w:val="20"/>
          <w:szCs w:val="20"/>
        </w:rPr>
        <w:t>Akinyele</w:t>
      </w:r>
      <w:proofErr w:type="spellEnd"/>
      <w:r>
        <w:rPr>
          <w:sz w:val="20"/>
          <w:szCs w:val="20"/>
        </w:rPr>
        <w:t xml:space="preserve"> Local Government Area, a sub-urban setting in Oyo State</w:t>
      </w:r>
      <w:r>
        <w:rPr>
          <w:rFonts w:eastAsia="Arial Unicode MS"/>
          <w:sz w:val="20"/>
          <w:szCs w:val="20"/>
        </w:rPr>
        <w:t xml:space="preserve"> Nigeria as a case study to ascertain the adequacy or otherwise of their food consumption.</w:t>
      </w:r>
    </w:p>
    <w:p w:rsidR="005B3ABD" w:rsidRDefault="005B3ABD">
      <w:pPr>
        <w:snapToGrid w:val="0"/>
        <w:jc w:val="both"/>
        <w:rPr>
          <w:b/>
          <w:sz w:val="20"/>
          <w:szCs w:val="20"/>
        </w:rPr>
      </w:pPr>
    </w:p>
    <w:p w:rsidR="005B3ABD" w:rsidRDefault="003F2B6A">
      <w:pPr>
        <w:snapToGrid w:val="0"/>
        <w:jc w:val="both"/>
        <w:rPr>
          <w:rFonts w:eastAsia="Calibri"/>
          <w:color w:val="000000"/>
          <w:sz w:val="20"/>
          <w:szCs w:val="20"/>
        </w:rPr>
      </w:pPr>
      <w:r>
        <w:rPr>
          <w:b/>
          <w:sz w:val="20"/>
          <w:szCs w:val="20"/>
        </w:rPr>
        <w:t xml:space="preserve">2.0 Materials and </w:t>
      </w:r>
      <w:r>
        <w:rPr>
          <w:rFonts w:eastAsia="Calibri"/>
          <w:b/>
          <w:bCs/>
          <w:color w:val="000000"/>
          <w:sz w:val="20"/>
          <w:szCs w:val="20"/>
        </w:rPr>
        <w:t xml:space="preserve">Methods </w:t>
      </w:r>
    </w:p>
    <w:p w:rsidR="005B3ABD" w:rsidRDefault="003F2B6A">
      <w:pPr>
        <w:autoSpaceDE w:val="0"/>
        <w:autoSpaceDN w:val="0"/>
        <w:adjustRightInd w:val="0"/>
        <w:snapToGrid w:val="0"/>
        <w:jc w:val="both"/>
        <w:rPr>
          <w:rFonts w:eastAsia="Calibri"/>
          <w:b/>
          <w:color w:val="000000"/>
          <w:sz w:val="20"/>
          <w:szCs w:val="20"/>
        </w:rPr>
      </w:pPr>
      <w:r>
        <w:rPr>
          <w:rFonts w:eastAsia="Calibri"/>
          <w:b/>
          <w:color w:val="000000"/>
          <w:sz w:val="20"/>
          <w:szCs w:val="20"/>
        </w:rPr>
        <w:t>2.1 Material</w:t>
      </w:r>
    </w:p>
    <w:p w:rsidR="005B3ABD" w:rsidRDefault="003F2B6A">
      <w:pPr>
        <w:autoSpaceDE w:val="0"/>
        <w:autoSpaceDN w:val="0"/>
        <w:adjustRightInd w:val="0"/>
        <w:snapToGrid w:val="0"/>
        <w:jc w:val="both"/>
        <w:rPr>
          <w:rFonts w:eastAsia="Calibri"/>
          <w:color w:val="000000"/>
          <w:sz w:val="20"/>
          <w:szCs w:val="20"/>
        </w:rPr>
      </w:pPr>
      <w:r>
        <w:rPr>
          <w:rFonts w:eastAsia="Calibri"/>
          <w:color w:val="000000"/>
          <w:sz w:val="20"/>
          <w:szCs w:val="20"/>
        </w:rPr>
        <w:tab/>
        <w:t>Samples of the 24-hr recall food intake during the last 24 hours fo</w:t>
      </w:r>
      <w:r>
        <w:rPr>
          <w:rFonts w:eastAsia="Calibri"/>
          <w:color w:val="000000"/>
          <w:sz w:val="20"/>
          <w:szCs w:val="20"/>
        </w:rPr>
        <w:t xml:space="preserve">r morning, afternoon and evening were collected, </w:t>
      </w:r>
      <w:r>
        <w:rPr>
          <w:sz w:val="20"/>
          <w:szCs w:val="20"/>
        </w:rPr>
        <w:t xml:space="preserve">dried at 55±5 </w:t>
      </w:r>
      <w:proofErr w:type="spellStart"/>
      <w:r>
        <w:rPr>
          <w:sz w:val="20"/>
          <w:szCs w:val="20"/>
          <w:vertAlign w:val="superscript"/>
        </w:rPr>
        <w:t>o</w:t>
      </w:r>
      <w:r>
        <w:rPr>
          <w:sz w:val="20"/>
          <w:szCs w:val="20"/>
        </w:rPr>
        <w:t>C</w:t>
      </w:r>
      <w:proofErr w:type="spellEnd"/>
      <w:r>
        <w:rPr>
          <w:sz w:val="20"/>
          <w:szCs w:val="20"/>
        </w:rPr>
        <w:t xml:space="preserve"> for 6 </w:t>
      </w:r>
      <w:proofErr w:type="spellStart"/>
      <w:r>
        <w:rPr>
          <w:sz w:val="20"/>
          <w:szCs w:val="20"/>
        </w:rPr>
        <w:t>hr</w:t>
      </w:r>
      <w:proofErr w:type="spellEnd"/>
      <w:r>
        <w:rPr>
          <w:sz w:val="20"/>
          <w:szCs w:val="20"/>
        </w:rPr>
        <w:t xml:space="preserve"> using hot air oven (Model: </w:t>
      </w:r>
      <w:proofErr w:type="spellStart"/>
      <w:r>
        <w:rPr>
          <w:sz w:val="20"/>
          <w:szCs w:val="20"/>
        </w:rPr>
        <w:t>Genlab</w:t>
      </w:r>
      <w:proofErr w:type="spellEnd"/>
      <w:r>
        <w:rPr>
          <w:sz w:val="20"/>
          <w:szCs w:val="20"/>
        </w:rPr>
        <w:t>, DC 500; Serial number: 12B154) and then allowed to cool, packed and stored in low density polythene nylon for laboratory analysis.</w:t>
      </w:r>
    </w:p>
    <w:p w:rsidR="005B3ABD" w:rsidRDefault="003F2B6A">
      <w:pPr>
        <w:autoSpaceDE w:val="0"/>
        <w:autoSpaceDN w:val="0"/>
        <w:adjustRightInd w:val="0"/>
        <w:snapToGrid w:val="0"/>
        <w:jc w:val="both"/>
        <w:rPr>
          <w:rFonts w:eastAsia="Calibri"/>
          <w:b/>
          <w:color w:val="000000"/>
          <w:sz w:val="20"/>
          <w:szCs w:val="20"/>
        </w:rPr>
      </w:pPr>
      <w:r>
        <w:rPr>
          <w:rFonts w:eastAsia="Calibri"/>
          <w:b/>
          <w:color w:val="000000"/>
          <w:sz w:val="20"/>
          <w:szCs w:val="20"/>
        </w:rPr>
        <w:t xml:space="preserve">2.2 Methods </w:t>
      </w:r>
    </w:p>
    <w:p w:rsidR="005B3ABD" w:rsidRDefault="003F2B6A">
      <w:pPr>
        <w:autoSpaceDE w:val="0"/>
        <w:autoSpaceDN w:val="0"/>
        <w:adjustRightInd w:val="0"/>
        <w:snapToGrid w:val="0"/>
        <w:jc w:val="both"/>
        <w:rPr>
          <w:sz w:val="20"/>
          <w:szCs w:val="20"/>
        </w:rPr>
      </w:pPr>
      <w:r>
        <w:rPr>
          <w:rFonts w:eastAsia="Calibri"/>
          <w:color w:val="000000"/>
          <w:sz w:val="20"/>
          <w:szCs w:val="20"/>
        </w:rPr>
        <w:tab/>
      </w:r>
      <w:r>
        <w:rPr>
          <w:rFonts w:eastAsia="Calibri"/>
          <w:color w:val="000000"/>
          <w:sz w:val="20"/>
          <w:szCs w:val="20"/>
        </w:rPr>
        <w:t>Nutritional status is a condition of nourishment that de</w:t>
      </w:r>
      <w:r>
        <w:rPr>
          <w:rFonts w:eastAsia="Calibri"/>
          <w:color w:val="000000"/>
          <w:sz w:val="20"/>
          <w:szCs w:val="20"/>
        </w:rPr>
        <w:softHyphen/>
        <w:t>pends on dietary intake and their use in the body. Assess</w:t>
      </w:r>
      <w:r>
        <w:rPr>
          <w:rFonts w:eastAsia="Calibri"/>
          <w:color w:val="000000"/>
          <w:sz w:val="20"/>
          <w:szCs w:val="20"/>
        </w:rPr>
        <w:softHyphen/>
        <w:t>ment of nutritional status was carried out using dietary tests to determine macro, micronutrients and total energy intake in order to know th</w:t>
      </w:r>
      <w:r>
        <w:rPr>
          <w:rFonts w:eastAsia="Calibri"/>
          <w:color w:val="000000"/>
          <w:sz w:val="20"/>
          <w:szCs w:val="20"/>
        </w:rPr>
        <w:t xml:space="preserve">eir nutrients intake during the last 24-hr comparable to FDN </w:t>
      </w:r>
      <w:r>
        <w:rPr>
          <w:rFonts w:eastAsia="Calibri"/>
          <w:color w:val="000000"/>
          <w:sz w:val="20"/>
          <w:szCs w:val="20"/>
          <w:vertAlign w:val="superscript"/>
        </w:rPr>
        <w:t>[8]</w:t>
      </w:r>
      <w:r>
        <w:rPr>
          <w:rFonts w:eastAsia="Calibri"/>
          <w:color w:val="000000"/>
          <w:sz w:val="20"/>
          <w:szCs w:val="20"/>
        </w:rPr>
        <w:t xml:space="preserve"> reference standard. </w:t>
      </w:r>
    </w:p>
    <w:p w:rsidR="005B3ABD" w:rsidRDefault="003F2B6A">
      <w:pPr>
        <w:autoSpaceDE w:val="0"/>
        <w:autoSpaceDN w:val="0"/>
        <w:adjustRightInd w:val="0"/>
        <w:snapToGrid w:val="0"/>
        <w:jc w:val="both"/>
        <w:rPr>
          <w:rFonts w:eastAsia="Calibri"/>
          <w:color w:val="000000"/>
          <w:sz w:val="20"/>
          <w:szCs w:val="20"/>
        </w:rPr>
      </w:pPr>
      <w:r>
        <w:rPr>
          <w:rFonts w:eastAsia="Calibri"/>
          <w:b/>
          <w:bCs/>
          <w:iCs/>
          <w:color w:val="000000"/>
          <w:sz w:val="20"/>
          <w:szCs w:val="20"/>
        </w:rPr>
        <w:t xml:space="preserve">2.3 Proximate composition of the dried 24-hr recall food intake samples </w:t>
      </w:r>
    </w:p>
    <w:p w:rsidR="005B3ABD" w:rsidRDefault="003F2B6A">
      <w:pPr>
        <w:snapToGrid w:val="0"/>
        <w:jc w:val="both"/>
        <w:rPr>
          <w:rFonts w:eastAsia="Calibri"/>
          <w:color w:val="000000"/>
          <w:sz w:val="20"/>
          <w:szCs w:val="20"/>
        </w:rPr>
      </w:pPr>
      <w:r>
        <w:rPr>
          <w:rFonts w:eastAsia="Calibri"/>
          <w:color w:val="000000"/>
          <w:sz w:val="20"/>
          <w:szCs w:val="20"/>
        </w:rPr>
        <w:tab/>
        <w:t xml:space="preserve">Proximate analysis of the samples was carried out using AOAC </w:t>
      </w:r>
      <w:r>
        <w:rPr>
          <w:rFonts w:eastAsia="Calibri"/>
          <w:sz w:val="20"/>
          <w:szCs w:val="20"/>
          <w:vertAlign w:val="superscript"/>
        </w:rPr>
        <w:t>[9]</w:t>
      </w:r>
      <w:r>
        <w:rPr>
          <w:rFonts w:eastAsia="Calibri"/>
          <w:color w:val="000000"/>
          <w:sz w:val="20"/>
          <w:szCs w:val="20"/>
        </w:rPr>
        <w:t xml:space="preserve"> methods. Moisture content was d</w:t>
      </w:r>
      <w:r>
        <w:rPr>
          <w:rFonts w:eastAsia="Calibri"/>
          <w:color w:val="000000"/>
          <w:sz w:val="20"/>
          <w:szCs w:val="20"/>
        </w:rPr>
        <w:t>etermined by air oven method at 105 °C. The protein content of the sample was determined using micro-</w:t>
      </w:r>
      <w:proofErr w:type="spellStart"/>
      <w:r>
        <w:rPr>
          <w:rFonts w:eastAsia="Calibri"/>
          <w:color w:val="000000"/>
          <w:sz w:val="20"/>
          <w:szCs w:val="20"/>
        </w:rPr>
        <w:t>Kjeldahl</w:t>
      </w:r>
      <w:proofErr w:type="spellEnd"/>
      <w:r>
        <w:rPr>
          <w:rFonts w:eastAsia="Calibri"/>
          <w:color w:val="000000"/>
          <w:sz w:val="20"/>
          <w:szCs w:val="20"/>
        </w:rPr>
        <w:t xml:space="preserve"> method. Fat was determined by </w:t>
      </w:r>
      <w:proofErr w:type="spellStart"/>
      <w:r>
        <w:rPr>
          <w:rFonts w:eastAsia="Calibri"/>
          <w:color w:val="000000"/>
          <w:sz w:val="20"/>
          <w:szCs w:val="20"/>
        </w:rPr>
        <w:t>Soxhlet</w:t>
      </w:r>
      <w:proofErr w:type="spellEnd"/>
      <w:r>
        <w:rPr>
          <w:rFonts w:eastAsia="Calibri"/>
          <w:color w:val="000000"/>
          <w:sz w:val="20"/>
          <w:szCs w:val="20"/>
        </w:rPr>
        <w:t xml:space="preserve"> extraction method using petroleum ether as extracting solvent. The ash content was determined by weighing 5 </w:t>
      </w:r>
      <w:r>
        <w:rPr>
          <w:rFonts w:eastAsia="Calibri"/>
          <w:color w:val="000000"/>
          <w:sz w:val="20"/>
          <w:szCs w:val="20"/>
        </w:rPr>
        <w:t xml:space="preserve">g of charred sample into a tarred porcelain crucible. It was incinerated at 600°C for 6 hours in ash muffle furnace until ash was obtained. Crude </w:t>
      </w:r>
      <w:proofErr w:type="spellStart"/>
      <w:r>
        <w:rPr>
          <w:rFonts w:eastAsia="Calibri"/>
          <w:color w:val="000000"/>
          <w:sz w:val="20"/>
          <w:szCs w:val="20"/>
        </w:rPr>
        <w:t>fibre</w:t>
      </w:r>
      <w:proofErr w:type="spellEnd"/>
      <w:r>
        <w:rPr>
          <w:rFonts w:eastAsia="Calibri"/>
          <w:color w:val="000000"/>
          <w:sz w:val="20"/>
          <w:szCs w:val="20"/>
        </w:rPr>
        <w:t xml:space="preserve"> was determined by exhaustive extraction of soluble substances in a sample using H</w:t>
      </w:r>
      <w:r>
        <w:rPr>
          <w:rFonts w:eastAsia="Calibri"/>
          <w:color w:val="000000"/>
          <w:sz w:val="20"/>
          <w:szCs w:val="20"/>
          <w:vertAlign w:val="subscript"/>
        </w:rPr>
        <w:t>2</w:t>
      </w:r>
      <w:r>
        <w:rPr>
          <w:rFonts w:eastAsia="Calibri"/>
          <w:color w:val="000000"/>
          <w:sz w:val="20"/>
          <w:szCs w:val="20"/>
        </w:rPr>
        <w:t xml:space="preserve">SO4 and </w:t>
      </w:r>
      <w:proofErr w:type="spellStart"/>
      <w:r>
        <w:rPr>
          <w:rFonts w:eastAsia="Calibri"/>
          <w:color w:val="000000"/>
          <w:sz w:val="20"/>
          <w:szCs w:val="20"/>
        </w:rPr>
        <w:t>NaOH</w:t>
      </w:r>
      <w:proofErr w:type="spellEnd"/>
      <w:r>
        <w:rPr>
          <w:rFonts w:eastAsia="Calibri"/>
          <w:color w:val="000000"/>
          <w:sz w:val="20"/>
          <w:szCs w:val="20"/>
        </w:rPr>
        <w:t xml:space="preserve"> solution,</w:t>
      </w:r>
      <w:r>
        <w:rPr>
          <w:rFonts w:eastAsia="Calibri"/>
          <w:color w:val="000000"/>
          <w:sz w:val="20"/>
          <w:szCs w:val="20"/>
        </w:rPr>
        <w:t xml:space="preserve"> after the residue was </w:t>
      </w:r>
      <w:proofErr w:type="spellStart"/>
      <w:r>
        <w:rPr>
          <w:rFonts w:eastAsia="Calibri"/>
          <w:color w:val="000000"/>
          <w:sz w:val="20"/>
          <w:szCs w:val="20"/>
        </w:rPr>
        <w:t>ashed</w:t>
      </w:r>
      <w:proofErr w:type="spellEnd"/>
      <w:r>
        <w:rPr>
          <w:rFonts w:eastAsia="Calibri"/>
          <w:color w:val="000000"/>
          <w:sz w:val="20"/>
          <w:szCs w:val="20"/>
        </w:rPr>
        <w:t xml:space="preserve"> and the loss in weight recorded as crude </w:t>
      </w:r>
      <w:proofErr w:type="spellStart"/>
      <w:r>
        <w:rPr>
          <w:rFonts w:eastAsia="Calibri"/>
          <w:color w:val="000000"/>
          <w:sz w:val="20"/>
          <w:szCs w:val="20"/>
        </w:rPr>
        <w:t>fibre</w:t>
      </w:r>
      <w:proofErr w:type="spellEnd"/>
      <w:r>
        <w:rPr>
          <w:rFonts w:eastAsia="Calibri"/>
          <w:color w:val="000000"/>
          <w:sz w:val="20"/>
          <w:szCs w:val="20"/>
        </w:rPr>
        <w:t xml:space="preserve">. Carbohydrate content was calculated by differences while gross energy value </w:t>
      </w:r>
      <w:r>
        <w:rPr>
          <w:rFonts w:eastAsia="Calibri"/>
          <w:color w:val="000000"/>
          <w:sz w:val="20"/>
          <w:szCs w:val="20"/>
        </w:rPr>
        <w:lastRenderedPageBreak/>
        <w:t xml:space="preserve">of the samples was estimated (kJ/100 g) by using this formula according to </w:t>
      </w:r>
      <w:proofErr w:type="spellStart"/>
      <w:r>
        <w:rPr>
          <w:rFonts w:eastAsia="Calibri"/>
          <w:color w:val="000000"/>
          <w:sz w:val="20"/>
          <w:szCs w:val="20"/>
        </w:rPr>
        <w:t>Famakin</w:t>
      </w:r>
      <w:proofErr w:type="spellEnd"/>
      <w:r>
        <w:rPr>
          <w:rFonts w:eastAsia="Calibri"/>
          <w:color w:val="000000"/>
          <w:sz w:val="20"/>
          <w:szCs w:val="20"/>
        </w:rPr>
        <w:t xml:space="preserve"> et al. </w:t>
      </w:r>
      <w:r>
        <w:rPr>
          <w:rFonts w:eastAsia="Calibri"/>
          <w:color w:val="000000"/>
          <w:sz w:val="20"/>
          <w:szCs w:val="20"/>
          <w:vertAlign w:val="superscript"/>
        </w:rPr>
        <w:t>[10]</w:t>
      </w:r>
      <w:r>
        <w:rPr>
          <w:rFonts w:eastAsia="Calibri"/>
          <w:color w:val="000000"/>
          <w:sz w:val="20"/>
          <w:szCs w:val="20"/>
        </w:rPr>
        <w:t xml:space="preserve">. </w:t>
      </w:r>
    </w:p>
    <w:p w:rsidR="005B3ABD" w:rsidRDefault="003F2B6A">
      <w:pPr>
        <w:snapToGrid w:val="0"/>
        <w:jc w:val="both"/>
        <w:rPr>
          <w:rFonts w:eastAsia="Calibri"/>
          <w:color w:val="000000"/>
          <w:sz w:val="20"/>
          <w:szCs w:val="20"/>
        </w:rPr>
      </w:pPr>
      <w:r>
        <w:rPr>
          <w:sz w:val="20"/>
          <w:szCs w:val="20"/>
        </w:rPr>
        <w:tab/>
        <w:t>Gross</w:t>
      </w:r>
      <w:r>
        <w:rPr>
          <w:sz w:val="20"/>
          <w:szCs w:val="20"/>
        </w:rPr>
        <w:t xml:space="preserve"> energy (kJ/100 g dry matter) = (Protein × 16.7) + (Lipid × 37.7) + (Carbohydrate × 16.7)</w:t>
      </w:r>
    </w:p>
    <w:p w:rsidR="005B3ABD" w:rsidRDefault="005B3ABD">
      <w:pPr>
        <w:autoSpaceDE w:val="0"/>
        <w:autoSpaceDN w:val="0"/>
        <w:adjustRightInd w:val="0"/>
        <w:snapToGrid w:val="0"/>
        <w:jc w:val="both"/>
        <w:rPr>
          <w:rFonts w:eastAsia="Calibri"/>
          <w:b/>
          <w:bCs/>
          <w:iCs/>
          <w:color w:val="000000"/>
          <w:sz w:val="20"/>
          <w:szCs w:val="20"/>
        </w:rPr>
      </w:pPr>
    </w:p>
    <w:p w:rsidR="005B3ABD" w:rsidRDefault="003F2B6A">
      <w:pPr>
        <w:autoSpaceDE w:val="0"/>
        <w:autoSpaceDN w:val="0"/>
        <w:adjustRightInd w:val="0"/>
        <w:snapToGrid w:val="0"/>
        <w:jc w:val="both"/>
        <w:rPr>
          <w:rFonts w:eastAsia="Calibri"/>
          <w:color w:val="000000"/>
          <w:sz w:val="20"/>
          <w:szCs w:val="20"/>
        </w:rPr>
      </w:pPr>
      <w:r>
        <w:rPr>
          <w:rFonts w:eastAsia="Calibri"/>
          <w:b/>
          <w:bCs/>
          <w:iCs/>
          <w:color w:val="000000"/>
          <w:sz w:val="20"/>
          <w:szCs w:val="20"/>
        </w:rPr>
        <w:t xml:space="preserve">2.4 Mineral and Vitamin profiles of the dried 24-hr recall food intake samples </w:t>
      </w:r>
    </w:p>
    <w:p w:rsidR="005B3ABD" w:rsidRDefault="003F2B6A">
      <w:pPr>
        <w:pStyle w:val="Default"/>
        <w:snapToGrid w:val="0"/>
        <w:jc w:val="both"/>
        <w:rPr>
          <w:sz w:val="20"/>
          <w:szCs w:val="20"/>
        </w:rPr>
      </w:pPr>
      <w:r>
        <w:rPr>
          <w:sz w:val="20"/>
          <w:szCs w:val="20"/>
        </w:rPr>
        <w:tab/>
        <w:t xml:space="preserve">Mineral profiles were determined as described by AOAC </w:t>
      </w:r>
      <w:r>
        <w:rPr>
          <w:sz w:val="20"/>
          <w:szCs w:val="20"/>
          <w:vertAlign w:val="superscript"/>
        </w:rPr>
        <w:t>[9]</w:t>
      </w:r>
      <w:r>
        <w:rPr>
          <w:sz w:val="20"/>
          <w:szCs w:val="20"/>
        </w:rPr>
        <w:t xml:space="preserve"> using an inductively-coupled plasma atomic emission spectrometer (ICPAES, USA, TL6000 Model). The ash was digested with 3 cm3 of 3 M </w:t>
      </w:r>
      <w:proofErr w:type="spellStart"/>
      <w:r>
        <w:rPr>
          <w:sz w:val="20"/>
          <w:szCs w:val="20"/>
        </w:rPr>
        <w:t>HCl</w:t>
      </w:r>
      <w:proofErr w:type="spellEnd"/>
      <w:r>
        <w:rPr>
          <w:sz w:val="20"/>
          <w:szCs w:val="20"/>
        </w:rPr>
        <w:t xml:space="preserve"> and made up to the mark in a 100 cm3 standard flask with 0.36 M </w:t>
      </w:r>
      <w:proofErr w:type="spellStart"/>
      <w:r>
        <w:rPr>
          <w:sz w:val="20"/>
          <w:szCs w:val="20"/>
        </w:rPr>
        <w:t>HCl</w:t>
      </w:r>
      <w:proofErr w:type="spellEnd"/>
      <w:r>
        <w:rPr>
          <w:sz w:val="20"/>
          <w:szCs w:val="20"/>
        </w:rPr>
        <w:t xml:space="preserve"> before the mineral elements (calcium, zinc, magnes</w:t>
      </w:r>
      <w:r>
        <w:rPr>
          <w:sz w:val="20"/>
          <w:szCs w:val="20"/>
        </w:rPr>
        <w:t xml:space="preserve">ium, iron and potassium) were determined by atomic absorption spectrophotometer (PYE </w:t>
      </w:r>
      <w:proofErr w:type="spellStart"/>
      <w:r>
        <w:rPr>
          <w:sz w:val="20"/>
          <w:szCs w:val="20"/>
        </w:rPr>
        <w:t>Unicam</w:t>
      </w:r>
      <w:proofErr w:type="spellEnd"/>
      <w:r>
        <w:rPr>
          <w:sz w:val="20"/>
          <w:szCs w:val="20"/>
        </w:rPr>
        <w:t xml:space="preserve"> SP 2900, UK). </w:t>
      </w:r>
      <w:proofErr w:type="spellStart"/>
      <w:r>
        <w:rPr>
          <w:sz w:val="20"/>
          <w:szCs w:val="20"/>
        </w:rPr>
        <w:t>Provitamin</w:t>
      </w:r>
      <w:proofErr w:type="spellEnd"/>
      <w:r>
        <w:rPr>
          <w:sz w:val="20"/>
          <w:szCs w:val="20"/>
        </w:rPr>
        <w:t xml:space="preserve"> A was determined using the method adopted by IVACG </w:t>
      </w:r>
      <w:r>
        <w:rPr>
          <w:sz w:val="20"/>
          <w:szCs w:val="20"/>
          <w:vertAlign w:val="superscript"/>
        </w:rPr>
        <w:t>[11]</w:t>
      </w:r>
      <w:r>
        <w:rPr>
          <w:sz w:val="20"/>
          <w:szCs w:val="20"/>
        </w:rPr>
        <w:t xml:space="preserve"> while vitamin B</w:t>
      </w:r>
      <w:r>
        <w:rPr>
          <w:sz w:val="20"/>
          <w:szCs w:val="20"/>
          <w:vertAlign w:val="subscript"/>
        </w:rPr>
        <w:t>1</w:t>
      </w:r>
      <w:r>
        <w:rPr>
          <w:sz w:val="20"/>
          <w:szCs w:val="20"/>
        </w:rPr>
        <w:t>, B</w:t>
      </w:r>
      <w:r>
        <w:rPr>
          <w:sz w:val="20"/>
          <w:szCs w:val="20"/>
          <w:vertAlign w:val="subscript"/>
        </w:rPr>
        <w:t>2</w:t>
      </w:r>
      <w:r>
        <w:rPr>
          <w:sz w:val="20"/>
          <w:szCs w:val="20"/>
        </w:rPr>
        <w:t>, B</w:t>
      </w:r>
      <w:r>
        <w:rPr>
          <w:sz w:val="20"/>
          <w:szCs w:val="20"/>
          <w:vertAlign w:val="subscript"/>
        </w:rPr>
        <w:t xml:space="preserve">12 </w:t>
      </w:r>
      <w:r>
        <w:rPr>
          <w:sz w:val="20"/>
          <w:szCs w:val="20"/>
        </w:rPr>
        <w:t xml:space="preserve">and vitamin C were determined using the method of AOAC </w:t>
      </w:r>
      <w:r>
        <w:rPr>
          <w:sz w:val="20"/>
          <w:szCs w:val="20"/>
          <w:vertAlign w:val="superscript"/>
        </w:rPr>
        <w:t>[9</w:t>
      </w:r>
      <w:r>
        <w:rPr>
          <w:sz w:val="20"/>
          <w:szCs w:val="20"/>
          <w:vertAlign w:val="superscript"/>
        </w:rPr>
        <w:t>]</w:t>
      </w:r>
      <w:r>
        <w:rPr>
          <w:sz w:val="20"/>
          <w:szCs w:val="20"/>
        </w:rPr>
        <w:t>.</w:t>
      </w:r>
    </w:p>
    <w:p w:rsidR="005B3ABD" w:rsidRDefault="005B3ABD">
      <w:pPr>
        <w:pStyle w:val="Default"/>
        <w:snapToGrid w:val="0"/>
        <w:rPr>
          <w:sz w:val="20"/>
          <w:szCs w:val="20"/>
        </w:rPr>
      </w:pPr>
    </w:p>
    <w:p w:rsidR="005B3ABD" w:rsidRDefault="003F2B6A">
      <w:pPr>
        <w:pStyle w:val="Default"/>
        <w:snapToGrid w:val="0"/>
        <w:rPr>
          <w:sz w:val="20"/>
          <w:szCs w:val="20"/>
        </w:rPr>
      </w:pPr>
      <w:r>
        <w:rPr>
          <w:b/>
          <w:bCs/>
          <w:sz w:val="20"/>
          <w:szCs w:val="20"/>
        </w:rPr>
        <w:t xml:space="preserve">Data analysis </w:t>
      </w:r>
    </w:p>
    <w:p w:rsidR="005B3ABD" w:rsidRDefault="003F2B6A">
      <w:pPr>
        <w:snapToGrid w:val="0"/>
        <w:jc w:val="both"/>
        <w:rPr>
          <w:b/>
          <w:sz w:val="20"/>
          <w:szCs w:val="20"/>
        </w:rPr>
      </w:pPr>
      <w:r>
        <w:rPr>
          <w:sz w:val="20"/>
          <w:szCs w:val="20"/>
        </w:rPr>
        <w:tab/>
        <w:t>The statistical analyses were performed using SPSS software (</w:t>
      </w:r>
      <w:proofErr w:type="spellStart"/>
      <w:r>
        <w:rPr>
          <w:sz w:val="20"/>
          <w:szCs w:val="20"/>
        </w:rPr>
        <w:t>Systat</w:t>
      </w:r>
      <w:proofErr w:type="spellEnd"/>
      <w:r>
        <w:rPr>
          <w:sz w:val="20"/>
          <w:szCs w:val="20"/>
        </w:rPr>
        <w:t xml:space="preserve"> Statistical Program version 21 Inc., USA). Data generated through the administration of the questionnaire was reported as mean, frequency count, and percentages while t</w:t>
      </w:r>
      <w:r>
        <w:rPr>
          <w:sz w:val="20"/>
          <w:szCs w:val="20"/>
        </w:rPr>
        <w:t xml:space="preserve">he hypothesis was analyzed using the test of difference between two proportions (t-test). The food intakes of the children were compared with Food and Nutrition, FDN </w:t>
      </w:r>
      <w:r>
        <w:rPr>
          <w:rFonts w:eastAsia="Calibri"/>
          <w:sz w:val="20"/>
          <w:szCs w:val="20"/>
          <w:vertAlign w:val="superscript"/>
        </w:rPr>
        <w:t>[8]</w:t>
      </w:r>
      <w:r>
        <w:rPr>
          <w:sz w:val="20"/>
          <w:szCs w:val="20"/>
        </w:rPr>
        <w:t xml:space="preserve"> reference standard. The recorded anthropometric measurements (height, weight) of the p</w:t>
      </w:r>
      <w:r>
        <w:rPr>
          <w:sz w:val="20"/>
          <w:szCs w:val="20"/>
        </w:rPr>
        <w:t>reschool aged children were analyzed using the t-test of statistical analysis at a significant level (p&lt;0.05) to test the acceptance or rejection of the study hypotheses while laboratory results were expressed as mean of triplicate analyses. A one-way anal</w:t>
      </w:r>
      <w:r>
        <w:rPr>
          <w:sz w:val="20"/>
          <w:szCs w:val="20"/>
        </w:rPr>
        <w:t xml:space="preserve">ysis of variance and Duncan’s test will be used to establish the significance differences among the mean values at alpha 0.05. </w:t>
      </w:r>
    </w:p>
    <w:p w:rsidR="005B3ABD" w:rsidRDefault="005B3ABD">
      <w:pPr>
        <w:snapToGrid w:val="0"/>
        <w:jc w:val="both"/>
        <w:rPr>
          <w:b/>
          <w:sz w:val="20"/>
          <w:szCs w:val="20"/>
        </w:rPr>
      </w:pPr>
    </w:p>
    <w:p w:rsidR="005B3ABD" w:rsidRDefault="003F2B6A">
      <w:pPr>
        <w:snapToGrid w:val="0"/>
        <w:jc w:val="both"/>
        <w:rPr>
          <w:b/>
          <w:sz w:val="20"/>
          <w:szCs w:val="20"/>
        </w:rPr>
      </w:pPr>
      <w:r>
        <w:rPr>
          <w:b/>
          <w:sz w:val="20"/>
          <w:szCs w:val="20"/>
        </w:rPr>
        <w:t>Results and discussions</w:t>
      </w:r>
    </w:p>
    <w:p w:rsidR="005B3ABD" w:rsidRDefault="003F2B6A">
      <w:pPr>
        <w:snapToGrid w:val="0"/>
        <w:jc w:val="both"/>
        <w:rPr>
          <w:b/>
          <w:sz w:val="20"/>
          <w:szCs w:val="20"/>
        </w:rPr>
      </w:pPr>
      <w:r>
        <w:rPr>
          <w:b/>
          <w:sz w:val="20"/>
          <w:szCs w:val="20"/>
        </w:rPr>
        <w:t>Average proximate composition of 24-hr recall meals per 100g/dry weight</w:t>
      </w:r>
    </w:p>
    <w:p w:rsidR="005B3ABD" w:rsidRDefault="003F2B6A">
      <w:pPr>
        <w:snapToGrid w:val="0"/>
        <w:jc w:val="both"/>
        <w:rPr>
          <w:sz w:val="20"/>
          <w:szCs w:val="20"/>
        </w:rPr>
      </w:pPr>
      <w:r>
        <w:rPr>
          <w:sz w:val="20"/>
          <w:szCs w:val="20"/>
        </w:rPr>
        <w:tab/>
        <w:t>Results of the proximate compo</w:t>
      </w:r>
      <w:r>
        <w:rPr>
          <w:sz w:val="20"/>
          <w:szCs w:val="20"/>
        </w:rPr>
        <w:t xml:space="preserve">sition of the 24-hr recall food intake per 100g were shown in Table 1. There was no significant difference in term of moisture content, crude protein, crude fat, crude </w:t>
      </w:r>
      <w:proofErr w:type="spellStart"/>
      <w:r>
        <w:rPr>
          <w:sz w:val="20"/>
          <w:szCs w:val="20"/>
        </w:rPr>
        <w:t>fibre</w:t>
      </w:r>
      <w:proofErr w:type="spellEnd"/>
      <w:r>
        <w:rPr>
          <w:sz w:val="20"/>
          <w:szCs w:val="20"/>
        </w:rPr>
        <w:t xml:space="preserve"> and ash content in all their food intake during the last 24 hours with values rang</w:t>
      </w:r>
      <w:r>
        <w:rPr>
          <w:sz w:val="20"/>
          <w:szCs w:val="20"/>
        </w:rPr>
        <w:t xml:space="preserve">ed from 8.86 – 8.92 % 5.69 – 6.63 %;3.66 – 3.97 %; 1.34 – 1.94 % and 2.93 – 3.41 %, respectively. Carbohydrate value of their 24-hr recall food intake showed no significant difference @ alpha p&lt;0.05. The value ranged from 75.43 in </w:t>
      </w:r>
      <w:proofErr w:type="spellStart"/>
      <w:r>
        <w:rPr>
          <w:sz w:val="20"/>
          <w:szCs w:val="20"/>
        </w:rPr>
        <w:t>Orogun</w:t>
      </w:r>
      <w:proofErr w:type="spellEnd"/>
      <w:r>
        <w:rPr>
          <w:sz w:val="20"/>
          <w:szCs w:val="20"/>
        </w:rPr>
        <w:t xml:space="preserve"> town area to 76.92</w:t>
      </w:r>
      <w:r>
        <w:rPr>
          <w:sz w:val="20"/>
          <w:szCs w:val="20"/>
        </w:rPr>
        <w:t xml:space="preserve"> % in </w:t>
      </w:r>
      <w:proofErr w:type="spellStart"/>
      <w:r>
        <w:rPr>
          <w:sz w:val="20"/>
          <w:szCs w:val="20"/>
        </w:rPr>
        <w:t>Alabata</w:t>
      </w:r>
      <w:proofErr w:type="spellEnd"/>
      <w:r>
        <w:rPr>
          <w:sz w:val="20"/>
          <w:szCs w:val="20"/>
        </w:rPr>
        <w:t xml:space="preserve"> town area, respectively while statistical difference (p&lt;0.05) was not observed in the energy values of the food intake in the study areas which </w:t>
      </w:r>
      <w:r>
        <w:rPr>
          <w:sz w:val="20"/>
          <w:szCs w:val="20"/>
        </w:rPr>
        <w:lastRenderedPageBreak/>
        <w:t xml:space="preserve">ranged from 380.37 – 382.80 kcal/100g in </w:t>
      </w:r>
      <w:proofErr w:type="spellStart"/>
      <w:r>
        <w:rPr>
          <w:sz w:val="20"/>
          <w:szCs w:val="20"/>
        </w:rPr>
        <w:t>Sasa</w:t>
      </w:r>
      <w:proofErr w:type="spellEnd"/>
      <w:r>
        <w:rPr>
          <w:sz w:val="20"/>
          <w:szCs w:val="20"/>
        </w:rPr>
        <w:t xml:space="preserve"> town area to </w:t>
      </w:r>
      <w:proofErr w:type="spellStart"/>
      <w:r>
        <w:rPr>
          <w:sz w:val="20"/>
          <w:szCs w:val="20"/>
        </w:rPr>
        <w:t>Alabata</w:t>
      </w:r>
      <w:proofErr w:type="spellEnd"/>
      <w:r>
        <w:rPr>
          <w:sz w:val="20"/>
          <w:szCs w:val="20"/>
        </w:rPr>
        <w:t xml:space="preserve"> town area, respectively. </w:t>
      </w:r>
    </w:p>
    <w:p w:rsidR="005B3ABD" w:rsidRDefault="003F2B6A">
      <w:pPr>
        <w:snapToGrid w:val="0"/>
        <w:jc w:val="both"/>
        <w:rPr>
          <w:sz w:val="20"/>
          <w:szCs w:val="20"/>
        </w:rPr>
        <w:sectPr w:rsidR="005B3ABD">
          <w:type w:val="continuous"/>
          <w:pgSz w:w="12240" w:h="15839"/>
          <w:pgMar w:top="1440" w:right="1440" w:bottom="1440" w:left="1440" w:header="720" w:footer="720" w:gutter="0"/>
          <w:cols w:num="2" w:space="720" w:equalWidth="0">
            <w:col w:w="4467" w:space="425"/>
            <w:col w:w="4467"/>
          </w:cols>
          <w:titlePg/>
          <w:docGrid w:linePitch="360"/>
        </w:sectPr>
      </w:pPr>
      <w:r>
        <w:rPr>
          <w:sz w:val="20"/>
          <w:szCs w:val="20"/>
        </w:rPr>
        <w:tab/>
        <w:t xml:space="preserve">The moisture content of all the samples was relatively low and not statistically different from one another. Moisture content is a good indicator of storage ability of food product, </w:t>
      </w:r>
      <w:proofErr w:type="spellStart"/>
      <w:r>
        <w:rPr>
          <w:sz w:val="20"/>
          <w:szCs w:val="20"/>
        </w:rPr>
        <w:t>mould</w:t>
      </w:r>
      <w:proofErr w:type="spellEnd"/>
      <w:r>
        <w:rPr>
          <w:sz w:val="20"/>
          <w:szCs w:val="20"/>
        </w:rPr>
        <w:t xml:space="preserve"> formation and avoidance of lump storage/keep. A</w:t>
      </w:r>
      <w:r>
        <w:rPr>
          <w:sz w:val="20"/>
          <w:szCs w:val="20"/>
        </w:rPr>
        <w:t xml:space="preserve">ll samples moisture contents were less than 10 % (8.86 – 8.92 %) which agreed with the work of </w:t>
      </w:r>
      <w:r>
        <w:rPr>
          <w:rFonts w:eastAsia="Calibri"/>
          <w:sz w:val="20"/>
          <w:szCs w:val="20"/>
          <w:vertAlign w:val="superscript"/>
        </w:rPr>
        <w:t>[12]</w:t>
      </w:r>
      <w:r>
        <w:rPr>
          <w:sz w:val="20"/>
          <w:szCs w:val="20"/>
        </w:rPr>
        <w:t xml:space="preserve"> and </w:t>
      </w:r>
      <w:r>
        <w:rPr>
          <w:rFonts w:eastAsia="Calibri"/>
          <w:sz w:val="20"/>
          <w:szCs w:val="20"/>
          <w:vertAlign w:val="superscript"/>
        </w:rPr>
        <w:t>[13]</w:t>
      </w:r>
      <w:r>
        <w:rPr>
          <w:sz w:val="20"/>
          <w:szCs w:val="20"/>
        </w:rPr>
        <w:t xml:space="preserve">. The protein content per meal of their meal intake was below 13 – 14 g/100g according to </w:t>
      </w:r>
      <w:proofErr w:type="spellStart"/>
      <w:r>
        <w:rPr>
          <w:sz w:val="20"/>
          <w:szCs w:val="20"/>
        </w:rPr>
        <w:t>Anigo</w:t>
      </w:r>
      <w:proofErr w:type="spellEnd"/>
      <w:r>
        <w:rPr>
          <w:sz w:val="20"/>
          <w:szCs w:val="20"/>
        </w:rPr>
        <w:t xml:space="preserve"> et al. </w:t>
      </w:r>
      <w:r>
        <w:rPr>
          <w:rFonts w:eastAsia="Calibri"/>
          <w:sz w:val="20"/>
          <w:szCs w:val="20"/>
          <w:vertAlign w:val="superscript"/>
        </w:rPr>
        <w:t>[14]</w:t>
      </w:r>
      <w:r>
        <w:rPr>
          <w:sz w:val="20"/>
          <w:szCs w:val="20"/>
        </w:rPr>
        <w:t xml:space="preserve"> while same thing was observed for fat/oi</w:t>
      </w:r>
      <w:r>
        <w:rPr>
          <w:sz w:val="20"/>
          <w:szCs w:val="20"/>
        </w:rPr>
        <w:t xml:space="preserve">l content of their intake which cannot provides </w:t>
      </w:r>
      <w:r>
        <w:rPr>
          <w:sz w:val="20"/>
          <w:szCs w:val="20"/>
        </w:rPr>
        <w:lastRenderedPageBreak/>
        <w:t xml:space="preserve">more than 28.4 % energy recommended by </w:t>
      </w:r>
      <w:r>
        <w:rPr>
          <w:rFonts w:eastAsia="Calibri"/>
          <w:sz w:val="20"/>
          <w:szCs w:val="20"/>
          <w:vertAlign w:val="superscript"/>
        </w:rPr>
        <w:t>[15]</w:t>
      </w:r>
      <w:r>
        <w:rPr>
          <w:sz w:val="20"/>
          <w:szCs w:val="20"/>
        </w:rPr>
        <w:t xml:space="preserve"> as fat allowance </w:t>
      </w:r>
      <w:proofErr w:type="gramStart"/>
      <w:r>
        <w:rPr>
          <w:sz w:val="20"/>
          <w:szCs w:val="20"/>
        </w:rPr>
        <w:t>contribution  in</w:t>
      </w:r>
      <w:proofErr w:type="gramEnd"/>
      <w:r>
        <w:rPr>
          <w:sz w:val="20"/>
          <w:szCs w:val="20"/>
        </w:rPr>
        <w:t xml:space="preserve"> food. This may be so because sample dry weight was determined which may have allowed some of the fat/oil evaporated during sample </w:t>
      </w:r>
      <w:r>
        <w:rPr>
          <w:sz w:val="20"/>
          <w:szCs w:val="20"/>
        </w:rPr>
        <w:t xml:space="preserve">drying. However, since they are taken more than 100 g of food/meal per intake this would have been taken care of. Proteins enhance immune booster, cell division, </w:t>
      </w:r>
      <w:proofErr w:type="spellStart"/>
      <w:r>
        <w:rPr>
          <w:sz w:val="20"/>
          <w:szCs w:val="20"/>
        </w:rPr>
        <w:t>repairment</w:t>
      </w:r>
      <w:proofErr w:type="spellEnd"/>
      <w:r>
        <w:rPr>
          <w:sz w:val="20"/>
          <w:szCs w:val="20"/>
        </w:rPr>
        <w:t xml:space="preserve"> and growth while fat provides soluble vitamins (ADEK) and other cell biochemical ac</w:t>
      </w:r>
      <w:r>
        <w:rPr>
          <w:sz w:val="20"/>
          <w:szCs w:val="20"/>
        </w:rPr>
        <w:t xml:space="preserve">tivities and insulate organs </w:t>
      </w:r>
      <w:r>
        <w:rPr>
          <w:rFonts w:eastAsia="Calibri"/>
          <w:sz w:val="20"/>
          <w:szCs w:val="20"/>
          <w:vertAlign w:val="superscript"/>
        </w:rPr>
        <w:t>[16]</w:t>
      </w:r>
      <w:r>
        <w:rPr>
          <w:sz w:val="20"/>
          <w:szCs w:val="20"/>
        </w:rPr>
        <w:t xml:space="preserve">. Crude </w:t>
      </w:r>
      <w:proofErr w:type="spellStart"/>
      <w:r>
        <w:rPr>
          <w:sz w:val="20"/>
          <w:szCs w:val="20"/>
        </w:rPr>
        <w:t>fibre</w:t>
      </w:r>
      <w:proofErr w:type="spellEnd"/>
      <w:r>
        <w:rPr>
          <w:sz w:val="20"/>
          <w:szCs w:val="20"/>
        </w:rPr>
        <w:t xml:space="preserve"> of all the samples was less than 5.0 g/100g as reported by </w:t>
      </w:r>
      <w:r>
        <w:rPr>
          <w:rFonts w:eastAsia="Calibri"/>
          <w:sz w:val="20"/>
          <w:szCs w:val="20"/>
          <w:vertAlign w:val="superscript"/>
        </w:rPr>
        <w:t>[10]</w:t>
      </w:r>
      <w:r>
        <w:rPr>
          <w:sz w:val="20"/>
          <w:szCs w:val="20"/>
        </w:rPr>
        <w:t>.</w:t>
      </w:r>
    </w:p>
    <w:p w:rsidR="005B3ABD" w:rsidRDefault="005B3ABD">
      <w:pPr>
        <w:snapToGrid w:val="0"/>
        <w:jc w:val="both"/>
        <w:rPr>
          <w:sz w:val="20"/>
          <w:szCs w:val="20"/>
        </w:rPr>
      </w:pPr>
    </w:p>
    <w:p w:rsidR="005B3ABD" w:rsidRDefault="003F2B6A">
      <w:pPr>
        <w:snapToGrid w:val="0"/>
        <w:jc w:val="both"/>
        <w:rPr>
          <w:sz w:val="20"/>
          <w:szCs w:val="20"/>
        </w:rPr>
      </w:pPr>
      <w:r>
        <w:rPr>
          <w:sz w:val="20"/>
          <w:szCs w:val="20"/>
        </w:rPr>
        <w:t>Table 1: Average proximate composition of 24-hr recall meals per 100g/dry weight</w:t>
      </w:r>
    </w:p>
    <w:tbl>
      <w:tblPr>
        <w:tblW w:w="9446" w:type="dxa"/>
        <w:tblBorders>
          <w:top w:val="single" w:sz="8" w:space="0" w:color="000000"/>
          <w:bottom w:val="single" w:sz="8" w:space="0" w:color="000000"/>
        </w:tblBorders>
        <w:shd w:val="clear" w:color="auto" w:fill="FFFFFF"/>
        <w:tblLook w:val="04A0" w:firstRow="1" w:lastRow="0" w:firstColumn="1" w:lastColumn="0" w:noHBand="0" w:noVBand="1"/>
      </w:tblPr>
      <w:tblGrid>
        <w:gridCol w:w="1901"/>
        <w:gridCol w:w="1485"/>
        <w:gridCol w:w="1515"/>
        <w:gridCol w:w="1560"/>
        <w:gridCol w:w="1515"/>
        <w:gridCol w:w="1470"/>
      </w:tblGrid>
      <w:tr w:rsidR="005B3ABD">
        <w:trPr>
          <w:trHeight w:val="722"/>
        </w:trPr>
        <w:tc>
          <w:tcPr>
            <w:tcW w:w="1901" w:type="dxa"/>
            <w:tcBorders>
              <w:top w:val="single" w:sz="8" w:space="0" w:color="000000"/>
              <w:left w:val="nil"/>
              <w:bottom w:val="single" w:sz="8" w:space="0" w:color="000000"/>
              <w:right w:val="nil"/>
            </w:tcBorders>
            <w:shd w:val="clear" w:color="auto" w:fill="FFFFFF"/>
          </w:tcPr>
          <w:p w:rsidR="005B3ABD" w:rsidRDefault="003F2B6A">
            <w:pPr>
              <w:snapToGrid w:val="0"/>
              <w:jc w:val="both"/>
              <w:rPr>
                <w:bCs/>
                <w:color w:val="000000"/>
                <w:sz w:val="20"/>
                <w:szCs w:val="20"/>
              </w:rPr>
            </w:pPr>
            <w:r>
              <w:rPr>
                <w:bCs/>
                <w:color w:val="000000"/>
                <w:sz w:val="20"/>
                <w:szCs w:val="20"/>
              </w:rPr>
              <w:t xml:space="preserve">Parameters </w:t>
            </w:r>
          </w:p>
          <w:p w:rsidR="005B3ABD" w:rsidRDefault="003F2B6A">
            <w:pPr>
              <w:snapToGrid w:val="0"/>
              <w:jc w:val="both"/>
              <w:rPr>
                <w:bCs/>
                <w:color w:val="000000"/>
                <w:sz w:val="20"/>
                <w:szCs w:val="20"/>
              </w:rPr>
            </w:pPr>
            <w:r>
              <w:rPr>
                <w:bCs/>
                <w:color w:val="000000"/>
                <w:sz w:val="20"/>
                <w:szCs w:val="20"/>
              </w:rPr>
              <w:t xml:space="preserve">(%)  </w:t>
            </w:r>
          </w:p>
        </w:tc>
        <w:tc>
          <w:tcPr>
            <w:tcW w:w="1485" w:type="dxa"/>
            <w:tcBorders>
              <w:top w:val="single" w:sz="8" w:space="0" w:color="000000"/>
              <w:left w:val="nil"/>
              <w:bottom w:val="single" w:sz="8" w:space="0" w:color="000000"/>
              <w:right w:val="nil"/>
            </w:tcBorders>
            <w:shd w:val="clear" w:color="auto" w:fill="FFFFFF"/>
          </w:tcPr>
          <w:p w:rsidR="005B3ABD" w:rsidRDefault="003F2B6A">
            <w:pPr>
              <w:snapToGrid w:val="0"/>
              <w:jc w:val="both"/>
              <w:rPr>
                <w:bCs/>
                <w:color w:val="000000"/>
                <w:sz w:val="20"/>
                <w:szCs w:val="20"/>
              </w:rPr>
            </w:pPr>
            <w:proofErr w:type="spellStart"/>
            <w:r>
              <w:rPr>
                <w:bCs/>
                <w:color w:val="000000"/>
                <w:sz w:val="20"/>
                <w:szCs w:val="20"/>
              </w:rPr>
              <w:t>Alabata</w:t>
            </w:r>
            <w:proofErr w:type="spellEnd"/>
          </w:p>
          <w:p w:rsidR="005B3ABD" w:rsidRDefault="003F2B6A">
            <w:pPr>
              <w:snapToGrid w:val="0"/>
              <w:jc w:val="both"/>
              <w:rPr>
                <w:bCs/>
                <w:color w:val="000000"/>
                <w:sz w:val="20"/>
                <w:szCs w:val="20"/>
              </w:rPr>
            </w:pPr>
            <w:r>
              <w:rPr>
                <w:bCs/>
                <w:color w:val="000000"/>
                <w:sz w:val="20"/>
                <w:szCs w:val="20"/>
              </w:rPr>
              <w:t xml:space="preserve">Town  </w:t>
            </w:r>
          </w:p>
        </w:tc>
        <w:tc>
          <w:tcPr>
            <w:tcW w:w="1515" w:type="dxa"/>
            <w:tcBorders>
              <w:top w:val="single" w:sz="8" w:space="0" w:color="000000"/>
              <w:left w:val="nil"/>
              <w:bottom w:val="single" w:sz="8" w:space="0" w:color="000000"/>
              <w:right w:val="nil"/>
            </w:tcBorders>
            <w:shd w:val="clear" w:color="auto" w:fill="FFFFFF"/>
          </w:tcPr>
          <w:p w:rsidR="005B3ABD" w:rsidRDefault="003F2B6A">
            <w:pPr>
              <w:snapToGrid w:val="0"/>
              <w:jc w:val="both"/>
              <w:rPr>
                <w:bCs/>
                <w:color w:val="000000"/>
                <w:sz w:val="20"/>
                <w:szCs w:val="20"/>
              </w:rPr>
            </w:pPr>
            <w:proofErr w:type="spellStart"/>
            <w:r>
              <w:rPr>
                <w:bCs/>
                <w:color w:val="000000"/>
                <w:sz w:val="20"/>
                <w:szCs w:val="20"/>
              </w:rPr>
              <w:t>Iroko</w:t>
            </w:r>
            <w:proofErr w:type="spellEnd"/>
            <w:r>
              <w:rPr>
                <w:bCs/>
                <w:color w:val="000000"/>
                <w:sz w:val="20"/>
                <w:szCs w:val="20"/>
              </w:rPr>
              <w:t xml:space="preserve"> </w:t>
            </w:r>
          </w:p>
          <w:p w:rsidR="005B3ABD" w:rsidRDefault="003F2B6A">
            <w:pPr>
              <w:snapToGrid w:val="0"/>
              <w:jc w:val="both"/>
              <w:rPr>
                <w:bCs/>
                <w:color w:val="000000"/>
                <w:sz w:val="20"/>
                <w:szCs w:val="20"/>
              </w:rPr>
            </w:pPr>
            <w:r>
              <w:rPr>
                <w:bCs/>
                <w:color w:val="000000"/>
                <w:sz w:val="20"/>
                <w:szCs w:val="20"/>
              </w:rPr>
              <w:t>Town</w:t>
            </w:r>
          </w:p>
        </w:tc>
        <w:tc>
          <w:tcPr>
            <w:tcW w:w="1560" w:type="dxa"/>
            <w:tcBorders>
              <w:top w:val="single" w:sz="8" w:space="0" w:color="000000"/>
              <w:left w:val="nil"/>
              <w:bottom w:val="single" w:sz="8" w:space="0" w:color="000000"/>
              <w:right w:val="nil"/>
            </w:tcBorders>
            <w:shd w:val="clear" w:color="auto" w:fill="FFFFFF"/>
          </w:tcPr>
          <w:p w:rsidR="005B3ABD" w:rsidRDefault="003F2B6A">
            <w:pPr>
              <w:snapToGrid w:val="0"/>
              <w:jc w:val="both"/>
              <w:rPr>
                <w:bCs/>
                <w:color w:val="000000"/>
                <w:sz w:val="20"/>
                <w:szCs w:val="20"/>
              </w:rPr>
            </w:pPr>
            <w:proofErr w:type="spellStart"/>
            <w:r>
              <w:rPr>
                <w:bCs/>
                <w:color w:val="000000"/>
                <w:sz w:val="20"/>
                <w:szCs w:val="20"/>
              </w:rPr>
              <w:t>Sasa</w:t>
            </w:r>
            <w:proofErr w:type="spellEnd"/>
            <w:r>
              <w:rPr>
                <w:bCs/>
                <w:color w:val="000000"/>
                <w:sz w:val="20"/>
                <w:szCs w:val="20"/>
              </w:rPr>
              <w:t xml:space="preserve"> </w:t>
            </w:r>
          </w:p>
          <w:p w:rsidR="005B3ABD" w:rsidRDefault="003F2B6A">
            <w:pPr>
              <w:snapToGrid w:val="0"/>
              <w:jc w:val="both"/>
              <w:rPr>
                <w:bCs/>
                <w:color w:val="000000"/>
                <w:sz w:val="20"/>
                <w:szCs w:val="20"/>
              </w:rPr>
            </w:pPr>
            <w:r>
              <w:rPr>
                <w:bCs/>
                <w:color w:val="000000"/>
                <w:sz w:val="20"/>
                <w:szCs w:val="20"/>
              </w:rPr>
              <w:t>Town</w:t>
            </w:r>
          </w:p>
        </w:tc>
        <w:tc>
          <w:tcPr>
            <w:tcW w:w="1515" w:type="dxa"/>
            <w:tcBorders>
              <w:top w:val="single" w:sz="8" w:space="0" w:color="000000"/>
              <w:left w:val="nil"/>
              <w:bottom w:val="single" w:sz="8" w:space="0" w:color="000000"/>
              <w:right w:val="nil"/>
            </w:tcBorders>
            <w:shd w:val="clear" w:color="auto" w:fill="FFFFFF"/>
          </w:tcPr>
          <w:p w:rsidR="005B3ABD" w:rsidRDefault="003F2B6A">
            <w:pPr>
              <w:snapToGrid w:val="0"/>
              <w:jc w:val="both"/>
              <w:rPr>
                <w:bCs/>
                <w:color w:val="000000"/>
                <w:sz w:val="20"/>
                <w:szCs w:val="20"/>
              </w:rPr>
            </w:pPr>
            <w:proofErr w:type="spellStart"/>
            <w:r>
              <w:rPr>
                <w:bCs/>
                <w:color w:val="000000"/>
                <w:sz w:val="20"/>
                <w:szCs w:val="20"/>
              </w:rPr>
              <w:t>Moniya</w:t>
            </w:r>
            <w:proofErr w:type="spellEnd"/>
            <w:r>
              <w:rPr>
                <w:bCs/>
                <w:color w:val="000000"/>
                <w:sz w:val="20"/>
                <w:szCs w:val="20"/>
              </w:rPr>
              <w:t xml:space="preserve"> </w:t>
            </w:r>
          </w:p>
          <w:p w:rsidR="005B3ABD" w:rsidRDefault="003F2B6A">
            <w:pPr>
              <w:snapToGrid w:val="0"/>
              <w:jc w:val="both"/>
              <w:rPr>
                <w:bCs/>
                <w:color w:val="000000"/>
                <w:sz w:val="20"/>
                <w:szCs w:val="20"/>
              </w:rPr>
            </w:pPr>
            <w:r>
              <w:rPr>
                <w:bCs/>
                <w:color w:val="000000"/>
                <w:sz w:val="20"/>
                <w:szCs w:val="20"/>
              </w:rPr>
              <w:t>Town</w:t>
            </w:r>
          </w:p>
        </w:tc>
        <w:tc>
          <w:tcPr>
            <w:tcW w:w="1470" w:type="dxa"/>
            <w:tcBorders>
              <w:top w:val="single" w:sz="8" w:space="0" w:color="000000"/>
              <w:left w:val="nil"/>
              <w:bottom w:val="single" w:sz="8" w:space="0" w:color="000000"/>
              <w:right w:val="nil"/>
            </w:tcBorders>
            <w:shd w:val="clear" w:color="auto" w:fill="FFFFFF"/>
          </w:tcPr>
          <w:p w:rsidR="005B3ABD" w:rsidRDefault="003F2B6A">
            <w:pPr>
              <w:snapToGrid w:val="0"/>
              <w:jc w:val="both"/>
              <w:rPr>
                <w:bCs/>
                <w:color w:val="000000"/>
                <w:sz w:val="20"/>
                <w:szCs w:val="20"/>
              </w:rPr>
            </w:pPr>
            <w:proofErr w:type="spellStart"/>
            <w:r>
              <w:rPr>
                <w:bCs/>
                <w:color w:val="000000"/>
                <w:sz w:val="20"/>
                <w:szCs w:val="20"/>
              </w:rPr>
              <w:t>Orogun</w:t>
            </w:r>
            <w:proofErr w:type="spellEnd"/>
            <w:r>
              <w:rPr>
                <w:bCs/>
                <w:color w:val="000000"/>
                <w:sz w:val="20"/>
                <w:szCs w:val="20"/>
              </w:rPr>
              <w:t xml:space="preserve"> </w:t>
            </w:r>
          </w:p>
          <w:p w:rsidR="005B3ABD" w:rsidRDefault="003F2B6A">
            <w:pPr>
              <w:snapToGrid w:val="0"/>
              <w:jc w:val="both"/>
              <w:rPr>
                <w:bCs/>
                <w:color w:val="000000"/>
                <w:sz w:val="20"/>
                <w:szCs w:val="20"/>
              </w:rPr>
            </w:pPr>
            <w:r>
              <w:rPr>
                <w:bCs/>
                <w:color w:val="000000"/>
                <w:sz w:val="20"/>
                <w:szCs w:val="20"/>
              </w:rPr>
              <w:t>Town</w:t>
            </w:r>
          </w:p>
        </w:tc>
      </w:tr>
      <w:tr w:rsidR="005B3ABD">
        <w:trPr>
          <w:trHeight w:val="373"/>
        </w:trPr>
        <w:tc>
          <w:tcPr>
            <w:tcW w:w="1901" w:type="dxa"/>
            <w:tcBorders>
              <w:left w:val="nil"/>
              <w:right w:val="nil"/>
            </w:tcBorders>
            <w:shd w:val="clear" w:color="auto" w:fill="FFFFFF"/>
          </w:tcPr>
          <w:p w:rsidR="005B3ABD" w:rsidRDefault="003F2B6A">
            <w:pPr>
              <w:snapToGrid w:val="0"/>
              <w:jc w:val="both"/>
              <w:rPr>
                <w:bCs/>
                <w:color w:val="000000"/>
                <w:sz w:val="20"/>
                <w:szCs w:val="20"/>
              </w:rPr>
            </w:pPr>
            <w:r>
              <w:rPr>
                <w:bCs/>
                <w:color w:val="000000"/>
                <w:sz w:val="20"/>
                <w:szCs w:val="20"/>
              </w:rPr>
              <w:t>Moisture content</w:t>
            </w:r>
          </w:p>
        </w:tc>
        <w:tc>
          <w:tcPr>
            <w:tcW w:w="1485" w:type="dxa"/>
            <w:tcBorders>
              <w:left w:val="nil"/>
              <w:right w:val="nil"/>
            </w:tcBorders>
            <w:shd w:val="clear" w:color="auto" w:fill="FFFFFF"/>
          </w:tcPr>
          <w:p w:rsidR="005B3ABD" w:rsidRDefault="003F2B6A">
            <w:pPr>
              <w:snapToGrid w:val="0"/>
              <w:jc w:val="both"/>
              <w:rPr>
                <w:color w:val="000000"/>
                <w:sz w:val="20"/>
                <w:szCs w:val="20"/>
              </w:rPr>
            </w:pPr>
            <w:r>
              <w:rPr>
                <w:color w:val="000000"/>
                <w:sz w:val="20"/>
                <w:szCs w:val="20"/>
              </w:rPr>
              <w:t>8.92 ± 0.03</w:t>
            </w:r>
            <w:r>
              <w:rPr>
                <w:color w:val="000000"/>
                <w:sz w:val="20"/>
                <w:szCs w:val="20"/>
                <w:vertAlign w:val="superscript"/>
              </w:rPr>
              <w:t>a</w:t>
            </w:r>
          </w:p>
        </w:tc>
        <w:tc>
          <w:tcPr>
            <w:tcW w:w="1515" w:type="dxa"/>
            <w:tcBorders>
              <w:left w:val="nil"/>
              <w:right w:val="nil"/>
            </w:tcBorders>
            <w:shd w:val="clear" w:color="auto" w:fill="FFFFFF"/>
          </w:tcPr>
          <w:p w:rsidR="005B3ABD" w:rsidRDefault="003F2B6A">
            <w:pPr>
              <w:snapToGrid w:val="0"/>
              <w:jc w:val="both"/>
              <w:rPr>
                <w:color w:val="000000"/>
                <w:sz w:val="20"/>
                <w:szCs w:val="20"/>
              </w:rPr>
            </w:pPr>
            <w:r>
              <w:rPr>
                <w:color w:val="000000"/>
                <w:sz w:val="20"/>
                <w:szCs w:val="20"/>
              </w:rPr>
              <w:t>8.86 ± 0.11</w:t>
            </w:r>
            <w:r>
              <w:rPr>
                <w:color w:val="000000"/>
                <w:sz w:val="20"/>
                <w:szCs w:val="20"/>
                <w:vertAlign w:val="superscript"/>
              </w:rPr>
              <w:t>a</w:t>
            </w:r>
          </w:p>
        </w:tc>
        <w:tc>
          <w:tcPr>
            <w:tcW w:w="1560" w:type="dxa"/>
            <w:tcBorders>
              <w:left w:val="nil"/>
              <w:right w:val="nil"/>
            </w:tcBorders>
            <w:shd w:val="clear" w:color="auto" w:fill="FFFFFF"/>
          </w:tcPr>
          <w:p w:rsidR="005B3ABD" w:rsidRDefault="003F2B6A">
            <w:pPr>
              <w:snapToGrid w:val="0"/>
              <w:jc w:val="both"/>
              <w:rPr>
                <w:color w:val="000000"/>
                <w:sz w:val="20"/>
                <w:szCs w:val="20"/>
              </w:rPr>
            </w:pPr>
            <w:r>
              <w:rPr>
                <w:color w:val="000000"/>
                <w:sz w:val="20"/>
                <w:szCs w:val="20"/>
              </w:rPr>
              <w:t>8.88 ± 0.16</w:t>
            </w:r>
            <w:r>
              <w:rPr>
                <w:color w:val="000000"/>
                <w:sz w:val="20"/>
                <w:szCs w:val="20"/>
                <w:vertAlign w:val="superscript"/>
              </w:rPr>
              <w:t>a</w:t>
            </w:r>
          </w:p>
        </w:tc>
        <w:tc>
          <w:tcPr>
            <w:tcW w:w="1515" w:type="dxa"/>
            <w:tcBorders>
              <w:left w:val="nil"/>
              <w:right w:val="nil"/>
            </w:tcBorders>
            <w:shd w:val="clear" w:color="auto" w:fill="FFFFFF"/>
          </w:tcPr>
          <w:p w:rsidR="005B3ABD" w:rsidRDefault="003F2B6A">
            <w:pPr>
              <w:snapToGrid w:val="0"/>
              <w:jc w:val="both"/>
              <w:rPr>
                <w:color w:val="000000"/>
                <w:sz w:val="20"/>
                <w:szCs w:val="20"/>
              </w:rPr>
            </w:pPr>
            <w:r>
              <w:rPr>
                <w:color w:val="000000"/>
                <w:sz w:val="20"/>
                <w:szCs w:val="20"/>
              </w:rPr>
              <w:t>8.91 ± 0.00</w:t>
            </w:r>
            <w:r>
              <w:rPr>
                <w:color w:val="000000"/>
                <w:sz w:val="20"/>
                <w:szCs w:val="20"/>
                <w:vertAlign w:val="superscript"/>
              </w:rPr>
              <w:t>a</w:t>
            </w:r>
          </w:p>
        </w:tc>
        <w:tc>
          <w:tcPr>
            <w:tcW w:w="1470" w:type="dxa"/>
            <w:tcBorders>
              <w:left w:val="nil"/>
              <w:right w:val="nil"/>
            </w:tcBorders>
            <w:shd w:val="clear" w:color="auto" w:fill="FFFFFF"/>
          </w:tcPr>
          <w:p w:rsidR="005B3ABD" w:rsidRDefault="003F2B6A">
            <w:pPr>
              <w:snapToGrid w:val="0"/>
              <w:jc w:val="both"/>
              <w:rPr>
                <w:color w:val="000000"/>
                <w:sz w:val="20"/>
                <w:szCs w:val="20"/>
              </w:rPr>
            </w:pPr>
            <w:r>
              <w:rPr>
                <w:color w:val="000000"/>
                <w:sz w:val="20"/>
                <w:szCs w:val="20"/>
              </w:rPr>
              <w:t>8.90 ± 0.09</w:t>
            </w:r>
            <w:r>
              <w:rPr>
                <w:color w:val="000000"/>
                <w:sz w:val="20"/>
                <w:szCs w:val="20"/>
                <w:vertAlign w:val="superscript"/>
              </w:rPr>
              <w:t>a</w:t>
            </w:r>
          </w:p>
        </w:tc>
      </w:tr>
      <w:tr w:rsidR="005B3ABD">
        <w:trPr>
          <w:trHeight w:val="373"/>
        </w:trPr>
        <w:tc>
          <w:tcPr>
            <w:tcW w:w="1901" w:type="dxa"/>
            <w:shd w:val="clear" w:color="auto" w:fill="FFFFFF"/>
          </w:tcPr>
          <w:p w:rsidR="005B3ABD" w:rsidRDefault="003F2B6A">
            <w:pPr>
              <w:snapToGrid w:val="0"/>
              <w:jc w:val="both"/>
              <w:rPr>
                <w:bCs/>
                <w:color w:val="000000"/>
                <w:sz w:val="20"/>
                <w:szCs w:val="20"/>
              </w:rPr>
            </w:pPr>
            <w:r>
              <w:rPr>
                <w:bCs/>
                <w:color w:val="000000"/>
                <w:sz w:val="20"/>
                <w:szCs w:val="20"/>
              </w:rPr>
              <w:t>Crude protein</w:t>
            </w:r>
          </w:p>
        </w:tc>
        <w:tc>
          <w:tcPr>
            <w:tcW w:w="1485" w:type="dxa"/>
            <w:shd w:val="clear" w:color="auto" w:fill="FFFFFF"/>
          </w:tcPr>
          <w:p w:rsidR="005B3ABD" w:rsidRDefault="003F2B6A">
            <w:pPr>
              <w:snapToGrid w:val="0"/>
              <w:jc w:val="both"/>
              <w:rPr>
                <w:color w:val="000000"/>
                <w:sz w:val="20"/>
                <w:szCs w:val="20"/>
              </w:rPr>
            </w:pPr>
            <w:r>
              <w:rPr>
                <w:color w:val="000000"/>
                <w:sz w:val="20"/>
                <w:szCs w:val="20"/>
              </w:rPr>
              <w:t>6.13 ± 0.01</w:t>
            </w:r>
            <w:r>
              <w:rPr>
                <w:color w:val="000000"/>
                <w:sz w:val="20"/>
                <w:szCs w:val="20"/>
                <w:vertAlign w:val="superscript"/>
              </w:rPr>
              <w:t>b</w:t>
            </w:r>
          </w:p>
        </w:tc>
        <w:tc>
          <w:tcPr>
            <w:tcW w:w="1515" w:type="dxa"/>
            <w:shd w:val="clear" w:color="auto" w:fill="FFFFFF"/>
          </w:tcPr>
          <w:p w:rsidR="005B3ABD" w:rsidRDefault="003F2B6A">
            <w:pPr>
              <w:snapToGrid w:val="0"/>
              <w:jc w:val="both"/>
              <w:rPr>
                <w:color w:val="000000"/>
                <w:sz w:val="20"/>
                <w:szCs w:val="20"/>
              </w:rPr>
            </w:pPr>
            <w:r>
              <w:rPr>
                <w:color w:val="000000"/>
                <w:sz w:val="20"/>
                <w:szCs w:val="20"/>
              </w:rPr>
              <w:t>5.92 ± 0.00</w:t>
            </w:r>
            <w:r>
              <w:rPr>
                <w:color w:val="000000"/>
                <w:sz w:val="20"/>
                <w:szCs w:val="20"/>
                <w:vertAlign w:val="superscript"/>
              </w:rPr>
              <w:t>ab</w:t>
            </w:r>
          </w:p>
        </w:tc>
        <w:tc>
          <w:tcPr>
            <w:tcW w:w="1560" w:type="dxa"/>
            <w:shd w:val="clear" w:color="auto" w:fill="FFFFFF"/>
          </w:tcPr>
          <w:p w:rsidR="005B3ABD" w:rsidRDefault="003F2B6A">
            <w:pPr>
              <w:snapToGrid w:val="0"/>
              <w:jc w:val="both"/>
              <w:rPr>
                <w:color w:val="000000"/>
                <w:sz w:val="20"/>
                <w:szCs w:val="20"/>
              </w:rPr>
            </w:pPr>
            <w:r>
              <w:rPr>
                <w:color w:val="000000"/>
                <w:sz w:val="20"/>
                <w:szCs w:val="20"/>
              </w:rPr>
              <w:t>6.30 ± 0.08</w:t>
            </w:r>
            <w:r>
              <w:rPr>
                <w:color w:val="000000"/>
                <w:sz w:val="20"/>
                <w:szCs w:val="20"/>
                <w:vertAlign w:val="superscript"/>
              </w:rPr>
              <w:t>a</w:t>
            </w:r>
          </w:p>
        </w:tc>
        <w:tc>
          <w:tcPr>
            <w:tcW w:w="1515" w:type="dxa"/>
            <w:shd w:val="clear" w:color="auto" w:fill="FFFFFF"/>
          </w:tcPr>
          <w:p w:rsidR="005B3ABD" w:rsidRDefault="003F2B6A">
            <w:pPr>
              <w:snapToGrid w:val="0"/>
              <w:jc w:val="both"/>
              <w:rPr>
                <w:color w:val="000000"/>
                <w:sz w:val="20"/>
                <w:szCs w:val="20"/>
              </w:rPr>
            </w:pPr>
            <w:r>
              <w:rPr>
                <w:color w:val="000000"/>
                <w:sz w:val="20"/>
                <w:szCs w:val="20"/>
              </w:rPr>
              <w:t>5.69 ± 0.17</w:t>
            </w:r>
            <w:r>
              <w:rPr>
                <w:color w:val="000000"/>
                <w:sz w:val="20"/>
                <w:szCs w:val="20"/>
                <w:vertAlign w:val="superscript"/>
              </w:rPr>
              <w:t>c</w:t>
            </w:r>
          </w:p>
        </w:tc>
        <w:tc>
          <w:tcPr>
            <w:tcW w:w="1470" w:type="dxa"/>
            <w:shd w:val="clear" w:color="auto" w:fill="FFFFFF"/>
          </w:tcPr>
          <w:p w:rsidR="005B3ABD" w:rsidRDefault="003F2B6A">
            <w:pPr>
              <w:snapToGrid w:val="0"/>
              <w:jc w:val="both"/>
              <w:rPr>
                <w:color w:val="000000"/>
                <w:sz w:val="20"/>
                <w:szCs w:val="20"/>
              </w:rPr>
            </w:pPr>
            <w:r>
              <w:rPr>
                <w:color w:val="000000"/>
                <w:sz w:val="20"/>
                <w:szCs w:val="20"/>
              </w:rPr>
              <w:t>6.63 ± 0.13</w:t>
            </w:r>
            <w:r>
              <w:rPr>
                <w:color w:val="000000"/>
                <w:sz w:val="20"/>
                <w:szCs w:val="20"/>
                <w:vertAlign w:val="superscript"/>
              </w:rPr>
              <w:t>b</w:t>
            </w:r>
          </w:p>
        </w:tc>
      </w:tr>
      <w:tr w:rsidR="005B3ABD">
        <w:trPr>
          <w:trHeight w:val="373"/>
        </w:trPr>
        <w:tc>
          <w:tcPr>
            <w:tcW w:w="1901" w:type="dxa"/>
            <w:tcBorders>
              <w:left w:val="nil"/>
              <w:right w:val="nil"/>
            </w:tcBorders>
            <w:shd w:val="clear" w:color="auto" w:fill="FFFFFF"/>
          </w:tcPr>
          <w:p w:rsidR="005B3ABD" w:rsidRDefault="003F2B6A">
            <w:pPr>
              <w:snapToGrid w:val="0"/>
              <w:jc w:val="both"/>
              <w:rPr>
                <w:bCs/>
                <w:color w:val="000000"/>
                <w:sz w:val="20"/>
                <w:szCs w:val="20"/>
              </w:rPr>
            </w:pPr>
            <w:r>
              <w:rPr>
                <w:bCs/>
                <w:color w:val="000000"/>
                <w:sz w:val="20"/>
                <w:szCs w:val="20"/>
              </w:rPr>
              <w:t>Crude fat</w:t>
            </w:r>
          </w:p>
        </w:tc>
        <w:tc>
          <w:tcPr>
            <w:tcW w:w="1485" w:type="dxa"/>
            <w:tcBorders>
              <w:left w:val="nil"/>
              <w:right w:val="nil"/>
            </w:tcBorders>
            <w:shd w:val="clear" w:color="auto" w:fill="FFFFFF"/>
          </w:tcPr>
          <w:p w:rsidR="005B3ABD" w:rsidRDefault="003F2B6A">
            <w:pPr>
              <w:snapToGrid w:val="0"/>
              <w:jc w:val="both"/>
              <w:rPr>
                <w:color w:val="000000"/>
                <w:sz w:val="20"/>
                <w:szCs w:val="20"/>
              </w:rPr>
            </w:pPr>
            <w:r>
              <w:rPr>
                <w:color w:val="000000"/>
                <w:sz w:val="20"/>
                <w:szCs w:val="20"/>
              </w:rPr>
              <w:t>3.66 ± 0.04</w:t>
            </w:r>
            <w:r>
              <w:rPr>
                <w:color w:val="000000"/>
                <w:sz w:val="20"/>
                <w:szCs w:val="20"/>
                <w:vertAlign w:val="superscript"/>
              </w:rPr>
              <w:t>ab</w:t>
            </w:r>
          </w:p>
        </w:tc>
        <w:tc>
          <w:tcPr>
            <w:tcW w:w="1515" w:type="dxa"/>
            <w:tcBorders>
              <w:left w:val="nil"/>
              <w:right w:val="nil"/>
            </w:tcBorders>
            <w:shd w:val="clear" w:color="auto" w:fill="FFFFFF"/>
          </w:tcPr>
          <w:p w:rsidR="005B3ABD" w:rsidRDefault="003F2B6A">
            <w:pPr>
              <w:snapToGrid w:val="0"/>
              <w:jc w:val="both"/>
              <w:rPr>
                <w:color w:val="000000"/>
                <w:sz w:val="20"/>
                <w:szCs w:val="20"/>
              </w:rPr>
            </w:pPr>
            <w:r>
              <w:rPr>
                <w:color w:val="000000"/>
                <w:sz w:val="20"/>
                <w:szCs w:val="20"/>
              </w:rPr>
              <w:t>3.88 ± 0.03</w:t>
            </w:r>
            <w:r>
              <w:rPr>
                <w:color w:val="000000"/>
                <w:sz w:val="20"/>
                <w:szCs w:val="20"/>
                <w:vertAlign w:val="superscript"/>
              </w:rPr>
              <w:t>ab</w:t>
            </w:r>
          </w:p>
        </w:tc>
        <w:tc>
          <w:tcPr>
            <w:tcW w:w="1560" w:type="dxa"/>
            <w:tcBorders>
              <w:left w:val="nil"/>
              <w:right w:val="nil"/>
            </w:tcBorders>
            <w:shd w:val="clear" w:color="auto" w:fill="FFFFFF"/>
          </w:tcPr>
          <w:p w:rsidR="005B3ABD" w:rsidRDefault="003F2B6A">
            <w:pPr>
              <w:snapToGrid w:val="0"/>
              <w:jc w:val="both"/>
              <w:rPr>
                <w:color w:val="000000"/>
                <w:sz w:val="20"/>
                <w:szCs w:val="20"/>
              </w:rPr>
            </w:pPr>
            <w:r>
              <w:rPr>
                <w:color w:val="000000"/>
                <w:sz w:val="20"/>
                <w:szCs w:val="20"/>
              </w:rPr>
              <w:t>3.72 ± 0.01</w:t>
            </w:r>
            <w:r>
              <w:rPr>
                <w:color w:val="000000"/>
                <w:sz w:val="20"/>
                <w:szCs w:val="20"/>
                <w:vertAlign w:val="superscript"/>
              </w:rPr>
              <w:t>a</w:t>
            </w:r>
          </w:p>
        </w:tc>
        <w:tc>
          <w:tcPr>
            <w:tcW w:w="1515" w:type="dxa"/>
            <w:tcBorders>
              <w:left w:val="nil"/>
              <w:right w:val="nil"/>
            </w:tcBorders>
            <w:shd w:val="clear" w:color="auto" w:fill="FFFFFF"/>
          </w:tcPr>
          <w:p w:rsidR="005B3ABD" w:rsidRDefault="003F2B6A">
            <w:pPr>
              <w:snapToGrid w:val="0"/>
              <w:jc w:val="both"/>
              <w:rPr>
                <w:color w:val="000000"/>
                <w:sz w:val="20"/>
                <w:szCs w:val="20"/>
              </w:rPr>
            </w:pPr>
            <w:r>
              <w:rPr>
                <w:color w:val="000000"/>
                <w:sz w:val="20"/>
                <w:szCs w:val="20"/>
              </w:rPr>
              <w:t>3.23 ± 0.05</w:t>
            </w:r>
            <w:r>
              <w:rPr>
                <w:color w:val="000000"/>
                <w:sz w:val="20"/>
                <w:szCs w:val="20"/>
                <w:vertAlign w:val="superscript"/>
              </w:rPr>
              <w:t>bc</w:t>
            </w:r>
          </w:p>
        </w:tc>
        <w:tc>
          <w:tcPr>
            <w:tcW w:w="1470" w:type="dxa"/>
            <w:tcBorders>
              <w:left w:val="nil"/>
              <w:right w:val="nil"/>
            </w:tcBorders>
            <w:shd w:val="clear" w:color="auto" w:fill="FFFFFF"/>
          </w:tcPr>
          <w:p w:rsidR="005B3ABD" w:rsidRDefault="003F2B6A">
            <w:pPr>
              <w:snapToGrid w:val="0"/>
              <w:jc w:val="both"/>
              <w:rPr>
                <w:color w:val="000000"/>
                <w:sz w:val="20"/>
                <w:szCs w:val="20"/>
              </w:rPr>
            </w:pPr>
            <w:r>
              <w:rPr>
                <w:color w:val="000000"/>
                <w:sz w:val="20"/>
                <w:szCs w:val="20"/>
              </w:rPr>
              <w:t>3.97 ± 0.05</w:t>
            </w:r>
            <w:r>
              <w:rPr>
                <w:color w:val="000000"/>
                <w:sz w:val="20"/>
                <w:szCs w:val="20"/>
                <w:vertAlign w:val="superscript"/>
              </w:rPr>
              <w:t>b</w:t>
            </w:r>
          </w:p>
        </w:tc>
      </w:tr>
      <w:tr w:rsidR="005B3ABD">
        <w:trPr>
          <w:trHeight w:val="373"/>
        </w:trPr>
        <w:tc>
          <w:tcPr>
            <w:tcW w:w="1901" w:type="dxa"/>
            <w:shd w:val="clear" w:color="auto" w:fill="FFFFFF"/>
          </w:tcPr>
          <w:p w:rsidR="005B3ABD" w:rsidRDefault="003F2B6A">
            <w:pPr>
              <w:snapToGrid w:val="0"/>
              <w:jc w:val="both"/>
              <w:rPr>
                <w:bCs/>
                <w:color w:val="000000"/>
                <w:sz w:val="20"/>
                <w:szCs w:val="20"/>
              </w:rPr>
            </w:pPr>
            <w:r>
              <w:rPr>
                <w:bCs/>
                <w:color w:val="000000"/>
                <w:sz w:val="20"/>
                <w:szCs w:val="20"/>
              </w:rPr>
              <w:t>Crude fiber</w:t>
            </w:r>
          </w:p>
        </w:tc>
        <w:tc>
          <w:tcPr>
            <w:tcW w:w="1485" w:type="dxa"/>
            <w:shd w:val="clear" w:color="auto" w:fill="FFFFFF"/>
          </w:tcPr>
          <w:p w:rsidR="005B3ABD" w:rsidRDefault="003F2B6A">
            <w:pPr>
              <w:snapToGrid w:val="0"/>
              <w:jc w:val="both"/>
              <w:rPr>
                <w:color w:val="000000"/>
                <w:sz w:val="20"/>
                <w:szCs w:val="20"/>
              </w:rPr>
            </w:pPr>
            <w:r>
              <w:rPr>
                <w:color w:val="000000"/>
                <w:sz w:val="20"/>
                <w:szCs w:val="20"/>
              </w:rPr>
              <w:t>1.34 ± 0.00</w:t>
            </w:r>
            <w:r>
              <w:rPr>
                <w:color w:val="000000"/>
                <w:sz w:val="20"/>
                <w:szCs w:val="20"/>
                <w:vertAlign w:val="superscript"/>
              </w:rPr>
              <w:t>a</w:t>
            </w:r>
          </w:p>
        </w:tc>
        <w:tc>
          <w:tcPr>
            <w:tcW w:w="1515" w:type="dxa"/>
            <w:shd w:val="clear" w:color="auto" w:fill="FFFFFF"/>
          </w:tcPr>
          <w:p w:rsidR="005B3ABD" w:rsidRDefault="003F2B6A">
            <w:pPr>
              <w:snapToGrid w:val="0"/>
              <w:jc w:val="both"/>
              <w:rPr>
                <w:color w:val="000000"/>
                <w:sz w:val="20"/>
                <w:szCs w:val="20"/>
              </w:rPr>
            </w:pPr>
            <w:r>
              <w:rPr>
                <w:color w:val="000000"/>
                <w:sz w:val="20"/>
                <w:szCs w:val="20"/>
              </w:rPr>
              <w:t>1.74 ± 0.01</w:t>
            </w:r>
            <w:r>
              <w:rPr>
                <w:color w:val="000000"/>
                <w:sz w:val="20"/>
                <w:szCs w:val="20"/>
                <w:vertAlign w:val="superscript"/>
              </w:rPr>
              <w:t>bc</w:t>
            </w:r>
          </w:p>
        </w:tc>
        <w:tc>
          <w:tcPr>
            <w:tcW w:w="1560" w:type="dxa"/>
            <w:shd w:val="clear" w:color="auto" w:fill="FFFFFF"/>
          </w:tcPr>
          <w:p w:rsidR="005B3ABD" w:rsidRDefault="003F2B6A">
            <w:pPr>
              <w:snapToGrid w:val="0"/>
              <w:jc w:val="both"/>
              <w:rPr>
                <w:color w:val="000000"/>
                <w:sz w:val="20"/>
                <w:szCs w:val="20"/>
              </w:rPr>
            </w:pPr>
            <w:r>
              <w:rPr>
                <w:color w:val="000000"/>
                <w:sz w:val="20"/>
                <w:szCs w:val="20"/>
              </w:rPr>
              <w:t>1.66 ± 0.02</w:t>
            </w:r>
            <w:r>
              <w:rPr>
                <w:color w:val="000000"/>
                <w:sz w:val="20"/>
                <w:szCs w:val="20"/>
                <w:vertAlign w:val="superscript"/>
              </w:rPr>
              <w:t>b</w:t>
            </w:r>
          </w:p>
        </w:tc>
        <w:tc>
          <w:tcPr>
            <w:tcW w:w="1515" w:type="dxa"/>
            <w:shd w:val="clear" w:color="auto" w:fill="FFFFFF"/>
          </w:tcPr>
          <w:p w:rsidR="005B3ABD" w:rsidRDefault="003F2B6A">
            <w:pPr>
              <w:snapToGrid w:val="0"/>
              <w:jc w:val="both"/>
              <w:rPr>
                <w:color w:val="000000"/>
                <w:sz w:val="20"/>
                <w:szCs w:val="20"/>
              </w:rPr>
            </w:pPr>
            <w:r>
              <w:rPr>
                <w:color w:val="000000"/>
                <w:sz w:val="20"/>
                <w:szCs w:val="20"/>
              </w:rPr>
              <w:t>1.94 ± 0.00</w:t>
            </w:r>
            <w:r>
              <w:rPr>
                <w:color w:val="000000"/>
                <w:sz w:val="20"/>
                <w:szCs w:val="20"/>
                <w:vertAlign w:val="superscript"/>
              </w:rPr>
              <w:t>ab</w:t>
            </w:r>
          </w:p>
        </w:tc>
        <w:tc>
          <w:tcPr>
            <w:tcW w:w="1470" w:type="dxa"/>
            <w:shd w:val="clear" w:color="auto" w:fill="FFFFFF"/>
          </w:tcPr>
          <w:p w:rsidR="005B3ABD" w:rsidRDefault="003F2B6A">
            <w:pPr>
              <w:snapToGrid w:val="0"/>
              <w:jc w:val="both"/>
              <w:rPr>
                <w:color w:val="000000"/>
                <w:sz w:val="20"/>
                <w:szCs w:val="20"/>
              </w:rPr>
            </w:pPr>
            <w:r>
              <w:rPr>
                <w:color w:val="000000"/>
                <w:sz w:val="20"/>
                <w:szCs w:val="20"/>
              </w:rPr>
              <w:t>1.58 ± 0. 00</w:t>
            </w:r>
            <w:r>
              <w:rPr>
                <w:color w:val="000000"/>
                <w:sz w:val="20"/>
                <w:szCs w:val="20"/>
                <w:vertAlign w:val="superscript"/>
              </w:rPr>
              <w:t>ab</w:t>
            </w:r>
          </w:p>
        </w:tc>
      </w:tr>
      <w:tr w:rsidR="005B3ABD">
        <w:trPr>
          <w:trHeight w:val="373"/>
        </w:trPr>
        <w:tc>
          <w:tcPr>
            <w:tcW w:w="1901" w:type="dxa"/>
            <w:tcBorders>
              <w:left w:val="nil"/>
              <w:right w:val="nil"/>
            </w:tcBorders>
            <w:shd w:val="clear" w:color="auto" w:fill="FFFFFF"/>
          </w:tcPr>
          <w:p w:rsidR="005B3ABD" w:rsidRDefault="003F2B6A">
            <w:pPr>
              <w:snapToGrid w:val="0"/>
              <w:jc w:val="both"/>
              <w:rPr>
                <w:bCs/>
                <w:color w:val="000000"/>
                <w:sz w:val="20"/>
                <w:szCs w:val="20"/>
              </w:rPr>
            </w:pPr>
            <w:r>
              <w:rPr>
                <w:bCs/>
                <w:color w:val="000000"/>
                <w:sz w:val="20"/>
                <w:szCs w:val="20"/>
              </w:rPr>
              <w:t>Crude ash</w:t>
            </w:r>
          </w:p>
        </w:tc>
        <w:tc>
          <w:tcPr>
            <w:tcW w:w="1485" w:type="dxa"/>
            <w:tcBorders>
              <w:left w:val="nil"/>
              <w:right w:val="nil"/>
            </w:tcBorders>
            <w:shd w:val="clear" w:color="auto" w:fill="FFFFFF"/>
          </w:tcPr>
          <w:p w:rsidR="005B3ABD" w:rsidRDefault="003F2B6A">
            <w:pPr>
              <w:snapToGrid w:val="0"/>
              <w:jc w:val="both"/>
              <w:rPr>
                <w:color w:val="000000"/>
                <w:sz w:val="20"/>
                <w:szCs w:val="20"/>
              </w:rPr>
            </w:pPr>
            <w:r>
              <w:rPr>
                <w:color w:val="000000"/>
                <w:sz w:val="20"/>
                <w:szCs w:val="20"/>
              </w:rPr>
              <w:t>3.03 ± 0.07</w:t>
            </w:r>
            <w:r>
              <w:rPr>
                <w:color w:val="000000"/>
                <w:sz w:val="20"/>
                <w:szCs w:val="20"/>
                <w:vertAlign w:val="superscript"/>
              </w:rPr>
              <w:t>a</w:t>
            </w:r>
          </w:p>
        </w:tc>
        <w:tc>
          <w:tcPr>
            <w:tcW w:w="1515" w:type="dxa"/>
            <w:tcBorders>
              <w:left w:val="nil"/>
              <w:right w:val="nil"/>
            </w:tcBorders>
            <w:shd w:val="clear" w:color="auto" w:fill="FFFFFF"/>
          </w:tcPr>
          <w:p w:rsidR="005B3ABD" w:rsidRDefault="003F2B6A">
            <w:pPr>
              <w:snapToGrid w:val="0"/>
              <w:jc w:val="both"/>
              <w:rPr>
                <w:color w:val="000000"/>
                <w:sz w:val="20"/>
                <w:szCs w:val="20"/>
              </w:rPr>
            </w:pPr>
            <w:r>
              <w:rPr>
                <w:color w:val="000000"/>
                <w:sz w:val="20"/>
                <w:szCs w:val="20"/>
              </w:rPr>
              <w:t>2.93 ± 0.01</w:t>
            </w:r>
            <w:r>
              <w:rPr>
                <w:color w:val="000000"/>
                <w:sz w:val="20"/>
                <w:szCs w:val="20"/>
                <w:vertAlign w:val="superscript"/>
              </w:rPr>
              <w:t>a</w:t>
            </w:r>
          </w:p>
        </w:tc>
        <w:tc>
          <w:tcPr>
            <w:tcW w:w="1560" w:type="dxa"/>
            <w:tcBorders>
              <w:left w:val="nil"/>
              <w:right w:val="nil"/>
            </w:tcBorders>
            <w:shd w:val="clear" w:color="auto" w:fill="FFFFFF"/>
          </w:tcPr>
          <w:p w:rsidR="005B3ABD" w:rsidRDefault="003F2B6A">
            <w:pPr>
              <w:snapToGrid w:val="0"/>
              <w:jc w:val="both"/>
              <w:rPr>
                <w:color w:val="000000"/>
                <w:sz w:val="20"/>
                <w:szCs w:val="20"/>
              </w:rPr>
            </w:pPr>
            <w:r>
              <w:rPr>
                <w:color w:val="000000"/>
                <w:sz w:val="20"/>
                <w:szCs w:val="20"/>
              </w:rPr>
              <w:t>3.41 ± 0.01</w:t>
            </w:r>
            <w:r>
              <w:rPr>
                <w:color w:val="000000"/>
                <w:sz w:val="20"/>
                <w:szCs w:val="20"/>
                <w:vertAlign w:val="superscript"/>
              </w:rPr>
              <w:t>ab</w:t>
            </w:r>
          </w:p>
        </w:tc>
        <w:tc>
          <w:tcPr>
            <w:tcW w:w="1515" w:type="dxa"/>
            <w:tcBorders>
              <w:left w:val="nil"/>
              <w:right w:val="nil"/>
            </w:tcBorders>
            <w:shd w:val="clear" w:color="auto" w:fill="FFFFFF"/>
          </w:tcPr>
          <w:p w:rsidR="005B3ABD" w:rsidRDefault="003F2B6A">
            <w:pPr>
              <w:snapToGrid w:val="0"/>
              <w:jc w:val="both"/>
              <w:rPr>
                <w:color w:val="000000"/>
                <w:sz w:val="20"/>
                <w:szCs w:val="20"/>
              </w:rPr>
            </w:pPr>
            <w:r>
              <w:rPr>
                <w:color w:val="000000"/>
                <w:sz w:val="20"/>
                <w:szCs w:val="20"/>
              </w:rPr>
              <w:t>3.22 ± 0.02</w:t>
            </w:r>
            <w:r>
              <w:rPr>
                <w:color w:val="000000"/>
                <w:sz w:val="20"/>
                <w:szCs w:val="20"/>
                <w:vertAlign w:val="superscript"/>
              </w:rPr>
              <w:t>b</w:t>
            </w:r>
          </w:p>
        </w:tc>
        <w:tc>
          <w:tcPr>
            <w:tcW w:w="1470" w:type="dxa"/>
            <w:tcBorders>
              <w:left w:val="nil"/>
              <w:right w:val="nil"/>
            </w:tcBorders>
            <w:shd w:val="clear" w:color="auto" w:fill="FFFFFF"/>
          </w:tcPr>
          <w:p w:rsidR="005B3ABD" w:rsidRDefault="003F2B6A">
            <w:pPr>
              <w:snapToGrid w:val="0"/>
              <w:jc w:val="both"/>
              <w:rPr>
                <w:color w:val="000000"/>
                <w:sz w:val="20"/>
                <w:szCs w:val="20"/>
              </w:rPr>
            </w:pPr>
            <w:r>
              <w:rPr>
                <w:color w:val="000000"/>
                <w:sz w:val="20"/>
                <w:szCs w:val="20"/>
              </w:rPr>
              <w:t>3.49 ± 0.04</w:t>
            </w:r>
            <w:r>
              <w:rPr>
                <w:color w:val="000000"/>
                <w:sz w:val="20"/>
                <w:szCs w:val="20"/>
                <w:vertAlign w:val="superscript"/>
              </w:rPr>
              <w:t>b</w:t>
            </w:r>
          </w:p>
        </w:tc>
      </w:tr>
      <w:tr w:rsidR="005B3ABD">
        <w:trPr>
          <w:trHeight w:val="373"/>
        </w:trPr>
        <w:tc>
          <w:tcPr>
            <w:tcW w:w="1901" w:type="dxa"/>
            <w:shd w:val="clear" w:color="auto" w:fill="FFFFFF"/>
          </w:tcPr>
          <w:p w:rsidR="005B3ABD" w:rsidRDefault="003F2B6A">
            <w:pPr>
              <w:snapToGrid w:val="0"/>
              <w:jc w:val="both"/>
              <w:rPr>
                <w:bCs/>
                <w:color w:val="000000"/>
                <w:sz w:val="20"/>
                <w:szCs w:val="20"/>
              </w:rPr>
            </w:pPr>
            <w:r>
              <w:rPr>
                <w:bCs/>
                <w:color w:val="000000"/>
                <w:sz w:val="20"/>
                <w:szCs w:val="20"/>
              </w:rPr>
              <w:t xml:space="preserve">Carbohydrate </w:t>
            </w:r>
          </w:p>
        </w:tc>
        <w:tc>
          <w:tcPr>
            <w:tcW w:w="1485" w:type="dxa"/>
            <w:shd w:val="clear" w:color="auto" w:fill="FFFFFF"/>
          </w:tcPr>
          <w:p w:rsidR="005B3ABD" w:rsidRDefault="003F2B6A">
            <w:pPr>
              <w:snapToGrid w:val="0"/>
              <w:jc w:val="both"/>
              <w:rPr>
                <w:color w:val="000000"/>
                <w:sz w:val="20"/>
                <w:szCs w:val="20"/>
              </w:rPr>
            </w:pPr>
            <w:r>
              <w:rPr>
                <w:color w:val="000000"/>
                <w:sz w:val="20"/>
                <w:szCs w:val="20"/>
              </w:rPr>
              <w:t>76.92 ± 0.18</w:t>
            </w:r>
            <w:r>
              <w:rPr>
                <w:color w:val="000000"/>
                <w:sz w:val="20"/>
                <w:szCs w:val="20"/>
                <w:vertAlign w:val="superscript"/>
              </w:rPr>
              <w:t>bc</w:t>
            </w:r>
          </w:p>
        </w:tc>
        <w:tc>
          <w:tcPr>
            <w:tcW w:w="1515" w:type="dxa"/>
            <w:shd w:val="clear" w:color="auto" w:fill="FFFFFF"/>
          </w:tcPr>
          <w:p w:rsidR="005B3ABD" w:rsidRDefault="003F2B6A">
            <w:pPr>
              <w:snapToGrid w:val="0"/>
              <w:jc w:val="both"/>
              <w:rPr>
                <w:color w:val="000000"/>
                <w:sz w:val="20"/>
                <w:szCs w:val="20"/>
              </w:rPr>
            </w:pPr>
            <w:r>
              <w:rPr>
                <w:color w:val="000000"/>
                <w:sz w:val="20"/>
                <w:szCs w:val="20"/>
              </w:rPr>
              <w:t>76.67 ± 0.32</w:t>
            </w:r>
            <w:r>
              <w:rPr>
                <w:color w:val="000000"/>
                <w:sz w:val="20"/>
                <w:szCs w:val="20"/>
                <w:vertAlign w:val="superscript"/>
              </w:rPr>
              <w:t>bc</w:t>
            </w:r>
          </w:p>
        </w:tc>
        <w:tc>
          <w:tcPr>
            <w:tcW w:w="1560" w:type="dxa"/>
            <w:shd w:val="clear" w:color="auto" w:fill="FFFFFF"/>
          </w:tcPr>
          <w:p w:rsidR="005B3ABD" w:rsidRDefault="003F2B6A">
            <w:pPr>
              <w:snapToGrid w:val="0"/>
              <w:jc w:val="both"/>
              <w:rPr>
                <w:color w:val="000000"/>
                <w:sz w:val="20"/>
                <w:szCs w:val="20"/>
              </w:rPr>
            </w:pPr>
            <w:r>
              <w:rPr>
                <w:color w:val="000000"/>
                <w:sz w:val="20"/>
                <w:szCs w:val="20"/>
              </w:rPr>
              <w:t>776.03 ± 0.38</w:t>
            </w:r>
            <w:r>
              <w:rPr>
                <w:color w:val="000000"/>
                <w:sz w:val="20"/>
                <w:szCs w:val="20"/>
                <w:vertAlign w:val="superscript"/>
              </w:rPr>
              <w:t>c</w:t>
            </w:r>
          </w:p>
        </w:tc>
        <w:tc>
          <w:tcPr>
            <w:tcW w:w="1515" w:type="dxa"/>
            <w:shd w:val="clear" w:color="auto" w:fill="FFFFFF"/>
          </w:tcPr>
          <w:p w:rsidR="005B3ABD" w:rsidRDefault="003F2B6A">
            <w:pPr>
              <w:snapToGrid w:val="0"/>
              <w:jc w:val="both"/>
              <w:rPr>
                <w:color w:val="000000"/>
                <w:sz w:val="20"/>
                <w:szCs w:val="20"/>
              </w:rPr>
            </w:pPr>
            <w:r>
              <w:rPr>
                <w:color w:val="000000"/>
                <w:sz w:val="20"/>
                <w:szCs w:val="20"/>
              </w:rPr>
              <w:t>776.41 ± 0.23</w:t>
            </w:r>
            <w:r>
              <w:rPr>
                <w:color w:val="000000"/>
                <w:sz w:val="20"/>
                <w:szCs w:val="20"/>
                <w:vertAlign w:val="superscript"/>
              </w:rPr>
              <w:t>a</w:t>
            </w:r>
          </w:p>
        </w:tc>
        <w:tc>
          <w:tcPr>
            <w:tcW w:w="1470" w:type="dxa"/>
            <w:shd w:val="clear" w:color="auto" w:fill="FFFFFF"/>
          </w:tcPr>
          <w:p w:rsidR="005B3ABD" w:rsidRDefault="003F2B6A">
            <w:pPr>
              <w:snapToGrid w:val="0"/>
              <w:jc w:val="both"/>
              <w:rPr>
                <w:color w:val="000000"/>
                <w:sz w:val="20"/>
                <w:szCs w:val="20"/>
              </w:rPr>
            </w:pPr>
            <w:r>
              <w:rPr>
                <w:color w:val="000000"/>
                <w:sz w:val="20"/>
                <w:szCs w:val="20"/>
              </w:rPr>
              <w:t xml:space="preserve">75.43 ± </w:t>
            </w:r>
            <w:r>
              <w:rPr>
                <w:color w:val="000000"/>
                <w:sz w:val="20"/>
                <w:szCs w:val="20"/>
              </w:rPr>
              <w:t>0.21</w:t>
            </w:r>
            <w:r>
              <w:rPr>
                <w:color w:val="000000"/>
                <w:sz w:val="20"/>
                <w:szCs w:val="20"/>
                <w:vertAlign w:val="superscript"/>
              </w:rPr>
              <w:t>b</w:t>
            </w:r>
          </w:p>
        </w:tc>
      </w:tr>
      <w:tr w:rsidR="005B3ABD">
        <w:trPr>
          <w:trHeight w:val="393"/>
        </w:trPr>
        <w:tc>
          <w:tcPr>
            <w:tcW w:w="1901" w:type="dxa"/>
            <w:tcBorders>
              <w:left w:val="nil"/>
              <w:right w:val="nil"/>
            </w:tcBorders>
            <w:shd w:val="clear" w:color="auto" w:fill="FFFFFF"/>
          </w:tcPr>
          <w:p w:rsidR="005B3ABD" w:rsidRDefault="003F2B6A">
            <w:pPr>
              <w:snapToGrid w:val="0"/>
              <w:jc w:val="both"/>
              <w:rPr>
                <w:bCs/>
                <w:color w:val="000000"/>
                <w:sz w:val="20"/>
                <w:szCs w:val="20"/>
              </w:rPr>
            </w:pPr>
            <w:r>
              <w:rPr>
                <w:bCs/>
                <w:color w:val="000000"/>
                <w:sz w:val="20"/>
                <w:szCs w:val="20"/>
              </w:rPr>
              <w:t>Energy, Kcal/100 g</w:t>
            </w:r>
          </w:p>
        </w:tc>
        <w:tc>
          <w:tcPr>
            <w:tcW w:w="1485" w:type="dxa"/>
            <w:tcBorders>
              <w:left w:val="nil"/>
              <w:right w:val="nil"/>
            </w:tcBorders>
            <w:shd w:val="clear" w:color="auto" w:fill="FFFFFF"/>
          </w:tcPr>
          <w:p w:rsidR="005B3ABD" w:rsidRDefault="003F2B6A">
            <w:pPr>
              <w:snapToGrid w:val="0"/>
              <w:jc w:val="both"/>
              <w:rPr>
                <w:color w:val="000000"/>
                <w:sz w:val="20"/>
                <w:szCs w:val="20"/>
              </w:rPr>
            </w:pPr>
            <w:r>
              <w:rPr>
                <w:color w:val="000000"/>
                <w:sz w:val="20"/>
                <w:szCs w:val="20"/>
              </w:rPr>
              <w:t>382.80 ± 0.27</w:t>
            </w:r>
            <w:r>
              <w:rPr>
                <w:color w:val="000000"/>
                <w:sz w:val="20"/>
                <w:szCs w:val="20"/>
                <w:vertAlign w:val="superscript"/>
              </w:rPr>
              <w:t>bc</w:t>
            </w:r>
          </w:p>
        </w:tc>
        <w:tc>
          <w:tcPr>
            <w:tcW w:w="1515" w:type="dxa"/>
            <w:tcBorders>
              <w:left w:val="nil"/>
              <w:right w:val="nil"/>
            </w:tcBorders>
            <w:shd w:val="clear" w:color="auto" w:fill="FFFFFF"/>
          </w:tcPr>
          <w:p w:rsidR="005B3ABD" w:rsidRDefault="003F2B6A">
            <w:pPr>
              <w:snapToGrid w:val="0"/>
              <w:jc w:val="both"/>
              <w:rPr>
                <w:color w:val="000000"/>
                <w:sz w:val="20"/>
                <w:szCs w:val="20"/>
              </w:rPr>
            </w:pPr>
            <w:r>
              <w:rPr>
                <w:color w:val="000000"/>
                <w:sz w:val="20"/>
                <w:szCs w:val="20"/>
              </w:rPr>
              <w:t>383.02 ± 0.83</w:t>
            </w:r>
            <w:r>
              <w:rPr>
                <w:color w:val="000000"/>
                <w:sz w:val="20"/>
                <w:szCs w:val="20"/>
                <w:vertAlign w:val="superscript"/>
              </w:rPr>
              <w:t>c</w:t>
            </w:r>
          </w:p>
        </w:tc>
        <w:tc>
          <w:tcPr>
            <w:tcW w:w="1560" w:type="dxa"/>
            <w:tcBorders>
              <w:left w:val="nil"/>
              <w:right w:val="nil"/>
            </w:tcBorders>
            <w:shd w:val="clear" w:color="auto" w:fill="FFFFFF"/>
          </w:tcPr>
          <w:p w:rsidR="005B3ABD" w:rsidRDefault="003F2B6A">
            <w:pPr>
              <w:snapToGrid w:val="0"/>
              <w:jc w:val="both"/>
              <w:rPr>
                <w:color w:val="000000"/>
                <w:sz w:val="20"/>
                <w:szCs w:val="20"/>
              </w:rPr>
            </w:pPr>
            <w:r>
              <w:rPr>
                <w:color w:val="000000"/>
                <w:sz w:val="20"/>
                <w:szCs w:val="20"/>
              </w:rPr>
              <w:t>380.37 ± 0.22</w:t>
            </w:r>
            <w:r>
              <w:rPr>
                <w:color w:val="000000"/>
                <w:sz w:val="20"/>
                <w:szCs w:val="20"/>
                <w:vertAlign w:val="superscript"/>
              </w:rPr>
              <w:t>cd</w:t>
            </w:r>
          </w:p>
        </w:tc>
        <w:tc>
          <w:tcPr>
            <w:tcW w:w="1515" w:type="dxa"/>
            <w:tcBorders>
              <w:left w:val="nil"/>
              <w:right w:val="nil"/>
            </w:tcBorders>
            <w:shd w:val="clear" w:color="auto" w:fill="FFFFFF"/>
          </w:tcPr>
          <w:p w:rsidR="005B3ABD" w:rsidRDefault="003F2B6A">
            <w:pPr>
              <w:snapToGrid w:val="0"/>
              <w:jc w:val="both"/>
              <w:rPr>
                <w:color w:val="000000"/>
                <w:sz w:val="20"/>
                <w:szCs w:val="20"/>
              </w:rPr>
            </w:pPr>
            <w:r>
              <w:rPr>
                <w:color w:val="000000"/>
                <w:sz w:val="20"/>
                <w:szCs w:val="20"/>
              </w:rPr>
              <w:t>380.48 ± 0.19</w:t>
            </w:r>
            <w:r>
              <w:rPr>
                <w:color w:val="000000"/>
                <w:sz w:val="20"/>
                <w:szCs w:val="20"/>
                <w:vertAlign w:val="superscript"/>
              </w:rPr>
              <w:t>a</w:t>
            </w:r>
          </w:p>
        </w:tc>
        <w:tc>
          <w:tcPr>
            <w:tcW w:w="1470" w:type="dxa"/>
            <w:tcBorders>
              <w:left w:val="nil"/>
              <w:right w:val="nil"/>
            </w:tcBorders>
            <w:shd w:val="clear" w:color="auto" w:fill="FFFFFF"/>
          </w:tcPr>
          <w:p w:rsidR="005B3ABD" w:rsidRDefault="003F2B6A">
            <w:pPr>
              <w:snapToGrid w:val="0"/>
              <w:jc w:val="both"/>
              <w:rPr>
                <w:color w:val="000000"/>
                <w:sz w:val="20"/>
                <w:szCs w:val="20"/>
              </w:rPr>
            </w:pPr>
            <w:r>
              <w:rPr>
                <w:color w:val="000000"/>
                <w:sz w:val="20"/>
                <w:szCs w:val="20"/>
              </w:rPr>
              <w:t>381.68 ± 0.42</w:t>
            </w:r>
            <w:r>
              <w:rPr>
                <w:color w:val="000000"/>
                <w:sz w:val="20"/>
                <w:szCs w:val="20"/>
                <w:vertAlign w:val="superscript"/>
              </w:rPr>
              <w:t>b</w:t>
            </w:r>
          </w:p>
        </w:tc>
      </w:tr>
    </w:tbl>
    <w:p w:rsidR="005B3ABD" w:rsidRDefault="003F2B6A">
      <w:pPr>
        <w:snapToGrid w:val="0"/>
        <w:jc w:val="both"/>
        <w:rPr>
          <w:sz w:val="20"/>
          <w:szCs w:val="20"/>
        </w:rPr>
      </w:pPr>
      <w:r>
        <w:rPr>
          <w:sz w:val="20"/>
          <w:szCs w:val="20"/>
        </w:rPr>
        <w:t xml:space="preserve">All values are expressed as means ± SD of 3 replicate determinations while values with different superscript within the same row are significantly </w:t>
      </w:r>
      <w:r>
        <w:rPr>
          <w:sz w:val="20"/>
          <w:szCs w:val="20"/>
        </w:rPr>
        <w:t>different @ p&lt;0.05. SD: Standard deviation.</w:t>
      </w:r>
    </w:p>
    <w:p w:rsidR="005B3ABD" w:rsidRDefault="005B3ABD">
      <w:pPr>
        <w:snapToGrid w:val="0"/>
        <w:jc w:val="both"/>
        <w:rPr>
          <w:sz w:val="20"/>
          <w:szCs w:val="20"/>
        </w:rPr>
      </w:pPr>
    </w:p>
    <w:p w:rsidR="005B3ABD" w:rsidRDefault="005B3ABD">
      <w:pPr>
        <w:snapToGrid w:val="0"/>
        <w:jc w:val="both"/>
        <w:rPr>
          <w:sz w:val="20"/>
          <w:szCs w:val="20"/>
        </w:rPr>
        <w:sectPr w:rsidR="005B3ABD">
          <w:type w:val="continuous"/>
          <w:pgSz w:w="12240" w:h="15839"/>
          <w:pgMar w:top="1440" w:right="1440" w:bottom="1440" w:left="1440" w:header="720" w:footer="720" w:gutter="0"/>
          <w:cols w:space="425"/>
          <w:titlePg/>
          <w:docGrid w:linePitch="360"/>
        </w:sectPr>
      </w:pPr>
    </w:p>
    <w:p w:rsidR="005B3ABD" w:rsidRDefault="003F2B6A">
      <w:pPr>
        <w:snapToGrid w:val="0"/>
        <w:jc w:val="both"/>
        <w:rPr>
          <w:sz w:val="20"/>
          <w:szCs w:val="20"/>
        </w:rPr>
      </w:pPr>
      <w:r>
        <w:rPr>
          <w:sz w:val="20"/>
          <w:szCs w:val="20"/>
        </w:rPr>
        <w:lastRenderedPageBreak/>
        <w:tab/>
        <w:t xml:space="preserve">According to </w:t>
      </w:r>
      <w:proofErr w:type="spellStart"/>
      <w:r>
        <w:rPr>
          <w:sz w:val="20"/>
          <w:szCs w:val="20"/>
        </w:rPr>
        <w:t>Soetan</w:t>
      </w:r>
      <w:proofErr w:type="spellEnd"/>
      <w:r>
        <w:rPr>
          <w:sz w:val="20"/>
          <w:szCs w:val="20"/>
        </w:rPr>
        <w:t xml:space="preserve"> and </w:t>
      </w:r>
      <w:proofErr w:type="spellStart"/>
      <w:r>
        <w:rPr>
          <w:sz w:val="20"/>
          <w:szCs w:val="20"/>
        </w:rPr>
        <w:t>Olaiya</w:t>
      </w:r>
      <w:proofErr w:type="spellEnd"/>
      <w:r>
        <w:rPr>
          <w:sz w:val="20"/>
          <w:szCs w:val="20"/>
        </w:rPr>
        <w:t xml:space="preserve"> </w:t>
      </w:r>
      <w:r>
        <w:rPr>
          <w:rFonts w:eastAsia="Calibri"/>
          <w:sz w:val="20"/>
          <w:szCs w:val="20"/>
          <w:vertAlign w:val="superscript"/>
        </w:rPr>
        <w:t>[17]</w:t>
      </w:r>
      <w:r>
        <w:rPr>
          <w:sz w:val="20"/>
          <w:szCs w:val="20"/>
        </w:rPr>
        <w:t xml:space="preserve">, dietary </w:t>
      </w:r>
      <w:proofErr w:type="spellStart"/>
      <w:r>
        <w:rPr>
          <w:sz w:val="20"/>
          <w:szCs w:val="20"/>
        </w:rPr>
        <w:t>fibre</w:t>
      </w:r>
      <w:proofErr w:type="spellEnd"/>
      <w:r>
        <w:rPr>
          <w:sz w:val="20"/>
          <w:szCs w:val="20"/>
        </w:rPr>
        <w:t xml:space="preserve"> play good and vital role in glucose absorption and reduces risk of hyperglycemia. The presence of ash in the samples indicates minerals salts in the</w:t>
      </w:r>
      <w:r>
        <w:rPr>
          <w:sz w:val="20"/>
          <w:szCs w:val="20"/>
        </w:rPr>
        <w:t xml:space="preserve">ir food which provides them with needed minerals in their body for biochemical activities. The presence of minerals in their food connotes a good source of acid-base (ionic) balancing of body fluid system </w:t>
      </w:r>
      <w:r>
        <w:rPr>
          <w:rFonts w:eastAsia="Calibri"/>
          <w:sz w:val="20"/>
          <w:szCs w:val="20"/>
          <w:vertAlign w:val="superscript"/>
        </w:rPr>
        <w:t>[18]</w:t>
      </w:r>
      <w:r>
        <w:rPr>
          <w:sz w:val="20"/>
          <w:szCs w:val="20"/>
        </w:rPr>
        <w:t>. All their food/meal samples analyzed can prov</w:t>
      </w:r>
      <w:r>
        <w:rPr>
          <w:sz w:val="20"/>
          <w:szCs w:val="20"/>
        </w:rPr>
        <w:t xml:space="preserve">ides them with enough energy per 100 g. This will allow protein to be useful for its primary work. Carbohydrate, according to </w:t>
      </w:r>
      <w:proofErr w:type="spellStart"/>
      <w:r>
        <w:rPr>
          <w:sz w:val="20"/>
          <w:szCs w:val="20"/>
        </w:rPr>
        <w:t>Sushma</w:t>
      </w:r>
      <w:proofErr w:type="spellEnd"/>
      <w:r>
        <w:rPr>
          <w:sz w:val="20"/>
          <w:szCs w:val="20"/>
        </w:rPr>
        <w:t xml:space="preserve"> et al. </w:t>
      </w:r>
      <w:r>
        <w:rPr>
          <w:rFonts w:eastAsia="Calibri"/>
          <w:sz w:val="20"/>
          <w:szCs w:val="20"/>
          <w:vertAlign w:val="superscript"/>
        </w:rPr>
        <w:t>[19]</w:t>
      </w:r>
      <w:r>
        <w:rPr>
          <w:sz w:val="20"/>
          <w:szCs w:val="20"/>
        </w:rPr>
        <w:t xml:space="preserve"> contributes effectively to muscles coordination, blood and </w:t>
      </w:r>
      <w:proofErr w:type="spellStart"/>
      <w:r>
        <w:rPr>
          <w:sz w:val="20"/>
          <w:szCs w:val="20"/>
        </w:rPr>
        <w:t>Kreb’s</w:t>
      </w:r>
      <w:proofErr w:type="spellEnd"/>
      <w:r>
        <w:rPr>
          <w:sz w:val="20"/>
          <w:szCs w:val="20"/>
        </w:rPr>
        <w:t xml:space="preserve"> circle activities and also acts as mild laxat</w:t>
      </w:r>
      <w:r>
        <w:rPr>
          <w:sz w:val="20"/>
          <w:szCs w:val="20"/>
        </w:rPr>
        <w:t>ive.</w:t>
      </w:r>
    </w:p>
    <w:p w:rsidR="005B3ABD" w:rsidRDefault="005B3ABD">
      <w:pPr>
        <w:snapToGrid w:val="0"/>
        <w:jc w:val="both"/>
        <w:rPr>
          <w:b/>
          <w:sz w:val="20"/>
          <w:szCs w:val="20"/>
        </w:rPr>
      </w:pPr>
    </w:p>
    <w:p w:rsidR="005B3ABD" w:rsidRDefault="003F2B6A">
      <w:pPr>
        <w:snapToGrid w:val="0"/>
        <w:jc w:val="both"/>
        <w:rPr>
          <w:b/>
          <w:sz w:val="20"/>
          <w:szCs w:val="20"/>
        </w:rPr>
      </w:pPr>
      <w:r>
        <w:rPr>
          <w:b/>
          <w:sz w:val="20"/>
          <w:szCs w:val="20"/>
        </w:rPr>
        <w:t>Average mineral profiles of 24-hr recall meals per 100g dry weight compared with FDN reference standard</w:t>
      </w:r>
    </w:p>
    <w:p w:rsidR="005B3ABD" w:rsidRDefault="003F2B6A">
      <w:pPr>
        <w:snapToGrid w:val="0"/>
        <w:jc w:val="both"/>
        <w:rPr>
          <w:sz w:val="20"/>
          <w:szCs w:val="20"/>
        </w:rPr>
        <w:sectPr w:rsidR="005B3ABD">
          <w:type w:val="continuous"/>
          <w:pgSz w:w="12240" w:h="15839"/>
          <w:pgMar w:top="1440" w:right="1440" w:bottom="1440" w:left="1440" w:header="720" w:footer="720" w:gutter="0"/>
          <w:cols w:num="2" w:space="720" w:equalWidth="0">
            <w:col w:w="4467" w:space="425"/>
            <w:col w:w="4467"/>
          </w:cols>
          <w:titlePg/>
          <w:docGrid w:linePitch="360"/>
        </w:sectPr>
      </w:pPr>
      <w:r>
        <w:rPr>
          <w:sz w:val="20"/>
          <w:szCs w:val="20"/>
        </w:rPr>
        <w:tab/>
        <w:t xml:space="preserve">Table 2 shows the average mineral profile of the 24-hr recall food intake of the study areas household per 100 g. Statistical </w:t>
      </w:r>
      <w:r>
        <w:rPr>
          <w:sz w:val="20"/>
          <w:szCs w:val="20"/>
        </w:rPr>
        <w:t xml:space="preserve">difference was observed in all the 24 </w:t>
      </w:r>
      <w:proofErr w:type="gramStart"/>
      <w:r>
        <w:rPr>
          <w:sz w:val="20"/>
          <w:szCs w:val="20"/>
        </w:rPr>
        <w:t>hours</w:t>
      </w:r>
      <w:proofErr w:type="gramEnd"/>
      <w:r>
        <w:rPr>
          <w:sz w:val="20"/>
          <w:szCs w:val="20"/>
        </w:rPr>
        <w:t xml:space="preserve"> recall food intake samples determined. There </w:t>
      </w:r>
      <w:r>
        <w:rPr>
          <w:sz w:val="20"/>
          <w:szCs w:val="20"/>
        </w:rPr>
        <w:lastRenderedPageBreak/>
        <w:t xml:space="preserve">values ranged from 32.11 – 39.74 mg/100g (Ca); 1.03 – 1.25 mg/100g (Fe); 0.9 – 1.02 mg/100g (Zn); 37.39 – 52.34 mg/100g (Na); 53.26 – 59.10 mg/100g (P); 37.13 – 40.14 </w:t>
      </w:r>
      <w:r>
        <w:rPr>
          <w:sz w:val="20"/>
          <w:szCs w:val="20"/>
        </w:rPr>
        <w:t xml:space="preserve">mg/100g (Mg) and 226.17 – 245.88 mg/100g (K), respectively. The sodium potassium ratio of all the 24 </w:t>
      </w:r>
      <w:proofErr w:type="gramStart"/>
      <w:r>
        <w:rPr>
          <w:sz w:val="20"/>
          <w:szCs w:val="20"/>
        </w:rPr>
        <w:t>hours</w:t>
      </w:r>
      <w:proofErr w:type="gramEnd"/>
      <w:r>
        <w:rPr>
          <w:sz w:val="20"/>
          <w:szCs w:val="20"/>
        </w:rPr>
        <w:t xml:space="preserve"> recall food intake samples ranged from 0.15 in </w:t>
      </w:r>
      <w:proofErr w:type="spellStart"/>
      <w:r>
        <w:rPr>
          <w:sz w:val="20"/>
          <w:szCs w:val="20"/>
        </w:rPr>
        <w:t>Iroko</w:t>
      </w:r>
      <w:proofErr w:type="spellEnd"/>
      <w:r>
        <w:rPr>
          <w:sz w:val="20"/>
          <w:szCs w:val="20"/>
        </w:rPr>
        <w:t xml:space="preserve"> town area to 0.19 in </w:t>
      </w:r>
      <w:proofErr w:type="spellStart"/>
      <w:r>
        <w:rPr>
          <w:sz w:val="20"/>
          <w:szCs w:val="20"/>
        </w:rPr>
        <w:t>Moniya</w:t>
      </w:r>
      <w:proofErr w:type="spellEnd"/>
      <w:r>
        <w:rPr>
          <w:sz w:val="20"/>
          <w:szCs w:val="20"/>
        </w:rPr>
        <w:t xml:space="preserve"> town area while calcium phosphorus ratio ranged from 0.60 in </w:t>
      </w:r>
      <w:proofErr w:type="spellStart"/>
      <w:r>
        <w:rPr>
          <w:sz w:val="20"/>
          <w:szCs w:val="20"/>
        </w:rPr>
        <w:t>Iroko</w:t>
      </w:r>
      <w:proofErr w:type="spellEnd"/>
      <w:r>
        <w:rPr>
          <w:sz w:val="20"/>
          <w:szCs w:val="20"/>
        </w:rPr>
        <w:t xml:space="preserve"> t</w:t>
      </w:r>
      <w:r>
        <w:rPr>
          <w:sz w:val="20"/>
          <w:szCs w:val="20"/>
        </w:rPr>
        <w:t xml:space="preserve">own area – 0.73 in </w:t>
      </w:r>
      <w:proofErr w:type="spellStart"/>
      <w:r>
        <w:rPr>
          <w:sz w:val="20"/>
          <w:szCs w:val="20"/>
        </w:rPr>
        <w:t>Moniya</w:t>
      </w:r>
      <w:proofErr w:type="spellEnd"/>
      <w:r>
        <w:rPr>
          <w:sz w:val="20"/>
          <w:szCs w:val="20"/>
        </w:rPr>
        <w:t xml:space="preserve"> town area, respectively. Mineral profiles of all the samples were determined and statistically differences (p&lt;0.05) at alpha 0.05 were observed in all the samples compared with </w:t>
      </w:r>
      <w:r>
        <w:rPr>
          <w:rFonts w:eastAsia="Calibri"/>
          <w:sz w:val="20"/>
          <w:szCs w:val="20"/>
          <w:vertAlign w:val="superscript"/>
        </w:rPr>
        <w:t>[8]</w:t>
      </w:r>
      <w:r>
        <w:rPr>
          <w:sz w:val="20"/>
          <w:szCs w:val="20"/>
        </w:rPr>
        <w:t>. Calcium and iron of the samples ranged from 32.1</w:t>
      </w:r>
      <w:r>
        <w:rPr>
          <w:sz w:val="20"/>
          <w:szCs w:val="20"/>
        </w:rPr>
        <w:t xml:space="preserve">1 – 39.74 mg/g and 1.03 – 1.16 mg/g, respectively compared to FDN </w:t>
      </w:r>
      <w:r>
        <w:rPr>
          <w:sz w:val="20"/>
          <w:szCs w:val="20"/>
          <w:vertAlign w:val="superscript"/>
        </w:rPr>
        <w:t>[8]</w:t>
      </w:r>
      <w:r>
        <w:rPr>
          <w:sz w:val="20"/>
          <w:szCs w:val="20"/>
        </w:rPr>
        <w:t xml:space="preserve"> reference standard of 30.00 mg/g and 0.61 mg/g, respectively. Same trends were observed for zinc, sodium, phosphorus, magnesium and potassium compared with </w:t>
      </w:r>
      <w:r>
        <w:rPr>
          <w:rFonts w:eastAsia="Calibri"/>
          <w:sz w:val="20"/>
          <w:szCs w:val="20"/>
          <w:vertAlign w:val="superscript"/>
        </w:rPr>
        <w:t>[11]</w:t>
      </w:r>
      <w:r>
        <w:rPr>
          <w:sz w:val="20"/>
          <w:szCs w:val="20"/>
        </w:rPr>
        <w:t xml:space="preserve"> reference standard. Studi</w:t>
      </w:r>
      <w:r>
        <w:rPr>
          <w:sz w:val="20"/>
          <w:szCs w:val="20"/>
        </w:rPr>
        <w:t xml:space="preserve">es have shown that minerals in the body apart from providing ionic balance and electrolyte fluid for the body, it also performs many biochemical processes and stabilizes protein reaction in the body </w:t>
      </w:r>
      <w:r>
        <w:rPr>
          <w:rFonts w:eastAsia="Calibri"/>
          <w:sz w:val="20"/>
          <w:szCs w:val="20"/>
          <w:vertAlign w:val="superscript"/>
        </w:rPr>
        <w:t>[20]</w:t>
      </w:r>
      <w:r>
        <w:rPr>
          <w:sz w:val="20"/>
          <w:szCs w:val="20"/>
        </w:rPr>
        <w:t>.</w:t>
      </w:r>
    </w:p>
    <w:p w:rsidR="005B3ABD" w:rsidRDefault="005B3ABD">
      <w:pPr>
        <w:snapToGrid w:val="0"/>
        <w:jc w:val="both"/>
        <w:rPr>
          <w:sz w:val="20"/>
          <w:szCs w:val="20"/>
        </w:rPr>
      </w:pPr>
    </w:p>
    <w:p w:rsidR="005A57CC" w:rsidRDefault="005A57CC">
      <w:pPr>
        <w:snapToGrid w:val="0"/>
        <w:jc w:val="both"/>
        <w:rPr>
          <w:sz w:val="20"/>
          <w:szCs w:val="20"/>
        </w:rPr>
      </w:pPr>
    </w:p>
    <w:p w:rsidR="005B3ABD" w:rsidRDefault="003F2B6A">
      <w:pPr>
        <w:snapToGrid w:val="0"/>
        <w:jc w:val="both"/>
        <w:rPr>
          <w:sz w:val="20"/>
          <w:szCs w:val="20"/>
        </w:rPr>
      </w:pPr>
      <w:r>
        <w:rPr>
          <w:sz w:val="20"/>
          <w:szCs w:val="20"/>
        </w:rPr>
        <w:lastRenderedPageBreak/>
        <w:t xml:space="preserve">Table 2: Average mineral profiles of 24-hr recall </w:t>
      </w:r>
      <w:r>
        <w:rPr>
          <w:sz w:val="20"/>
          <w:szCs w:val="20"/>
        </w:rPr>
        <w:t>meals per 100g dry weight compared with FDN Reference standard</w:t>
      </w:r>
    </w:p>
    <w:tbl>
      <w:tblPr>
        <w:tblW w:w="9626" w:type="dxa"/>
        <w:tblBorders>
          <w:top w:val="single" w:sz="8" w:space="0" w:color="000000"/>
          <w:bottom w:val="single" w:sz="8" w:space="0" w:color="000000"/>
        </w:tblBorders>
        <w:shd w:val="clear" w:color="auto" w:fill="FFFFFF"/>
        <w:tblLook w:val="04A0" w:firstRow="1" w:lastRow="0" w:firstColumn="1" w:lastColumn="0" w:noHBand="0" w:noVBand="1"/>
      </w:tblPr>
      <w:tblGrid>
        <w:gridCol w:w="1226"/>
        <w:gridCol w:w="1410"/>
        <w:gridCol w:w="1350"/>
        <w:gridCol w:w="1485"/>
        <w:gridCol w:w="1410"/>
        <w:gridCol w:w="1470"/>
        <w:gridCol w:w="1275"/>
      </w:tblGrid>
      <w:tr w:rsidR="005B3ABD">
        <w:trPr>
          <w:trHeight w:val="635"/>
        </w:trPr>
        <w:tc>
          <w:tcPr>
            <w:tcW w:w="1226" w:type="dxa"/>
            <w:tcBorders>
              <w:top w:val="single" w:sz="8" w:space="0" w:color="000000"/>
              <w:left w:val="nil"/>
              <w:bottom w:val="single" w:sz="8" w:space="0" w:color="000000"/>
              <w:right w:val="nil"/>
            </w:tcBorders>
            <w:shd w:val="clear" w:color="auto" w:fill="FFFFFF"/>
          </w:tcPr>
          <w:p w:rsidR="005B3ABD" w:rsidRDefault="003F2B6A">
            <w:pPr>
              <w:snapToGrid w:val="0"/>
              <w:jc w:val="both"/>
              <w:rPr>
                <w:bCs/>
                <w:color w:val="000000"/>
                <w:sz w:val="20"/>
                <w:szCs w:val="20"/>
              </w:rPr>
            </w:pPr>
            <w:r>
              <w:rPr>
                <w:bCs/>
                <w:color w:val="000000"/>
                <w:sz w:val="20"/>
                <w:szCs w:val="20"/>
              </w:rPr>
              <w:t>Parameters       (mg/g)</w:t>
            </w:r>
          </w:p>
        </w:tc>
        <w:tc>
          <w:tcPr>
            <w:tcW w:w="1410" w:type="dxa"/>
            <w:tcBorders>
              <w:top w:val="single" w:sz="8" w:space="0" w:color="000000"/>
              <w:left w:val="nil"/>
              <w:bottom w:val="single" w:sz="8" w:space="0" w:color="000000"/>
              <w:right w:val="nil"/>
            </w:tcBorders>
            <w:shd w:val="clear" w:color="auto" w:fill="FFFFFF"/>
          </w:tcPr>
          <w:p w:rsidR="005B3ABD" w:rsidRDefault="003F2B6A">
            <w:pPr>
              <w:snapToGrid w:val="0"/>
              <w:jc w:val="both"/>
              <w:rPr>
                <w:bCs/>
                <w:color w:val="000000"/>
                <w:sz w:val="20"/>
                <w:szCs w:val="20"/>
              </w:rPr>
            </w:pPr>
            <w:proofErr w:type="spellStart"/>
            <w:r>
              <w:rPr>
                <w:bCs/>
                <w:color w:val="000000"/>
                <w:sz w:val="20"/>
                <w:szCs w:val="20"/>
              </w:rPr>
              <w:t>Alabata</w:t>
            </w:r>
            <w:proofErr w:type="spellEnd"/>
          </w:p>
          <w:p w:rsidR="005B3ABD" w:rsidRDefault="003F2B6A">
            <w:pPr>
              <w:snapToGrid w:val="0"/>
              <w:jc w:val="both"/>
              <w:rPr>
                <w:bCs/>
                <w:color w:val="000000"/>
                <w:sz w:val="20"/>
                <w:szCs w:val="20"/>
              </w:rPr>
            </w:pPr>
            <w:r>
              <w:rPr>
                <w:bCs/>
                <w:color w:val="000000"/>
                <w:sz w:val="20"/>
                <w:szCs w:val="20"/>
              </w:rPr>
              <w:t xml:space="preserve">Town  </w:t>
            </w:r>
          </w:p>
        </w:tc>
        <w:tc>
          <w:tcPr>
            <w:tcW w:w="1350" w:type="dxa"/>
            <w:tcBorders>
              <w:top w:val="single" w:sz="8" w:space="0" w:color="000000"/>
              <w:left w:val="nil"/>
              <w:bottom w:val="single" w:sz="8" w:space="0" w:color="000000"/>
              <w:right w:val="nil"/>
            </w:tcBorders>
            <w:shd w:val="clear" w:color="auto" w:fill="FFFFFF"/>
          </w:tcPr>
          <w:p w:rsidR="005B3ABD" w:rsidRDefault="003F2B6A">
            <w:pPr>
              <w:snapToGrid w:val="0"/>
              <w:jc w:val="both"/>
              <w:rPr>
                <w:bCs/>
                <w:color w:val="000000"/>
                <w:sz w:val="20"/>
                <w:szCs w:val="20"/>
              </w:rPr>
            </w:pPr>
            <w:proofErr w:type="spellStart"/>
            <w:r>
              <w:rPr>
                <w:bCs/>
                <w:color w:val="000000"/>
                <w:sz w:val="20"/>
                <w:szCs w:val="20"/>
              </w:rPr>
              <w:t>Iroko</w:t>
            </w:r>
            <w:proofErr w:type="spellEnd"/>
            <w:r>
              <w:rPr>
                <w:bCs/>
                <w:color w:val="000000"/>
                <w:sz w:val="20"/>
                <w:szCs w:val="20"/>
              </w:rPr>
              <w:t xml:space="preserve"> </w:t>
            </w:r>
          </w:p>
          <w:p w:rsidR="005B3ABD" w:rsidRDefault="003F2B6A">
            <w:pPr>
              <w:snapToGrid w:val="0"/>
              <w:jc w:val="both"/>
              <w:rPr>
                <w:bCs/>
                <w:color w:val="000000"/>
                <w:sz w:val="20"/>
                <w:szCs w:val="20"/>
              </w:rPr>
            </w:pPr>
            <w:r>
              <w:rPr>
                <w:bCs/>
                <w:color w:val="000000"/>
                <w:sz w:val="20"/>
                <w:szCs w:val="20"/>
              </w:rPr>
              <w:t>Town</w:t>
            </w:r>
          </w:p>
        </w:tc>
        <w:tc>
          <w:tcPr>
            <w:tcW w:w="1485" w:type="dxa"/>
            <w:tcBorders>
              <w:top w:val="single" w:sz="8" w:space="0" w:color="000000"/>
              <w:left w:val="nil"/>
              <w:bottom w:val="single" w:sz="8" w:space="0" w:color="000000"/>
              <w:right w:val="nil"/>
            </w:tcBorders>
            <w:shd w:val="clear" w:color="auto" w:fill="FFFFFF"/>
          </w:tcPr>
          <w:p w:rsidR="005B3ABD" w:rsidRDefault="003F2B6A">
            <w:pPr>
              <w:snapToGrid w:val="0"/>
              <w:jc w:val="both"/>
              <w:rPr>
                <w:bCs/>
                <w:color w:val="000000"/>
                <w:sz w:val="20"/>
                <w:szCs w:val="20"/>
              </w:rPr>
            </w:pPr>
            <w:proofErr w:type="spellStart"/>
            <w:r>
              <w:rPr>
                <w:bCs/>
                <w:color w:val="000000"/>
                <w:sz w:val="20"/>
                <w:szCs w:val="20"/>
              </w:rPr>
              <w:t>Moniya</w:t>
            </w:r>
            <w:proofErr w:type="spellEnd"/>
            <w:r>
              <w:rPr>
                <w:bCs/>
                <w:color w:val="000000"/>
                <w:sz w:val="20"/>
                <w:szCs w:val="20"/>
              </w:rPr>
              <w:t xml:space="preserve"> </w:t>
            </w:r>
          </w:p>
          <w:p w:rsidR="005B3ABD" w:rsidRDefault="003F2B6A">
            <w:pPr>
              <w:snapToGrid w:val="0"/>
              <w:jc w:val="both"/>
              <w:rPr>
                <w:bCs/>
                <w:color w:val="000000"/>
                <w:sz w:val="20"/>
                <w:szCs w:val="20"/>
              </w:rPr>
            </w:pPr>
            <w:r>
              <w:rPr>
                <w:bCs/>
                <w:color w:val="000000"/>
                <w:sz w:val="20"/>
                <w:szCs w:val="20"/>
              </w:rPr>
              <w:t>Town</w:t>
            </w:r>
          </w:p>
        </w:tc>
        <w:tc>
          <w:tcPr>
            <w:tcW w:w="1410" w:type="dxa"/>
            <w:tcBorders>
              <w:top w:val="single" w:sz="8" w:space="0" w:color="000000"/>
              <w:left w:val="nil"/>
              <w:bottom w:val="single" w:sz="8" w:space="0" w:color="000000"/>
              <w:right w:val="nil"/>
            </w:tcBorders>
            <w:shd w:val="clear" w:color="auto" w:fill="FFFFFF"/>
          </w:tcPr>
          <w:p w:rsidR="005B3ABD" w:rsidRDefault="003F2B6A">
            <w:pPr>
              <w:snapToGrid w:val="0"/>
              <w:jc w:val="both"/>
              <w:rPr>
                <w:bCs/>
                <w:color w:val="000000"/>
                <w:sz w:val="20"/>
                <w:szCs w:val="20"/>
              </w:rPr>
            </w:pPr>
            <w:proofErr w:type="spellStart"/>
            <w:r>
              <w:rPr>
                <w:bCs/>
                <w:color w:val="000000"/>
                <w:sz w:val="20"/>
                <w:szCs w:val="20"/>
              </w:rPr>
              <w:t>Orogun</w:t>
            </w:r>
            <w:proofErr w:type="spellEnd"/>
            <w:r>
              <w:rPr>
                <w:bCs/>
                <w:color w:val="000000"/>
                <w:sz w:val="20"/>
                <w:szCs w:val="20"/>
              </w:rPr>
              <w:t xml:space="preserve"> </w:t>
            </w:r>
          </w:p>
          <w:p w:rsidR="005B3ABD" w:rsidRDefault="003F2B6A">
            <w:pPr>
              <w:snapToGrid w:val="0"/>
              <w:jc w:val="both"/>
              <w:rPr>
                <w:bCs/>
                <w:color w:val="000000"/>
                <w:sz w:val="20"/>
                <w:szCs w:val="20"/>
              </w:rPr>
            </w:pPr>
            <w:r>
              <w:rPr>
                <w:bCs/>
                <w:color w:val="000000"/>
                <w:sz w:val="20"/>
                <w:szCs w:val="20"/>
              </w:rPr>
              <w:t>Town</w:t>
            </w:r>
          </w:p>
        </w:tc>
        <w:tc>
          <w:tcPr>
            <w:tcW w:w="1470" w:type="dxa"/>
            <w:tcBorders>
              <w:top w:val="single" w:sz="8" w:space="0" w:color="000000"/>
              <w:left w:val="nil"/>
              <w:bottom w:val="single" w:sz="8" w:space="0" w:color="000000"/>
              <w:right w:val="nil"/>
            </w:tcBorders>
            <w:shd w:val="clear" w:color="auto" w:fill="FFFFFF"/>
          </w:tcPr>
          <w:p w:rsidR="005B3ABD" w:rsidRDefault="003F2B6A">
            <w:pPr>
              <w:snapToGrid w:val="0"/>
              <w:jc w:val="both"/>
              <w:rPr>
                <w:bCs/>
                <w:color w:val="000000"/>
                <w:sz w:val="20"/>
                <w:szCs w:val="20"/>
              </w:rPr>
            </w:pPr>
            <w:proofErr w:type="spellStart"/>
            <w:r>
              <w:rPr>
                <w:bCs/>
                <w:color w:val="000000"/>
                <w:sz w:val="20"/>
                <w:szCs w:val="20"/>
              </w:rPr>
              <w:t>Sasa</w:t>
            </w:r>
            <w:proofErr w:type="spellEnd"/>
            <w:r>
              <w:rPr>
                <w:bCs/>
                <w:color w:val="000000"/>
                <w:sz w:val="20"/>
                <w:szCs w:val="20"/>
              </w:rPr>
              <w:t xml:space="preserve"> </w:t>
            </w:r>
          </w:p>
          <w:p w:rsidR="005B3ABD" w:rsidRDefault="003F2B6A">
            <w:pPr>
              <w:snapToGrid w:val="0"/>
              <w:jc w:val="both"/>
              <w:rPr>
                <w:bCs/>
                <w:color w:val="000000"/>
                <w:sz w:val="20"/>
                <w:szCs w:val="20"/>
              </w:rPr>
            </w:pPr>
            <w:r>
              <w:rPr>
                <w:bCs/>
                <w:color w:val="000000"/>
                <w:sz w:val="20"/>
                <w:szCs w:val="20"/>
              </w:rPr>
              <w:t>Town</w:t>
            </w:r>
          </w:p>
        </w:tc>
        <w:tc>
          <w:tcPr>
            <w:tcW w:w="1275" w:type="dxa"/>
            <w:tcBorders>
              <w:top w:val="single" w:sz="8" w:space="0" w:color="000000"/>
              <w:left w:val="nil"/>
              <w:bottom w:val="single" w:sz="8" w:space="0" w:color="000000"/>
              <w:right w:val="nil"/>
            </w:tcBorders>
            <w:shd w:val="clear" w:color="auto" w:fill="FFFFFF"/>
          </w:tcPr>
          <w:p w:rsidR="005B3ABD" w:rsidRDefault="003F2B6A">
            <w:pPr>
              <w:snapToGrid w:val="0"/>
              <w:jc w:val="both"/>
              <w:rPr>
                <w:bCs/>
                <w:color w:val="000000"/>
                <w:sz w:val="20"/>
                <w:szCs w:val="20"/>
              </w:rPr>
            </w:pPr>
            <w:r>
              <w:rPr>
                <w:bCs/>
                <w:color w:val="000000"/>
                <w:sz w:val="20"/>
                <w:szCs w:val="20"/>
              </w:rPr>
              <w:t xml:space="preserve">FDN Ref. </w:t>
            </w:r>
          </w:p>
          <w:p w:rsidR="005B3ABD" w:rsidRDefault="003F2B6A">
            <w:pPr>
              <w:snapToGrid w:val="0"/>
              <w:jc w:val="both"/>
              <w:rPr>
                <w:bCs/>
                <w:color w:val="000000"/>
                <w:sz w:val="20"/>
                <w:szCs w:val="20"/>
              </w:rPr>
            </w:pPr>
            <w:r>
              <w:rPr>
                <w:bCs/>
                <w:color w:val="000000"/>
                <w:sz w:val="20"/>
                <w:szCs w:val="20"/>
              </w:rPr>
              <w:t xml:space="preserve">    </w:t>
            </w:r>
            <w:proofErr w:type="spellStart"/>
            <w:r>
              <w:rPr>
                <w:bCs/>
                <w:color w:val="000000"/>
                <w:sz w:val="20"/>
                <w:szCs w:val="20"/>
              </w:rPr>
              <w:t>Std</w:t>
            </w:r>
            <w:proofErr w:type="spellEnd"/>
          </w:p>
        </w:tc>
      </w:tr>
      <w:tr w:rsidR="005B3ABD">
        <w:trPr>
          <w:trHeight w:val="286"/>
        </w:trPr>
        <w:tc>
          <w:tcPr>
            <w:tcW w:w="1226" w:type="dxa"/>
            <w:tcBorders>
              <w:left w:val="nil"/>
              <w:right w:val="nil"/>
            </w:tcBorders>
            <w:shd w:val="clear" w:color="auto" w:fill="FFFFFF"/>
          </w:tcPr>
          <w:p w:rsidR="005B3ABD" w:rsidRDefault="003F2B6A">
            <w:pPr>
              <w:snapToGrid w:val="0"/>
              <w:jc w:val="both"/>
              <w:rPr>
                <w:bCs/>
                <w:color w:val="000000"/>
                <w:sz w:val="20"/>
                <w:szCs w:val="20"/>
              </w:rPr>
            </w:pPr>
            <w:r>
              <w:rPr>
                <w:bCs/>
                <w:color w:val="000000"/>
                <w:sz w:val="20"/>
                <w:szCs w:val="20"/>
              </w:rPr>
              <w:t>Calcium</w:t>
            </w:r>
          </w:p>
        </w:tc>
        <w:tc>
          <w:tcPr>
            <w:tcW w:w="1410" w:type="dxa"/>
            <w:tcBorders>
              <w:left w:val="nil"/>
              <w:right w:val="nil"/>
            </w:tcBorders>
            <w:shd w:val="clear" w:color="auto" w:fill="FFFFFF"/>
          </w:tcPr>
          <w:p w:rsidR="005B3ABD" w:rsidRDefault="003F2B6A">
            <w:pPr>
              <w:snapToGrid w:val="0"/>
              <w:jc w:val="both"/>
              <w:rPr>
                <w:color w:val="000000"/>
                <w:sz w:val="20"/>
                <w:szCs w:val="20"/>
              </w:rPr>
            </w:pPr>
            <w:r>
              <w:rPr>
                <w:color w:val="000000"/>
                <w:sz w:val="20"/>
                <w:szCs w:val="20"/>
              </w:rPr>
              <w:t>34.71 ± 0.58</w:t>
            </w:r>
            <w:r>
              <w:rPr>
                <w:color w:val="000000"/>
                <w:sz w:val="20"/>
                <w:szCs w:val="20"/>
                <w:vertAlign w:val="superscript"/>
              </w:rPr>
              <w:t>b</w:t>
            </w:r>
          </w:p>
        </w:tc>
        <w:tc>
          <w:tcPr>
            <w:tcW w:w="1350" w:type="dxa"/>
            <w:tcBorders>
              <w:left w:val="nil"/>
              <w:right w:val="nil"/>
            </w:tcBorders>
            <w:shd w:val="clear" w:color="auto" w:fill="FFFFFF"/>
          </w:tcPr>
          <w:p w:rsidR="005B3ABD" w:rsidRDefault="003F2B6A">
            <w:pPr>
              <w:snapToGrid w:val="0"/>
              <w:jc w:val="both"/>
              <w:rPr>
                <w:color w:val="000000"/>
                <w:sz w:val="20"/>
                <w:szCs w:val="20"/>
              </w:rPr>
            </w:pPr>
            <w:r>
              <w:rPr>
                <w:color w:val="000000"/>
                <w:sz w:val="20"/>
                <w:szCs w:val="20"/>
              </w:rPr>
              <w:t>32.11± 0.32</w:t>
            </w:r>
            <w:r>
              <w:rPr>
                <w:color w:val="000000"/>
                <w:sz w:val="20"/>
                <w:szCs w:val="20"/>
                <w:vertAlign w:val="superscript"/>
              </w:rPr>
              <w:t>ab</w:t>
            </w:r>
          </w:p>
        </w:tc>
        <w:tc>
          <w:tcPr>
            <w:tcW w:w="1485" w:type="dxa"/>
            <w:tcBorders>
              <w:left w:val="nil"/>
              <w:right w:val="nil"/>
            </w:tcBorders>
            <w:shd w:val="clear" w:color="auto" w:fill="FFFFFF"/>
          </w:tcPr>
          <w:p w:rsidR="005B3ABD" w:rsidRDefault="003F2B6A">
            <w:pPr>
              <w:snapToGrid w:val="0"/>
              <w:jc w:val="both"/>
              <w:rPr>
                <w:color w:val="000000"/>
                <w:sz w:val="20"/>
                <w:szCs w:val="20"/>
              </w:rPr>
            </w:pPr>
            <w:r>
              <w:rPr>
                <w:color w:val="000000"/>
                <w:sz w:val="20"/>
                <w:szCs w:val="20"/>
              </w:rPr>
              <w:t>39.74 ± 0.38</w:t>
            </w:r>
            <w:r>
              <w:rPr>
                <w:color w:val="000000"/>
                <w:sz w:val="20"/>
                <w:szCs w:val="20"/>
                <w:vertAlign w:val="superscript"/>
              </w:rPr>
              <w:t>cd</w:t>
            </w:r>
          </w:p>
        </w:tc>
        <w:tc>
          <w:tcPr>
            <w:tcW w:w="1410" w:type="dxa"/>
            <w:tcBorders>
              <w:left w:val="nil"/>
              <w:right w:val="nil"/>
            </w:tcBorders>
            <w:shd w:val="clear" w:color="auto" w:fill="FFFFFF"/>
          </w:tcPr>
          <w:p w:rsidR="005B3ABD" w:rsidRDefault="003F2B6A">
            <w:pPr>
              <w:snapToGrid w:val="0"/>
              <w:jc w:val="both"/>
              <w:rPr>
                <w:color w:val="000000"/>
                <w:sz w:val="20"/>
                <w:szCs w:val="20"/>
              </w:rPr>
            </w:pPr>
            <w:r>
              <w:rPr>
                <w:color w:val="000000"/>
                <w:sz w:val="20"/>
                <w:szCs w:val="20"/>
              </w:rPr>
              <w:t>37.38 ± 0.17</w:t>
            </w:r>
            <w:r>
              <w:rPr>
                <w:color w:val="000000"/>
                <w:sz w:val="20"/>
                <w:szCs w:val="20"/>
                <w:vertAlign w:val="superscript"/>
              </w:rPr>
              <w:t>c</w:t>
            </w:r>
          </w:p>
        </w:tc>
        <w:tc>
          <w:tcPr>
            <w:tcW w:w="1470" w:type="dxa"/>
            <w:tcBorders>
              <w:left w:val="nil"/>
              <w:right w:val="nil"/>
            </w:tcBorders>
            <w:shd w:val="clear" w:color="auto" w:fill="FFFFFF"/>
          </w:tcPr>
          <w:p w:rsidR="005B3ABD" w:rsidRDefault="003F2B6A">
            <w:pPr>
              <w:snapToGrid w:val="0"/>
              <w:jc w:val="both"/>
              <w:rPr>
                <w:color w:val="000000"/>
                <w:sz w:val="20"/>
                <w:szCs w:val="20"/>
              </w:rPr>
            </w:pPr>
            <w:r>
              <w:rPr>
                <w:color w:val="000000"/>
                <w:sz w:val="20"/>
                <w:szCs w:val="20"/>
              </w:rPr>
              <w:t>36.57 ± 0.26</w:t>
            </w:r>
            <w:r>
              <w:rPr>
                <w:color w:val="000000"/>
                <w:sz w:val="20"/>
                <w:szCs w:val="20"/>
                <w:vertAlign w:val="superscript"/>
              </w:rPr>
              <w:t>c</w:t>
            </w:r>
          </w:p>
        </w:tc>
        <w:tc>
          <w:tcPr>
            <w:tcW w:w="1275" w:type="dxa"/>
            <w:tcBorders>
              <w:left w:val="nil"/>
              <w:right w:val="nil"/>
            </w:tcBorders>
            <w:shd w:val="clear" w:color="auto" w:fill="FFFFFF"/>
          </w:tcPr>
          <w:p w:rsidR="005B3ABD" w:rsidRDefault="003F2B6A">
            <w:pPr>
              <w:snapToGrid w:val="0"/>
              <w:jc w:val="both"/>
              <w:rPr>
                <w:color w:val="000000"/>
                <w:sz w:val="20"/>
                <w:szCs w:val="20"/>
              </w:rPr>
            </w:pPr>
            <w:r>
              <w:rPr>
                <w:color w:val="000000"/>
                <w:sz w:val="20"/>
                <w:szCs w:val="20"/>
              </w:rPr>
              <w:t xml:space="preserve">30.0 ± </w:t>
            </w:r>
            <w:r>
              <w:rPr>
                <w:color w:val="000000"/>
                <w:sz w:val="20"/>
                <w:szCs w:val="20"/>
              </w:rPr>
              <w:t>0.00</w:t>
            </w:r>
            <w:r>
              <w:rPr>
                <w:color w:val="000000"/>
                <w:sz w:val="20"/>
                <w:szCs w:val="20"/>
                <w:vertAlign w:val="superscript"/>
              </w:rPr>
              <w:t>a</w:t>
            </w:r>
          </w:p>
        </w:tc>
      </w:tr>
      <w:tr w:rsidR="005B3ABD">
        <w:trPr>
          <w:trHeight w:val="316"/>
        </w:trPr>
        <w:tc>
          <w:tcPr>
            <w:tcW w:w="1226" w:type="dxa"/>
            <w:shd w:val="clear" w:color="auto" w:fill="FFFFFF"/>
          </w:tcPr>
          <w:p w:rsidR="005B3ABD" w:rsidRDefault="003F2B6A">
            <w:pPr>
              <w:snapToGrid w:val="0"/>
              <w:jc w:val="both"/>
              <w:rPr>
                <w:bCs/>
                <w:color w:val="000000"/>
                <w:sz w:val="20"/>
                <w:szCs w:val="20"/>
              </w:rPr>
            </w:pPr>
            <w:r>
              <w:rPr>
                <w:bCs/>
                <w:color w:val="000000"/>
                <w:sz w:val="20"/>
                <w:szCs w:val="20"/>
              </w:rPr>
              <w:t>Iron</w:t>
            </w:r>
          </w:p>
        </w:tc>
        <w:tc>
          <w:tcPr>
            <w:tcW w:w="1410" w:type="dxa"/>
            <w:shd w:val="clear" w:color="auto" w:fill="FFFFFF"/>
          </w:tcPr>
          <w:p w:rsidR="005B3ABD" w:rsidRDefault="003F2B6A">
            <w:pPr>
              <w:snapToGrid w:val="0"/>
              <w:jc w:val="both"/>
              <w:rPr>
                <w:color w:val="000000"/>
                <w:sz w:val="20"/>
                <w:szCs w:val="20"/>
                <w:vertAlign w:val="superscript"/>
              </w:rPr>
            </w:pPr>
            <w:r>
              <w:rPr>
                <w:color w:val="000000"/>
                <w:sz w:val="20"/>
                <w:szCs w:val="20"/>
              </w:rPr>
              <w:t>1.14 ± 0.01</w:t>
            </w:r>
            <w:r>
              <w:rPr>
                <w:color w:val="000000"/>
                <w:sz w:val="20"/>
                <w:szCs w:val="20"/>
                <w:vertAlign w:val="superscript"/>
              </w:rPr>
              <w:t>b</w:t>
            </w:r>
          </w:p>
        </w:tc>
        <w:tc>
          <w:tcPr>
            <w:tcW w:w="1350" w:type="dxa"/>
            <w:shd w:val="clear" w:color="auto" w:fill="FFFFFF"/>
          </w:tcPr>
          <w:p w:rsidR="005B3ABD" w:rsidRDefault="003F2B6A">
            <w:pPr>
              <w:snapToGrid w:val="0"/>
              <w:jc w:val="both"/>
              <w:rPr>
                <w:color w:val="000000"/>
                <w:sz w:val="20"/>
                <w:szCs w:val="20"/>
                <w:vertAlign w:val="superscript"/>
              </w:rPr>
            </w:pPr>
            <w:r>
              <w:rPr>
                <w:color w:val="000000"/>
                <w:sz w:val="20"/>
                <w:szCs w:val="20"/>
              </w:rPr>
              <w:t>1.03 ± 0.00</w:t>
            </w:r>
            <w:r>
              <w:rPr>
                <w:color w:val="000000"/>
                <w:sz w:val="20"/>
                <w:szCs w:val="20"/>
                <w:vertAlign w:val="superscript"/>
              </w:rPr>
              <w:t>b</w:t>
            </w:r>
          </w:p>
        </w:tc>
        <w:tc>
          <w:tcPr>
            <w:tcW w:w="1485" w:type="dxa"/>
            <w:shd w:val="clear" w:color="auto" w:fill="FFFFFF"/>
          </w:tcPr>
          <w:p w:rsidR="005B3ABD" w:rsidRDefault="003F2B6A">
            <w:pPr>
              <w:snapToGrid w:val="0"/>
              <w:jc w:val="both"/>
              <w:rPr>
                <w:color w:val="000000"/>
                <w:sz w:val="20"/>
                <w:szCs w:val="20"/>
                <w:vertAlign w:val="superscript"/>
              </w:rPr>
            </w:pPr>
            <w:r>
              <w:rPr>
                <w:color w:val="000000"/>
                <w:sz w:val="20"/>
                <w:szCs w:val="20"/>
              </w:rPr>
              <w:t>1.16 ± 0.03</w:t>
            </w:r>
            <w:r>
              <w:rPr>
                <w:color w:val="000000"/>
                <w:sz w:val="20"/>
                <w:szCs w:val="20"/>
                <w:vertAlign w:val="superscript"/>
              </w:rPr>
              <w:t>b</w:t>
            </w:r>
          </w:p>
        </w:tc>
        <w:tc>
          <w:tcPr>
            <w:tcW w:w="1410" w:type="dxa"/>
            <w:shd w:val="clear" w:color="auto" w:fill="FFFFFF"/>
          </w:tcPr>
          <w:p w:rsidR="005B3ABD" w:rsidRDefault="003F2B6A">
            <w:pPr>
              <w:snapToGrid w:val="0"/>
              <w:jc w:val="both"/>
              <w:rPr>
                <w:color w:val="000000"/>
                <w:sz w:val="20"/>
                <w:szCs w:val="20"/>
                <w:vertAlign w:val="superscript"/>
              </w:rPr>
            </w:pPr>
            <w:r>
              <w:rPr>
                <w:color w:val="000000"/>
                <w:sz w:val="20"/>
                <w:szCs w:val="20"/>
              </w:rPr>
              <w:t>1.25 ± 0. 01</w:t>
            </w:r>
            <w:r>
              <w:rPr>
                <w:color w:val="000000"/>
                <w:sz w:val="20"/>
                <w:szCs w:val="20"/>
                <w:vertAlign w:val="superscript"/>
              </w:rPr>
              <w:t>bc</w:t>
            </w:r>
          </w:p>
        </w:tc>
        <w:tc>
          <w:tcPr>
            <w:tcW w:w="1470" w:type="dxa"/>
            <w:shd w:val="clear" w:color="auto" w:fill="FFFFFF"/>
          </w:tcPr>
          <w:p w:rsidR="005B3ABD" w:rsidRDefault="003F2B6A">
            <w:pPr>
              <w:snapToGrid w:val="0"/>
              <w:jc w:val="both"/>
              <w:rPr>
                <w:color w:val="000000"/>
                <w:sz w:val="20"/>
                <w:szCs w:val="20"/>
                <w:vertAlign w:val="superscript"/>
              </w:rPr>
            </w:pPr>
            <w:r>
              <w:rPr>
                <w:color w:val="000000"/>
                <w:sz w:val="20"/>
                <w:szCs w:val="20"/>
              </w:rPr>
              <w:t>1.06 ± 0.03</w:t>
            </w:r>
            <w:r>
              <w:rPr>
                <w:color w:val="000000"/>
                <w:sz w:val="20"/>
                <w:szCs w:val="20"/>
                <w:vertAlign w:val="superscript"/>
              </w:rPr>
              <w:t>b</w:t>
            </w:r>
          </w:p>
        </w:tc>
        <w:tc>
          <w:tcPr>
            <w:tcW w:w="1275" w:type="dxa"/>
            <w:shd w:val="clear" w:color="auto" w:fill="FFFFFF"/>
          </w:tcPr>
          <w:p w:rsidR="005B3ABD" w:rsidRDefault="003F2B6A">
            <w:pPr>
              <w:snapToGrid w:val="0"/>
              <w:jc w:val="both"/>
              <w:rPr>
                <w:color w:val="000000"/>
                <w:sz w:val="20"/>
                <w:szCs w:val="20"/>
                <w:vertAlign w:val="superscript"/>
              </w:rPr>
            </w:pPr>
            <w:r>
              <w:rPr>
                <w:color w:val="000000"/>
                <w:sz w:val="20"/>
                <w:szCs w:val="20"/>
              </w:rPr>
              <w:t>0.61 ± 0.00</w:t>
            </w:r>
            <w:r>
              <w:rPr>
                <w:color w:val="000000"/>
                <w:sz w:val="20"/>
                <w:szCs w:val="20"/>
                <w:vertAlign w:val="superscript"/>
              </w:rPr>
              <w:t>a</w:t>
            </w:r>
          </w:p>
        </w:tc>
      </w:tr>
      <w:tr w:rsidR="005B3ABD">
        <w:trPr>
          <w:trHeight w:val="286"/>
        </w:trPr>
        <w:tc>
          <w:tcPr>
            <w:tcW w:w="1226" w:type="dxa"/>
            <w:tcBorders>
              <w:left w:val="nil"/>
              <w:right w:val="nil"/>
            </w:tcBorders>
            <w:shd w:val="clear" w:color="auto" w:fill="FFFFFF"/>
          </w:tcPr>
          <w:p w:rsidR="005B3ABD" w:rsidRDefault="003F2B6A">
            <w:pPr>
              <w:snapToGrid w:val="0"/>
              <w:jc w:val="both"/>
              <w:rPr>
                <w:bCs/>
                <w:color w:val="000000"/>
                <w:sz w:val="20"/>
                <w:szCs w:val="20"/>
              </w:rPr>
            </w:pPr>
            <w:r>
              <w:rPr>
                <w:bCs/>
                <w:color w:val="000000"/>
                <w:sz w:val="20"/>
                <w:szCs w:val="20"/>
              </w:rPr>
              <w:t xml:space="preserve">Zinc </w:t>
            </w:r>
          </w:p>
        </w:tc>
        <w:tc>
          <w:tcPr>
            <w:tcW w:w="1410" w:type="dxa"/>
            <w:tcBorders>
              <w:left w:val="nil"/>
              <w:right w:val="nil"/>
            </w:tcBorders>
            <w:shd w:val="clear" w:color="auto" w:fill="FFFFFF"/>
          </w:tcPr>
          <w:p w:rsidR="005B3ABD" w:rsidRDefault="003F2B6A">
            <w:pPr>
              <w:snapToGrid w:val="0"/>
              <w:jc w:val="both"/>
              <w:rPr>
                <w:color w:val="000000"/>
                <w:sz w:val="20"/>
                <w:szCs w:val="20"/>
              </w:rPr>
            </w:pPr>
            <w:r>
              <w:rPr>
                <w:color w:val="000000"/>
                <w:sz w:val="20"/>
                <w:szCs w:val="20"/>
              </w:rPr>
              <w:t>0.97 ± 0.02</w:t>
            </w:r>
            <w:r>
              <w:rPr>
                <w:color w:val="000000"/>
                <w:sz w:val="20"/>
                <w:szCs w:val="20"/>
                <w:vertAlign w:val="superscript"/>
              </w:rPr>
              <w:t>bc</w:t>
            </w:r>
          </w:p>
        </w:tc>
        <w:tc>
          <w:tcPr>
            <w:tcW w:w="1350" w:type="dxa"/>
            <w:tcBorders>
              <w:left w:val="nil"/>
              <w:right w:val="nil"/>
            </w:tcBorders>
            <w:shd w:val="clear" w:color="auto" w:fill="FFFFFF"/>
          </w:tcPr>
          <w:p w:rsidR="005B3ABD" w:rsidRDefault="003F2B6A">
            <w:pPr>
              <w:snapToGrid w:val="0"/>
              <w:jc w:val="both"/>
              <w:rPr>
                <w:color w:val="000000"/>
                <w:sz w:val="20"/>
                <w:szCs w:val="20"/>
              </w:rPr>
            </w:pPr>
            <w:r>
              <w:rPr>
                <w:color w:val="000000"/>
                <w:sz w:val="20"/>
                <w:szCs w:val="20"/>
              </w:rPr>
              <w:t>0.85 ± 0.00</w:t>
            </w:r>
            <w:r>
              <w:rPr>
                <w:color w:val="000000"/>
                <w:sz w:val="20"/>
                <w:szCs w:val="20"/>
                <w:vertAlign w:val="superscript"/>
              </w:rPr>
              <w:t>b</w:t>
            </w:r>
          </w:p>
        </w:tc>
        <w:tc>
          <w:tcPr>
            <w:tcW w:w="1485" w:type="dxa"/>
            <w:tcBorders>
              <w:left w:val="nil"/>
              <w:right w:val="nil"/>
            </w:tcBorders>
            <w:shd w:val="clear" w:color="auto" w:fill="FFFFFF"/>
          </w:tcPr>
          <w:p w:rsidR="005B3ABD" w:rsidRDefault="003F2B6A">
            <w:pPr>
              <w:snapToGrid w:val="0"/>
              <w:jc w:val="both"/>
              <w:rPr>
                <w:color w:val="000000"/>
                <w:sz w:val="20"/>
                <w:szCs w:val="20"/>
              </w:rPr>
            </w:pPr>
            <w:r>
              <w:rPr>
                <w:color w:val="000000"/>
                <w:sz w:val="20"/>
                <w:szCs w:val="20"/>
              </w:rPr>
              <w:t>1.02 ± 0.01</w:t>
            </w:r>
            <w:r>
              <w:rPr>
                <w:color w:val="000000"/>
                <w:sz w:val="20"/>
                <w:szCs w:val="20"/>
                <w:vertAlign w:val="superscript"/>
              </w:rPr>
              <w:t>c</w:t>
            </w:r>
          </w:p>
        </w:tc>
        <w:tc>
          <w:tcPr>
            <w:tcW w:w="1410" w:type="dxa"/>
            <w:tcBorders>
              <w:left w:val="nil"/>
              <w:right w:val="nil"/>
            </w:tcBorders>
            <w:shd w:val="clear" w:color="auto" w:fill="FFFFFF"/>
          </w:tcPr>
          <w:p w:rsidR="005B3ABD" w:rsidRDefault="003F2B6A">
            <w:pPr>
              <w:snapToGrid w:val="0"/>
              <w:jc w:val="both"/>
              <w:rPr>
                <w:color w:val="000000"/>
                <w:sz w:val="20"/>
                <w:szCs w:val="20"/>
              </w:rPr>
            </w:pPr>
            <w:r>
              <w:rPr>
                <w:color w:val="000000"/>
                <w:sz w:val="20"/>
                <w:szCs w:val="20"/>
              </w:rPr>
              <w:t>1.01 ± 0.00</w:t>
            </w:r>
            <w:r>
              <w:rPr>
                <w:color w:val="000000"/>
                <w:sz w:val="20"/>
                <w:szCs w:val="20"/>
                <w:vertAlign w:val="superscript"/>
              </w:rPr>
              <w:t>c</w:t>
            </w:r>
          </w:p>
        </w:tc>
        <w:tc>
          <w:tcPr>
            <w:tcW w:w="1470" w:type="dxa"/>
            <w:tcBorders>
              <w:left w:val="nil"/>
              <w:right w:val="nil"/>
            </w:tcBorders>
            <w:shd w:val="clear" w:color="auto" w:fill="FFFFFF"/>
          </w:tcPr>
          <w:p w:rsidR="005B3ABD" w:rsidRDefault="003F2B6A">
            <w:pPr>
              <w:snapToGrid w:val="0"/>
              <w:jc w:val="both"/>
              <w:rPr>
                <w:color w:val="000000"/>
                <w:sz w:val="20"/>
                <w:szCs w:val="20"/>
              </w:rPr>
            </w:pPr>
            <w:r>
              <w:rPr>
                <w:color w:val="000000"/>
                <w:sz w:val="20"/>
                <w:szCs w:val="20"/>
              </w:rPr>
              <w:t>0.98 ± 0.02</w:t>
            </w:r>
            <w:r>
              <w:rPr>
                <w:color w:val="000000"/>
                <w:sz w:val="20"/>
                <w:szCs w:val="20"/>
                <w:vertAlign w:val="superscript"/>
              </w:rPr>
              <w:t>bc</w:t>
            </w:r>
          </w:p>
        </w:tc>
        <w:tc>
          <w:tcPr>
            <w:tcW w:w="1275" w:type="dxa"/>
            <w:tcBorders>
              <w:left w:val="nil"/>
              <w:right w:val="nil"/>
            </w:tcBorders>
            <w:shd w:val="clear" w:color="auto" w:fill="FFFFFF"/>
          </w:tcPr>
          <w:p w:rsidR="005B3ABD" w:rsidRDefault="003F2B6A">
            <w:pPr>
              <w:snapToGrid w:val="0"/>
              <w:jc w:val="both"/>
              <w:rPr>
                <w:color w:val="000000"/>
                <w:sz w:val="20"/>
                <w:szCs w:val="20"/>
              </w:rPr>
            </w:pPr>
            <w:r>
              <w:rPr>
                <w:color w:val="000000"/>
                <w:sz w:val="20"/>
                <w:szCs w:val="20"/>
              </w:rPr>
              <w:t>0.30 ± 0.00</w:t>
            </w:r>
            <w:r>
              <w:rPr>
                <w:color w:val="000000"/>
                <w:sz w:val="20"/>
                <w:szCs w:val="20"/>
                <w:vertAlign w:val="superscript"/>
              </w:rPr>
              <w:t>a</w:t>
            </w:r>
          </w:p>
        </w:tc>
      </w:tr>
      <w:tr w:rsidR="005B3ABD">
        <w:trPr>
          <w:trHeight w:val="286"/>
        </w:trPr>
        <w:tc>
          <w:tcPr>
            <w:tcW w:w="1226" w:type="dxa"/>
            <w:shd w:val="clear" w:color="auto" w:fill="FFFFFF"/>
          </w:tcPr>
          <w:p w:rsidR="005B3ABD" w:rsidRDefault="003F2B6A">
            <w:pPr>
              <w:snapToGrid w:val="0"/>
              <w:jc w:val="both"/>
              <w:rPr>
                <w:bCs/>
                <w:color w:val="000000"/>
                <w:sz w:val="20"/>
                <w:szCs w:val="20"/>
              </w:rPr>
            </w:pPr>
            <w:r>
              <w:rPr>
                <w:bCs/>
                <w:color w:val="000000"/>
                <w:sz w:val="20"/>
                <w:szCs w:val="20"/>
              </w:rPr>
              <w:t>Sodium</w:t>
            </w:r>
          </w:p>
        </w:tc>
        <w:tc>
          <w:tcPr>
            <w:tcW w:w="1410" w:type="dxa"/>
            <w:shd w:val="clear" w:color="auto" w:fill="FFFFFF"/>
          </w:tcPr>
          <w:p w:rsidR="005B3ABD" w:rsidRDefault="003F2B6A">
            <w:pPr>
              <w:snapToGrid w:val="0"/>
              <w:jc w:val="both"/>
              <w:rPr>
                <w:color w:val="000000"/>
                <w:sz w:val="20"/>
                <w:szCs w:val="20"/>
              </w:rPr>
            </w:pPr>
            <w:r>
              <w:rPr>
                <w:color w:val="000000"/>
                <w:sz w:val="20"/>
                <w:szCs w:val="20"/>
              </w:rPr>
              <w:t>42.11 ± 0.00</w:t>
            </w:r>
            <w:r>
              <w:rPr>
                <w:color w:val="000000"/>
                <w:sz w:val="20"/>
                <w:szCs w:val="20"/>
                <w:vertAlign w:val="superscript"/>
              </w:rPr>
              <w:t>c</w:t>
            </w:r>
          </w:p>
        </w:tc>
        <w:tc>
          <w:tcPr>
            <w:tcW w:w="1350" w:type="dxa"/>
            <w:shd w:val="clear" w:color="auto" w:fill="FFFFFF"/>
          </w:tcPr>
          <w:p w:rsidR="005B3ABD" w:rsidRDefault="003F2B6A">
            <w:pPr>
              <w:snapToGrid w:val="0"/>
              <w:jc w:val="both"/>
              <w:rPr>
                <w:color w:val="000000"/>
                <w:sz w:val="20"/>
                <w:szCs w:val="20"/>
              </w:rPr>
            </w:pPr>
            <w:r>
              <w:rPr>
                <w:color w:val="000000"/>
                <w:sz w:val="20"/>
                <w:szCs w:val="20"/>
              </w:rPr>
              <w:t>35.06 ± 0.01</w:t>
            </w:r>
            <w:r>
              <w:rPr>
                <w:color w:val="000000"/>
                <w:sz w:val="20"/>
                <w:szCs w:val="20"/>
                <w:vertAlign w:val="superscript"/>
              </w:rPr>
              <w:t>b</w:t>
            </w:r>
          </w:p>
        </w:tc>
        <w:tc>
          <w:tcPr>
            <w:tcW w:w="1485" w:type="dxa"/>
            <w:shd w:val="clear" w:color="auto" w:fill="FFFFFF"/>
          </w:tcPr>
          <w:p w:rsidR="005B3ABD" w:rsidRDefault="003F2B6A">
            <w:pPr>
              <w:snapToGrid w:val="0"/>
              <w:jc w:val="both"/>
              <w:rPr>
                <w:color w:val="000000"/>
                <w:sz w:val="20"/>
                <w:szCs w:val="20"/>
              </w:rPr>
            </w:pPr>
            <w:r>
              <w:rPr>
                <w:color w:val="000000"/>
                <w:sz w:val="20"/>
                <w:szCs w:val="20"/>
              </w:rPr>
              <w:t>47.50 ± 0. 01</w:t>
            </w:r>
            <w:r>
              <w:rPr>
                <w:color w:val="000000"/>
                <w:sz w:val="20"/>
                <w:szCs w:val="20"/>
                <w:vertAlign w:val="superscript"/>
              </w:rPr>
              <w:t>d</w:t>
            </w:r>
          </w:p>
        </w:tc>
        <w:tc>
          <w:tcPr>
            <w:tcW w:w="1410" w:type="dxa"/>
            <w:shd w:val="clear" w:color="auto" w:fill="FFFFFF"/>
          </w:tcPr>
          <w:p w:rsidR="005B3ABD" w:rsidRDefault="003F2B6A">
            <w:pPr>
              <w:snapToGrid w:val="0"/>
              <w:jc w:val="both"/>
              <w:rPr>
                <w:color w:val="000000"/>
                <w:sz w:val="20"/>
                <w:szCs w:val="20"/>
              </w:rPr>
            </w:pPr>
            <w:r>
              <w:rPr>
                <w:color w:val="000000"/>
                <w:sz w:val="20"/>
                <w:szCs w:val="20"/>
              </w:rPr>
              <w:t>43.24± 0.00</w:t>
            </w:r>
            <w:r>
              <w:rPr>
                <w:color w:val="000000"/>
                <w:sz w:val="20"/>
                <w:szCs w:val="20"/>
                <w:vertAlign w:val="superscript"/>
              </w:rPr>
              <w:t>cd</w:t>
            </w:r>
          </w:p>
        </w:tc>
        <w:tc>
          <w:tcPr>
            <w:tcW w:w="1470" w:type="dxa"/>
            <w:shd w:val="clear" w:color="auto" w:fill="FFFFFF"/>
          </w:tcPr>
          <w:p w:rsidR="005B3ABD" w:rsidRDefault="003F2B6A">
            <w:pPr>
              <w:snapToGrid w:val="0"/>
              <w:jc w:val="both"/>
              <w:rPr>
                <w:color w:val="000000"/>
                <w:sz w:val="20"/>
                <w:szCs w:val="20"/>
              </w:rPr>
            </w:pPr>
            <w:r>
              <w:rPr>
                <w:color w:val="000000"/>
                <w:sz w:val="20"/>
                <w:szCs w:val="20"/>
              </w:rPr>
              <w:t>37.39 ± 0.00</w:t>
            </w:r>
            <w:r>
              <w:rPr>
                <w:color w:val="000000"/>
                <w:sz w:val="20"/>
                <w:szCs w:val="20"/>
                <w:vertAlign w:val="superscript"/>
              </w:rPr>
              <w:t>b</w:t>
            </w:r>
          </w:p>
        </w:tc>
        <w:tc>
          <w:tcPr>
            <w:tcW w:w="1275" w:type="dxa"/>
            <w:shd w:val="clear" w:color="auto" w:fill="FFFFFF"/>
          </w:tcPr>
          <w:p w:rsidR="005B3ABD" w:rsidRDefault="003F2B6A">
            <w:pPr>
              <w:snapToGrid w:val="0"/>
              <w:jc w:val="both"/>
              <w:rPr>
                <w:color w:val="000000"/>
                <w:sz w:val="20"/>
                <w:szCs w:val="20"/>
              </w:rPr>
            </w:pPr>
            <w:r>
              <w:rPr>
                <w:color w:val="000000"/>
                <w:sz w:val="20"/>
                <w:szCs w:val="20"/>
              </w:rPr>
              <w:t>5.0 ± 0.00</w:t>
            </w:r>
            <w:r>
              <w:rPr>
                <w:color w:val="000000"/>
                <w:sz w:val="20"/>
                <w:szCs w:val="20"/>
                <w:vertAlign w:val="superscript"/>
              </w:rPr>
              <w:t>a</w:t>
            </w:r>
          </w:p>
        </w:tc>
      </w:tr>
      <w:tr w:rsidR="005B3ABD">
        <w:trPr>
          <w:trHeight w:val="379"/>
        </w:trPr>
        <w:tc>
          <w:tcPr>
            <w:tcW w:w="1226" w:type="dxa"/>
            <w:tcBorders>
              <w:left w:val="nil"/>
              <w:right w:val="nil"/>
            </w:tcBorders>
            <w:shd w:val="clear" w:color="auto" w:fill="FFFFFF"/>
          </w:tcPr>
          <w:p w:rsidR="005B3ABD" w:rsidRDefault="003F2B6A">
            <w:pPr>
              <w:snapToGrid w:val="0"/>
              <w:jc w:val="both"/>
              <w:rPr>
                <w:bCs/>
                <w:color w:val="000000"/>
                <w:sz w:val="20"/>
                <w:szCs w:val="20"/>
              </w:rPr>
            </w:pPr>
            <w:r>
              <w:rPr>
                <w:bCs/>
                <w:color w:val="000000"/>
                <w:sz w:val="20"/>
                <w:szCs w:val="20"/>
              </w:rPr>
              <w:t xml:space="preserve">Phosphorus </w:t>
            </w:r>
          </w:p>
        </w:tc>
        <w:tc>
          <w:tcPr>
            <w:tcW w:w="1410" w:type="dxa"/>
            <w:tcBorders>
              <w:left w:val="nil"/>
              <w:right w:val="nil"/>
            </w:tcBorders>
            <w:shd w:val="clear" w:color="auto" w:fill="FFFFFF"/>
          </w:tcPr>
          <w:p w:rsidR="005B3ABD" w:rsidRDefault="003F2B6A">
            <w:pPr>
              <w:snapToGrid w:val="0"/>
              <w:jc w:val="both"/>
              <w:rPr>
                <w:color w:val="000000"/>
                <w:sz w:val="20"/>
                <w:szCs w:val="20"/>
                <w:vertAlign w:val="superscript"/>
              </w:rPr>
            </w:pPr>
            <w:r>
              <w:rPr>
                <w:color w:val="000000"/>
                <w:sz w:val="20"/>
                <w:szCs w:val="20"/>
              </w:rPr>
              <w:t>51.23 ± 0.23</w:t>
            </w:r>
            <w:r>
              <w:rPr>
                <w:color w:val="000000"/>
                <w:sz w:val="20"/>
                <w:szCs w:val="20"/>
                <w:vertAlign w:val="superscript"/>
              </w:rPr>
              <w:t>b</w:t>
            </w:r>
          </w:p>
        </w:tc>
        <w:tc>
          <w:tcPr>
            <w:tcW w:w="1350" w:type="dxa"/>
            <w:tcBorders>
              <w:left w:val="nil"/>
              <w:right w:val="nil"/>
            </w:tcBorders>
            <w:shd w:val="clear" w:color="auto" w:fill="FFFFFF"/>
          </w:tcPr>
          <w:p w:rsidR="005B3ABD" w:rsidRDefault="003F2B6A">
            <w:pPr>
              <w:snapToGrid w:val="0"/>
              <w:jc w:val="both"/>
              <w:rPr>
                <w:color w:val="000000"/>
                <w:sz w:val="20"/>
                <w:szCs w:val="20"/>
                <w:vertAlign w:val="superscript"/>
              </w:rPr>
            </w:pPr>
            <w:r>
              <w:rPr>
                <w:color w:val="000000"/>
                <w:sz w:val="20"/>
                <w:szCs w:val="20"/>
              </w:rPr>
              <w:t>53.26 ± 0.23</w:t>
            </w:r>
            <w:r>
              <w:rPr>
                <w:color w:val="000000"/>
                <w:sz w:val="20"/>
                <w:szCs w:val="20"/>
                <w:vertAlign w:val="superscript"/>
              </w:rPr>
              <w:t>c</w:t>
            </w:r>
          </w:p>
        </w:tc>
        <w:tc>
          <w:tcPr>
            <w:tcW w:w="1485" w:type="dxa"/>
            <w:tcBorders>
              <w:left w:val="nil"/>
              <w:right w:val="nil"/>
            </w:tcBorders>
            <w:shd w:val="clear" w:color="auto" w:fill="FFFFFF"/>
          </w:tcPr>
          <w:p w:rsidR="005B3ABD" w:rsidRDefault="003F2B6A">
            <w:pPr>
              <w:snapToGrid w:val="0"/>
              <w:jc w:val="both"/>
              <w:rPr>
                <w:color w:val="000000"/>
                <w:sz w:val="20"/>
                <w:szCs w:val="20"/>
                <w:vertAlign w:val="superscript"/>
              </w:rPr>
            </w:pPr>
            <w:r>
              <w:rPr>
                <w:color w:val="000000"/>
                <w:sz w:val="20"/>
                <w:szCs w:val="20"/>
              </w:rPr>
              <w:t>54.10 ± 0.22</w:t>
            </w:r>
            <w:r>
              <w:rPr>
                <w:color w:val="000000"/>
                <w:sz w:val="20"/>
                <w:szCs w:val="20"/>
                <w:vertAlign w:val="superscript"/>
              </w:rPr>
              <w:t>c</w:t>
            </w:r>
          </w:p>
        </w:tc>
        <w:tc>
          <w:tcPr>
            <w:tcW w:w="1410" w:type="dxa"/>
            <w:tcBorders>
              <w:left w:val="nil"/>
              <w:right w:val="nil"/>
            </w:tcBorders>
            <w:shd w:val="clear" w:color="auto" w:fill="FFFFFF"/>
          </w:tcPr>
          <w:p w:rsidR="005B3ABD" w:rsidRDefault="003F2B6A">
            <w:pPr>
              <w:snapToGrid w:val="0"/>
              <w:jc w:val="both"/>
              <w:rPr>
                <w:color w:val="000000"/>
                <w:sz w:val="20"/>
                <w:szCs w:val="20"/>
                <w:vertAlign w:val="superscript"/>
              </w:rPr>
            </w:pPr>
            <w:r>
              <w:rPr>
                <w:color w:val="000000"/>
                <w:sz w:val="20"/>
                <w:szCs w:val="20"/>
              </w:rPr>
              <w:t>52.12± 0.09</w:t>
            </w:r>
            <w:r>
              <w:rPr>
                <w:color w:val="000000"/>
                <w:sz w:val="20"/>
                <w:szCs w:val="20"/>
                <w:vertAlign w:val="superscript"/>
              </w:rPr>
              <w:t>bc</w:t>
            </w:r>
          </w:p>
        </w:tc>
        <w:tc>
          <w:tcPr>
            <w:tcW w:w="1470" w:type="dxa"/>
            <w:tcBorders>
              <w:left w:val="nil"/>
              <w:right w:val="nil"/>
            </w:tcBorders>
            <w:shd w:val="clear" w:color="auto" w:fill="FFFFFF"/>
          </w:tcPr>
          <w:p w:rsidR="005B3ABD" w:rsidRDefault="003F2B6A">
            <w:pPr>
              <w:snapToGrid w:val="0"/>
              <w:jc w:val="both"/>
              <w:rPr>
                <w:color w:val="000000"/>
                <w:sz w:val="20"/>
                <w:szCs w:val="20"/>
                <w:vertAlign w:val="superscript"/>
              </w:rPr>
            </w:pPr>
            <w:r>
              <w:rPr>
                <w:color w:val="000000"/>
                <w:sz w:val="20"/>
                <w:szCs w:val="20"/>
              </w:rPr>
              <w:t>52.43± 0.18</w:t>
            </w:r>
            <w:r>
              <w:rPr>
                <w:color w:val="000000"/>
                <w:sz w:val="20"/>
                <w:szCs w:val="20"/>
                <w:vertAlign w:val="superscript"/>
              </w:rPr>
              <w:t>bc</w:t>
            </w:r>
          </w:p>
        </w:tc>
        <w:tc>
          <w:tcPr>
            <w:tcW w:w="1275" w:type="dxa"/>
            <w:tcBorders>
              <w:left w:val="nil"/>
              <w:right w:val="nil"/>
            </w:tcBorders>
            <w:shd w:val="clear" w:color="auto" w:fill="FFFFFF"/>
          </w:tcPr>
          <w:p w:rsidR="005B3ABD" w:rsidRDefault="003F2B6A">
            <w:pPr>
              <w:snapToGrid w:val="0"/>
              <w:jc w:val="both"/>
              <w:rPr>
                <w:color w:val="000000"/>
                <w:sz w:val="20"/>
                <w:szCs w:val="20"/>
                <w:vertAlign w:val="superscript"/>
              </w:rPr>
            </w:pPr>
            <w:r>
              <w:rPr>
                <w:color w:val="000000"/>
                <w:sz w:val="20"/>
                <w:szCs w:val="20"/>
              </w:rPr>
              <w:t>47.0 ± 0.00</w:t>
            </w:r>
            <w:r>
              <w:rPr>
                <w:color w:val="000000"/>
                <w:sz w:val="20"/>
                <w:szCs w:val="20"/>
                <w:vertAlign w:val="superscript"/>
              </w:rPr>
              <w:t>a</w:t>
            </w:r>
          </w:p>
        </w:tc>
      </w:tr>
      <w:tr w:rsidR="005B3ABD">
        <w:trPr>
          <w:trHeight w:val="286"/>
        </w:trPr>
        <w:tc>
          <w:tcPr>
            <w:tcW w:w="1226" w:type="dxa"/>
            <w:shd w:val="clear" w:color="auto" w:fill="FFFFFF"/>
          </w:tcPr>
          <w:p w:rsidR="005B3ABD" w:rsidRDefault="003F2B6A">
            <w:pPr>
              <w:snapToGrid w:val="0"/>
              <w:jc w:val="both"/>
              <w:rPr>
                <w:bCs/>
                <w:color w:val="000000"/>
                <w:sz w:val="20"/>
                <w:szCs w:val="20"/>
              </w:rPr>
            </w:pPr>
            <w:r>
              <w:rPr>
                <w:bCs/>
                <w:color w:val="000000"/>
                <w:sz w:val="20"/>
                <w:szCs w:val="20"/>
              </w:rPr>
              <w:t xml:space="preserve">Magnesium </w:t>
            </w:r>
          </w:p>
        </w:tc>
        <w:tc>
          <w:tcPr>
            <w:tcW w:w="1410" w:type="dxa"/>
            <w:shd w:val="clear" w:color="auto" w:fill="FFFFFF"/>
          </w:tcPr>
          <w:p w:rsidR="005B3ABD" w:rsidRDefault="003F2B6A">
            <w:pPr>
              <w:snapToGrid w:val="0"/>
              <w:jc w:val="both"/>
              <w:rPr>
                <w:color w:val="000000"/>
                <w:sz w:val="20"/>
                <w:szCs w:val="20"/>
              </w:rPr>
            </w:pPr>
            <w:r>
              <w:rPr>
                <w:color w:val="000000"/>
                <w:sz w:val="20"/>
                <w:szCs w:val="20"/>
              </w:rPr>
              <w:t>38.77± 0.19</w:t>
            </w:r>
            <w:r>
              <w:rPr>
                <w:color w:val="000000"/>
                <w:sz w:val="20"/>
                <w:szCs w:val="20"/>
                <w:vertAlign w:val="superscript"/>
              </w:rPr>
              <w:t>bc</w:t>
            </w:r>
          </w:p>
        </w:tc>
        <w:tc>
          <w:tcPr>
            <w:tcW w:w="1350" w:type="dxa"/>
            <w:shd w:val="clear" w:color="auto" w:fill="FFFFFF"/>
          </w:tcPr>
          <w:p w:rsidR="005B3ABD" w:rsidRDefault="003F2B6A">
            <w:pPr>
              <w:snapToGrid w:val="0"/>
              <w:jc w:val="both"/>
              <w:rPr>
                <w:color w:val="000000"/>
                <w:sz w:val="20"/>
                <w:szCs w:val="20"/>
              </w:rPr>
            </w:pPr>
            <w:r>
              <w:rPr>
                <w:color w:val="000000"/>
                <w:sz w:val="20"/>
                <w:szCs w:val="20"/>
              </w:rPr>
              <w:t>37.13 ± 0.07</w:t>
            </w:r>
            <w:r>
              <w:rPr>
                <w:color w:val="000000"/>
                <w:sz w:val="20"/>
                <w:szCs w:val="20"/>
                <w:vertAlign w:val="superscript"/>
              </w:rPr>
              <w:t>b</w:t>
            </w:r>
          </w:p>
        </w:tc>
        <w:tc>
          <w:tcPr>
            <w:tcW w:w="1485" w:type="dxa"/>
            <w:shd w:val="clear" w:color="auto" w:fill="FFFFFF"/>
          </w:tcPr>
          <w:p w:rsidR="005B3ABD" w:rsidRDefault="003F2B6A">
            <w:pPr>
              <w:snapToGrid w:val="0"/>
              <w:jc w:val="both"/>
              <w:rPr>
                <w:color w:val="000000"/>
                <w:sz w:val="20"/>
                <w:szCs w:val="20"/>
              </w:rPr>
            </w:pPr>
            <w:r>
              <w:rPr>
                <w:color w:val="000000"/>
                <w:sz w:val="20"/>
                <w:szCs w:val="20"/>
              </w:rPr>
              <w:t>40.08 ± 0.00</w:t>
            </w:r>
            <w:r>
              <w:rPr>
                <w:color w:val="000000"/>
                <w:sz w:val="20"/>
                <w:szCs w:val="20"/>
                <w:vertAlign w:val="superscript"/>
              </w:rPr>
              <w:t>cd</w:t>
            </w:r>
          </w:p>
        </w:tc>
        <w:tc>
          <w:tcPr>
            <w:tcW w:w="1410" w:type="dxa"/>
            <w:shd w:val="clear" w:color="auto" w:fill="FFFFFF"/>
          </w:tcPr>
          <w:p w:rsidR="005B3ABD" w:rsidRDefault="003F2B6A">
            <w:pPr>
              <w:snapToGrid w:val="0"/>
              <w:jc w:val="both"/>
              <w:rPr>
                <w:color w:val="000000"/>
                <w:sz w:val="20"/>
                <w:szCs w:val="20"/>
              </w:rPr>
            </w:pPr>
            <w:r>
              <w:rPr>
                <w:color w:val="000000"/>
                <w:sz w:val="20"/>
                <w:szCs w:val="20"/>
              </w:rPr>
              <w:t>39.23 ± 0.06</w:t>
            </w:r>
            <w:r>
              <w:rPr>
                <w:color w:val="000000"/>
                <w:sz w:val="20"/>
                <w:szCs w:val="20"/>
                <w:vertAlign w:val="superscript"/>
              </w:rPr>
              <w:t>c</w:t>
            </w:r>
          </w:p>
        </w:tc>
        <w:tc>
          <w:tcPr>
            <w:tcW w:w="1470" w:type="dxa"/>
            <w:shd w:val="clear" w:color="auto" w:fill="FFFFFF"/>
          </w:tcPr>
          <w:p w:rsidR="005B3ABD" w:rsidRDefault="003F2B6A">
            <w:pPr>
              <w:snapToGrid w:val="0"/>
              <w:jc w:val="both"/>
              <w:rPr>
                <w:color w:val="000000"/>
                <w:sz w:val="20"/>
                <w:szCs w:val="20"/>
              </w:rPr>
            </w:pPr>
            <w:r>
              <w:rPr>
                <w:color w:val="000000"/>
                <w:sz w:val="20"/>
                <w:szCs w:val="20"/>
              </w:rPr>
              <w:t>40.14± 0.13</w:t>
            </w:r>
            <w:r>
              <w:rPr>
                <w:color w:val="000000"/>
                <w:sz w:val="20"/>
                <w:szCs w:val="20"/>
                <w:vertAlign w:val="superscript"/>
              </w:rPr>
              <w:t>cd</w:t>
            </w:r>
          </w:p>
        </w:tc>
        <w:tc>
          <w:tcPr>
            <w:tcW w:w="1275" w:type="dxa"/>
            <w:shd w:val="clear" w:color="auto" w:fill="FFFFFF"/>
          </w:tcPr>
          <w:p w:rsidR="005B3ABD" w:rsidRDefault="003F2B6A">
            <w:pPr>
              <w:snapToGrid w:val="0"/>
              <w:jc w:val="both"/>
              <w:rPr>
                <w:color w:val="000000"/>
                <w:sz w:val="20"/>
                <w:szCs w:val="20"/>
              </w:rPr>
            </w:pPr>
            <w:r>
              <w:rPr>
                <w:color w:val="000000"/>
                <w:sz w:val="20"/>
                <w:szCs w:val="20"/>
              </w:rPr>
              <w:t>25.0 ± 0.00</w:t>
            </w:r>
            <w:r>
              <w:rPr>
                <w:color w:val="000000"/>
                <w:sz w:val="20"/>
                <w:szCs w:val="20"/>
                <w:vertAlign w:val="superscript"/>
              </w:rPr>
              <w:t>a</w:t>
            </w:r>
          </w:p>
        </w:tc>
      </w:tr>
      <w:tr w:rsidR="005B3ABD">
        <w:trPr>
          <w:trHeight w:val="302"/>
        </w:trPr>
        <w:tc>
          <w:tcPr>
            <w:tcW w:w="1226" w:type="dxa"/>
            <w:tcBorders>
              <w:left w:val="nil"/>
              <w:right w:val="nil"/>
            </w:tcBorders>
            <w:shd w:val="clear" w:color="auto" w:fill="FFFFFF"/>
          </w:tcPr>
          <w:p w:rsidR="005B3ABD" w:rsidRDefault="003F2B6A">
            <w:pPr>
              <w:snapToGrid w:val="0"/>
              <w:jc w:val="both"/>
              <w:rPr>
                <w:bCs/>
                <w:color w:val="000000"/>
                <w:sz w:val="20"/>
                <w:szCs w:val="20"/>
              </w:rPr>
            </w:pPr>
            <w:r>
              <w:rPr>
                <w:bCs/>
                <w:color w:val="000000"/>
                <w:sz w:val="20"/>
                <w:szCs w:val="20"/>
              </w:rPr>
              <w:t>Potassium</w:t>
            </w:r>
          </w:p>
        </w:tc>
        <w:tc>
          <w:tcPr>
            <w:tcW w:w="1410" w:type="dxa"/>
            <w:tcBorders>
              <w:left w:val="nil"/>
              <w:right w:val="nil"/>
            </w:tcBorders>
            <w:shd w:val="clear" w:color="auto" w:fill="FFFFFF"/>
          </w:tcPr>
          <w:p w:rsidR="005B3ABD" w:rsidRDefault="003F2B6A">
            <w:pPr>
              <w:snapToGrid w:val="0"/>
              <w:jc w:val="both"/>
              <w:rPr>
                <w:color w:val="000000"/>
                <w:sz w:val="20"/>
                <w:szCs w:val="20"/>
              </w:rPr>
            </w:pPr>
            <w:r>
              <w:rPr>
                <w:color w:val="000000"/>
                <w:sz w:val="20"/>
                <w:szCs w:val="20"/>
              </w:rPr>
              <w:t>232.17± 0.98</w:t>
            </w:r>
            <w:r>
              <w:rPr>
                <w:color w:val="000000"/>
                <w:sz w:val="20"/>
                <w:szCs w:val="20"/>
                <w:vertAlign w:val="superscript"/>
              </w:rPr>
              <w:t>b</w:t>
            </w:r>
          </w:p>
        </w:tc>
        <w:tc>
          <w:tcPr>
            <w:tcW w:w="1350" w:type="dxa"/>
            <w:tcBorders>
              <w:left w:val="nil"/>
              <w:right w:val="nil"/>
            </w:tcBorders>
            <w:shd w:val="clear" w:color="auto" w:fill="FFFFFF"/>
          </w:tcPr>
          <w:p w:rsidR="005B3ABD" w:rsidRDefault="003F2B6A">
            <w:pPr>
              <w:snapToGrid w:val="0"/>
              <w:jc w:val="both"/>
              <w:rPr>
                <w:color w:val="000000"/>
                <w:sz w:val="20"/>
                <w:szCs w:val="20"/>
              </w:rPr>
            </w:pPr>
            <w:r>
              <w:rPr>
                <w:color w:val="000000"/>
                <w:sz w:val="20"/>
                <w:szCs w:val="20"/>
              </w:rPr>
              <w:t>240.08± 1.52</w:t>
            </w:r>
            <w:r>
              <w:rPr>
                <w:color w:val="000000"/>
                <w:sz w:val="20"/>
                <w:szCs w:val="20"/>
                <w:vertAlign w:val="superscript"/>
              </w:rPr>
              <w:t>b</w:t>
            </w:r>
          </w:p>
        </w:tc>
        <w:tc>
          <w:tcPr>
            <w:tcW w:w="1485" w:type="dxa"/>
            <w:tcBorders>
              <w:left w:val="nil"/>
              <w:right w:val="nil"/>
            </w:tcBorders>
            <w:shd w:val="clear" w:color="auto" w:fill="FFFFFF"/>
          </w:tcPr>
          <w:p w:rsidR="005B3ABD" w:rsidRDefault="003F2B6A">
            <w:pPr>
              <w:snapToGrid w:val="0"/>
              <w:jc w:val="both"/>
              <w:rPr>
                <w:color w:val="000000"/>
                <w:sz w:val="20"/>
                <w:szCs w:val="20"/>
              </w:rPr>
            </w:pPr>
            <w:r>
              <w:rPr>
                <w:color w:val="000000"/>
                <w:sz w:val="20"/>
                <w:szCs w:val="20"/>
              </w:rPr>
              <w:t xml:space="preserve">251.16± </w:t>
            </w:r>
            <w:r>
              <w:rPr>
                <w:color w:val="000000"/>
                <w:sz w:val="20"/>
                <w:szCs w:val="20"/>
              </w:rPr>
              <w:t>0.33</w:t>
            </w:r>
            <w:r>
              <w:rPr>
                <w:color w:val="000000"/>
                <w:sz w:val="20"/>
                <w:szCs w:val="20"/>
                <w:vertAlign w:val="superscript"/>
              </w:rPr>
              <w:t>b</w:t>
            </w:r>
          </w:p>
        </w:tc>
        <w:tc>
          <w:tcPr>
            <w:tcW w:w="1410" w:type="dxa"/>
            <w:tcBorders>
              <w:left w:val="nil"/>
              <w:right w:val="nil"/>
            </w:tcBorders>
            <w:shd w:val="clear" w:color="auto" w:fill="FFFFFF"/>
          </w:tcPr>
          <w:p w:rsidR="005B3ABD" w:rsidRDefault="003F2B6A">
            <w:pPr>
              <w:snapToGrid w:val="0"/>
              <w:jc w:val="both"/>
              <w:rPr>
                <w:color w:val="000000"/>
                <w:sz w:val="20"/>
                <w:szCs w:val="20"/>
              </w:rPr>
            </w:pPr>
            <w:r>
              <w:rPr>
                <w:color w:val="000000"/>
                <w:sz w:val="20"/>
                <w:szCs w:val="20"/>
              </w:rPr>
              <w:t>248.21±1.07</w:t>
            </w:r>
            <w:r>
              <w:rPr>
                <w:color w:val="000000"/>
                <w:sz w:val="20"/>
                <w:szCs w:val="20"/>
                <w:vertAlign w:val="superscript"/>
              </w:rPr>
              <w:t>ab</w:t>
            </w:r>
          </w:p>
        </w:tc>
        <w:tc>
          <w:tcPr>
            <w:tcW w:w="1470" w:type="dxa"/>
            <w:tcBorders>
              <w:left w:val="nil"/>
              <w:right w:val="nil"/>
            </w:tcBorders>
            <w:shd w:val="clear" w:color="auto" w:fill="FFFFFF"/>
          </w:tcPr>
          <w:p w:rsidR="005B3ABD" w:rsidRDefault="003F2B6A">
            <w:pPr>
              <w:snapToGrid w:val="0"/>
              <w:jc w:val="both"/>
              <w:rPr>
                <w:color w:val="000000"/>
                <w:sz w:val="20"/>
                <w:szCs w:val="20"/>
              </w:rPr>
            </w:pPr>
            <w:r>
              <w:rPr>
                <w:color w:val="000000"/>
                <w:sz w:val="20"/>
                <w:szCs w:val="20"/>
              </w:rPr>
              <w:t>235.34± 0.19</w:t>
            </w:r>
            <w:r>
              <w:rPr>
                <w:color w:val="000000"/>
                <w:sz w:val="20"/>
                <w:szCs w:val="20"/>
                <w:vertAlign w:val="superscript"/>
              </w:rPr>
              <w:t>b</w:t>
            </w:r>
          </w:p>
        </w:tc>
        <w:tc>
          <w:tcPr>
            <w:tcW w:w="1275" w:type="dxa"/>
            <w:tcBorders>
              <w:left w:val="nil"/>
              <w:right w:val="nil"/>
            </w:tcBorders>
            <w:shd w:val="clear" w:color="auto" w:fill="FFFFFF"/>
          </w:tcPr>
          <w:p w:rsidR="005B3ABD" w:rsidRDefault="003F2B6A">
            <w:pPr>
              <w:snapToGrid w:val="0"/>
              <w:jc w:val="both"/>
              <w:rPr>
                <w:color w:val="000000"/>
                <w:sz w:val="20"/>
                <w:szCs w:val="20"/>
              </w:rPr>
            </w:pPr>
            <w:r>
              <w:rPr>
                <w:color w:val="000000"/>
                <w:sz w:val="20"/>
                <w:szCs w:val="20"/>
              </w:rPr>
              <w:t>37.0 ± 0.00</w:t>
            </w:r>
            <w:r>
              <w:rPr>
                <w:color w:val="000000"/>
                <w:sz w:val="20"/>
                <w:szCs w:val="20"/>
                <w:vertAlign w:val="superscript"/>
              </w:rPr>
              <w:t>a</w:t>
            </w:r>
          </w:p>
        </w:tc>
      </w:tr>
      <w:tr w:rsidR="005B3ABD">
        <w:trPr>
          <w:trHeight w:val="302"/>
        </w:trPr>
        <w:tc>
          <w:tcPr>
            <w:tcW w:w="1226" w:type="dxa"/>
            <w:tcBorders>
              <w:left w:val="nil"/>
              <w:right w:val="nil"/>
            </w:tcBorders>
            <w:shd w:val="clear" w:color="auto" w:fill="FFFFFF"/>
          </w:tcPr>
          <w:p w:rsidR="005B3ABD" w:rsidRDefault="003F2B6A">
            <w:pPr>
              <w:snapToGrid w:val="0"/>
              <w:jc w:val="both"/>
              <w:rPr>
                <w:bCs/>
                <w:color w:val="000000"/>
                <w:sz w:val="20"/>
                <w:szCs w:val="20"/>
              </w:rPr>
            </w:pPr>
            <w:r>
              <w:rPr>
                <w:bCs/>
                <w:color w:val="000000"/>
                <w:sz w:val="20"/>
                <w:szCs w:val="20"/>
              </w:rPr>
              <w:t>Na : K</w:t>
            </w:r>
          </w:p>
        </w:tc>
        <w:tc>
          <w:tcPr>
            <w:tcW w:w="1410" w:type="dxa"/>
            <w:tcBorders>
              <w:left w:val="nil"/>
              <w:right w:val="nil"/>
            </w:tcBorders>
            <w:shd w:val="clear" w:color="auto" w:fill="FFFFFF"/>
          </w:tcPr>
          <w:p w:rsidR="005B3ABD" w:rsidRDefault="003F2B6A">
            <w:pPr>
              <w:snapToGrid w:val="0"/>
              <w:jc w:val="both"/>
              <w:rPr>
                <w:color w:val="000000"/>
                <w:sz w:val="20"/>
                <w:szCs w:val="20"/>
              </w:rPr>
            </w:pPr>
            <w:r>
              <w:rPr>
                <w:color w:val="000000"/>
                <w:sz w:val="20"/>
                <w:szCs w:val="20"/>
              </w:rPr>
              <w:t>0.18 ± 0.00</w:t>
            </w:r>
            <w:r>
              <w:rPr>
                <w:color w:val="000000"/>
                <w:sz w:val="20"/>
                <w:szCs w:val="20"/>
                <w:vertAlign w:val="superscript"/>
              </w:rPr>
              <w:t>bc</w:t>
            </w:r>
          </w:p>
        </w:tc>
        <w:tc>
          <w:tcPr>
            <w:tcW w:w="1350" w:type="dxa"/>
            <w:tcBorders>
              <w:left w:val="nil"/>
              <w:right w:val="nil"/>
            </w:tcBorders>
            <w:shd w:val="clear" w:color="auto" w:fill="FFFFFF"/>
          </w:tcPr>
          <w:p w:rsidR="005B3ABD" w:rsidRDefault="003F2B6A">
            <w:pPr>
              <w:snapToGrid w:val="0"/>
              <w:jc w:val="both"/>
              <w:rPr>
                <w:color w:val="000000"/>
                <w:sz w:val="20"/>
                <w:szCs w:val="20"/>
              </w:rPr>
            </w:pPr>
            <w:r>
              <w:rPr>
                <w:color w:val="000000"/>
                <w:sz w:val="20"/>
                <w:szCs w:val="20"/>
              </w:rPr>
              <w:t>0.15 ± 0.00</w:t>
            </w:r>
            <w:r>
              <w:rPr>
                <w:color w:val="000000"/>
                <w:sz w:val="20"/>
                <w:szCs w:val="20"/>
                <w:vertAlign w:val="superscript"/>
              </w:rPr>
              <w:t>a</w:t>
            </w:r>
          </w:p>
        </w:tc>
        <w:tc>
          <w:tcPr>
            <w:tcW w:w="1485" w:type="dxa"/>
            <w:tcBorders>
              <w:left w:val="nil"/>
              <w:right w:val="nil"/>
            </w:tcBorders>
            <w:shd w:val="clear" w:color="auto" w:fill="FFFFFF"/>
          </w:tcPr>
          <w:p w:rsidR="005B3ABD" w:rsidRDefault="003F2B6A">
            <w:pPr>
              <w:snapToGrid w:val="0"/>
              <w:jc w:val="both"/>
              <w:rPr>
                <w:color w:val="000000"/>
                <w:sz w:val="20"/>
                <w:szCs w:val="20"/>
              </w:rPr>
            </w:pPr>
            <w:r>
              <w:rPr>
                <w:color w:val="000000"/>
                <w:sz w:val="20"/>
                <w:szCs w:val="20"/>
              </w:rPr>
              <w:t>0.19 ± 0.00</w:t>
            </w:r>
            <w:r>
              <w:rPr>
                <w:color w:val="000000"/>
                <w:sz w:val="20"/>
                <w:szCs w:val="20"/>
                <w:vertAlign w:val="superscript"/>
              </w:rPr>
              <w:t>bc</w:t>
            </w:r>
          </w:p>
        </w:tc>
        <w:tc>
          <w:tcPr>
            <w:tcW w:w="1410" w:type="dxa"/>
            <w:tcBorders>
              <w:left w:val="nil"/>
              <w:right w:val="nil"/>
            </w:tcBorders>
            <w:shd w:val="clear" w:color="auto" w:fill="FFFFFF"/>
          </w:tcPr>
          <w:p w:rsidR="005B3ABD" w:rsidRDefault="003F2B6A">
            <w:pPr>
              <w:snapToGrid w:val="0"/>
              <w:jc w:val="both"/>
              <w:rPr>
                <w:color w:val="000000"/>
                <w:sz w:val="20"/>
                <w:szCs w:val="20"/>
              </w:rPr>
            </w:pPr>
            <w:r>
              <w:rPr>
                <w:color w:val="000000"/>
                <w:sz w:val="20"/>
                <w:szCs w:val="20"/>
              </w:rPr>
              <w:t>0.17 ± 0.00</w:t>
            </w:r>
            <w:r>
              <w:rPr>
                <w:color w:val="000000"/>
                <w:sz w:val="20"/>
                <w:szCs w:val="20"/>
                <w:vertAlign w:val="superscript"/>
              </w:rPr>
              <w:t>b</w:t>
            </w:r>
          </w:p>
        </w:tc>
        <w:tc>
          <w:tcPr>
            <w:tcW w:w="1470" w:type="dxa"/>
            <w:tcBorders>
              <w:left w:val="nil"/>
              <w:right w:val="nil"/>
            </w:tcBorders>
            <w:shd w:val="clear" w:color="auto" w:fill="FFFFFF"/>
          </w:tcPr>
          <w:p w:rsidR="005B3ABD" w:rsidRDefault="003F2B6A">
            <w:pPr>
              <w:snapToGrid w:val="0"/>
              <w:jc w:val="both"/>
              <w:rPr>
                <w:color w:val="000000"/>
                <w:sz w:val="20"/>
                <w:szCs w:val="20"/>
              </w:rPr>
            </w:pPr>
            <w:r>
              <w:rPr>
                <w:color w:val="000000"/>
                <w:sz w:val="20"/>
                <w:szCs w:val="20"/>
              </w:rPr>
              <w:t>0.16 ± 0.00</w:t>
            </w:r>
            <w:r>
              <w:rPr>
                <w:color w:val="000000"/>
                <w:sz w:val="20"/>
                <w:szCs w:val="20"/>
                <w:vertAlign w:val="superscript"/>
              </w:rPr>
              <w:t>ab</w:t>
            </w:r>
          </w:p>
        </w:tc>
        <w:tc>
          <w:tcPr>
            <w:tcW w:w="1275" w:type="dxa"/>
            <w:tcBorders>
              <w:left w:val="nil"/>
              <w:right w:val="nil"/>
            </w:tcBorders>
            <w:shd w:val="clear" w:color="auto" w:fill="FFFFFF"/>
          </w:tcPr>
          <w:p w:rsidR="005B3ABD" w:rsidRDefault="003F2B6A">
            <w:pPr>
              <w:snapToGrid w:val="0"/>
              <w:jc w:val="both"/>
              <w:rPr>
                <w:color w:val="000000"/>
                <w:sz w:val="20"/>
                <w:szCs w:val="20"/>
              </w:rPr>
            </w:pPr>
            <w:r>
              <w:rPr>
                <w:color w:val="000000"/>
                <w:sz w:val="20"/>
                <w:szCs w:val="20"/>
              </w:rPr>
              <w:t>0.14 ± 0.00</w:t>
            </w:r>
            <w:r>
              <w:rPr>
                <w:color w:val="000000"/>
                <w:sz w:val="20"/>
                <w:szCs w:val="20"/>
                <w:vertAlign w:val="superscript"/>
              </w:rPr>
              <w:t>a</w:t>
            </w:r>
          </w:p>
        </w:tc>
      </w:tr>
      <w:tr w:rsidR="005B3ABD">
        <w:trPr>
          <w:trHeight w:val="302"/>
        </w:trPr>
        <w:tc>
          <w:tcPr>
            <w:tcW w:w="1226" w:type="dxa"/>
            <w:tcBorders>
              <w:left w:val="nil"/>
              <w:right w:val="nil"/>
            </w:tcBorders>
            <w:shd w:val="clear" w:color="auto" w:fill="FFFFFF"/>
          </w:tcPr>
          <w:p w:rsidR="005B3ABD" w:rsidRDefault="003F2B6A">
            <w:pPr>
              <w:snapToGrid w:val="0"/>
              <w:jc w:val="both"/>
              <w:rPr>
                <w:bCs/>
                <w:color w:val="000000"/>
                <w:sz w:val="20"/>
                <w:szCs w:val="20"/>
              </w:rPr>
            </w:pPr>
            <w:r>
              <w:rPr>
                <w:bCs/>
                <w:color w:val="000000"/>
                <w:sz w:val="20"/>
                <w:szCs w:val="20"/>
              </w:rPr>
              <w:t>Ca : P</w:t>
            </w:r>
          </w:p>
        </w:tc>
        <w:tc>
          <w:tcPr>
            <w:tcW w:w="1410" w:type="dxa"/>
            <w:tcBorders>
              <w:left w:val="nil"/>
              <w:right w:val="nil"/>
            </w:tcBorders>
            <w:shd w:val="clear" w:color="auto" w:fill="FFFFFF"/>
          </w:tcPr>
          <w:p w:rsidR="005B3ABD" w:rsidRDefault="003F2B6A">
            <w:pPr>
              <w:snapToGrid w:val="0"/>
              <w:jc w:val="both"/>
              <w:rPr>
                <w:color w:val="000000"/>
                <w:sz w:val="20"/>
                <w:szCs w:val="20"/>
              </w:rPr>
            </w:pPr>
            <w:r>
              <w:rPr>
                <w:color w:val="000000"/>
                <w:sz w:val="20"/>
                <w:szCs w:val="20"/>
              </w:rPr>
              <w:t>0.68 ± 0.39</w:t>
            </w:r>
            <w:r>
              <w:rPr>
                <w:color w:val="000000"/>
                <w:sz w:val="20"/>
                <w:szCs w:val="20"/>
                <w:vertAlign w:val="superscript"/>
              </w:rPr>
              <w:t>bc</w:t>
            </w:r>
          </w:p>
        </w:tc>
        <w:tc>
          <w:tcPr>
            <w:tcW w:w="1350" w:type="dxa"/>
            <w:tcBorders>
              <w:left w:val="nil"/>
              <w:right w:val="nil"/>
            </w:tcBorders>
            <w:shd w:val="clear" w:color="auto" w:fill="FFFFFF"/>
          </w:tcPr>
          <w:p w:rsidR="005B3ABD" w:rsidRDefault="003F2B6A">
            <w:pPr>
              <w:snapToGrid w:val="0"/>
              <w:jc w:val="both"/>
              <w:rPr>
                <w:color w:val="000000"/>
                <w:sz w:val="20"/>
                <w:szCs w:val="20"/>
              </w:rPr>
            </w:pPr>
            <w:r>
              <w:rPr>
                <w:color w:val="000000"/>
                <w:sz w:val="20"/>
                <w:szCs w:val="20"/>
              </w:rPr>
              <w:t>0.60 ± 0.71</w:t>
            </w:r>
            <w:r>
              <w:rPr>
                <w:color w:val="000000"/>
                <w:sz w:val="20"/>
                <w:szCs w:val="20"/>
                <w:vertAlign w:val="superscript"/>
              </w:rPr>
              <w:t>c</w:t>
            </w:r>
          </w:p>
        </w:tc>
        <w:tc>
          <w:tcPr>
            <w:tcW w:w="1485" w:type="dxa"/>
            <w:tcBorders>
              <w:left w:val="nil"/>
              <w:right w:val="nil"/>
            </w:tcBorders>
            <w:shd w:val="clear" w:color="auto" w:fill="FFFFFF"/>
          </w:tcPr>
          <w:p w:rsidR="005B3ABD" w:rsidRDefault="003F2B6A">
            <w:pPr>
              <w:snapToGrid w:val="0"/>
              <w:jc w:val="both"/>
              <w:rPr>
                <w:color w:val="000000"/>
                <w:sz w:val="20"/>
                <w:szCs w:val="20"/>
              </w:rPr>
            </w:pPr>
            <w:r>
              <w:rPr>
                <w:color w:val="000000"/>
                <w:sz w:val="20"/>
                <w:szCs w:val="20"/>
              </w:rPr>
              <w:t>0.73 ± 0.57</w:t>
            </w:r>
            <w:r>
              <w:rPr>
                <w:color w:val="000000"/>
                <w:sz w:val="20"/>
                <w:szCs w:val="20"/>
                <w:vertAlign w:val="superscript"/>
              </w:rPr>
              <w:t>a</w:t>
            </w:r>
          </w:p>
        </w:tc>
        <w:tc>
          <w:tcPr>
            <w:tcW w:w="1410" w:type="dxa"/>
            <w:tcBorders>
              <w:left w:val="nil"/>
              <w:right w:val="nil"/>
            </w:tcBorders>
            <w:shd w:val="clear" w:color="auto" w:fill="FFFFFF"/>
          </w:tcPr>
          <w:p w:rsidR="005B3ABD" w:rsidRDefault="003F2B6A">
            <w:pPr>
              <w:snapToGrid w:val="0"/>
              <w:jc w:val="both"/>
              <w:rPr>
                <w:color w:val="000000"/>
                <w:sz w:val="20"/>
                <w:szCs w:val="20"/>
              </w:rPr>
            </w:pPr>
            <w:r>
              <w:rPr>
                <w:color w:val="000000"/>
                <w:sz w:val="20"/>
                <w:szCs w:val="20"/>
              </w:rPr>
              <w:t>0.72 ± 0.52</w:t>
            </w:r>
            <w:r>
              <w:rPr>
                <w:color w:val="000000"/>
                <w:sz w:val="20"/>
                <w:szCs w:val="20"/>
                <w:vertAlign w:val="superscript"/>
              </w:rPr>
              <w:t>a</w:t>
            </w:r>
          </w:p>
        </w:tc>
        <w:tc>
          <w:tcPr>
            <w:tcW w:w="1470" w:type="dxa"/>
            <w:tcBorders>
              <w:left w:val="nil"/>
              <w:right w:val="nil"/>
            </w:tcBorders>
            <w:shd w:val="clear" w:color="auto" w:fill="FFFFFF"/>
          </w:tcPr>
          <w:p w:rsidR="005B3ABD" w:rsidRDefault="003F2B6A">
            <w:pPr>
              <w:snapToGrid w:val="0"/>
              <w:jc w:val="both"/>
              <w:rPr>
                <w:color w:val="000000"/>
                <w:sz w:val="20"/>
                <w:szCs w:val="20"/>
              </w:rPr>
            </w:pPr>
            <w:r>
              <w:rPr>
                <w:color w:val="000000"/>
                <w:sz w:val="20"/>
                <w:szCs w:val="20"/>
              </w:rPr>
              <w:t>0.70 ± 0.69</w:t>
            </w:r>
            <w:r>
              <w:rPr>
                <w:color w:val="000000"/>
                <w:sz w:val="20"/>
                <w:szCs w:val="20"/>
                <w:vertAlign w:val="superscript"/>
              </w:rPr>
              <w:t xml:space="preserve"> b</w:t>
            </w:r>
          </w:p>
        </w:tc>
        <w:tc>
          <w:tcPr>
            <w:tcW w:w="1275" w:type="dxa"/>
            <w:tcBorders>
              <w:left w:val="nil"/>
              <w:right w:val="nil"/>
            </w:tcBorders>
            <w:shd w:val="clear" w:color="auto" w:fill="FFFFFF"/>
          </w:tcPr>
          <w:p w:rsidR="005B3ABD" w:rsidRDefault="003F2B6A">
            <w:pPr>
              <w:snapToGrid w:val="0"/>
              <w:jc w:val="both"/>
              <w:rPr>
                <w:color w:val="000000"/>
                <w:sz w:val="20"/>
                <w:szCs w:val="20"/>
              </w:rPr>
            </w:pPr>
            <w:r>
              <w:rPr>
                <w:color w:val="000000"/>
                <w:sz w:val="20"/>
                <w:szCs w:val="20"/>
              </w:rPr>
              <w:t>0.64 ± 0.00</w:t>
            </w:r>
            <w:r>
              <w:rPr>
                <w:color w:val="000000"/>
                <w:sz w:val="20"/>
                <w:szCs w:val="20"/>
                <w:vertAlign w:val="superscript"/>
              </w:rPr>
              <w:t>b</w:t>
            </w:r>
          </w:p>
        </w:tc>
      </w:tr>
    </w:tbl>
    <w:p w:rsidR="005B3ABD" w:rsidRDefault="003F2B6A">
      <w:pPr>
        <w:snapToGrid w:val="0"/>
        <w:jc w:val="both"/>
        <w:rPr>
          <w:sz w:val="20"/>
          <w:szCs w:val="20"/>
        </w:rPr>
      </w:pPr>
      <w:r>
        <w:rPr>
          <w:sz w:val="20"/>
          <w:szCs w:val="20"/>
        </w:rPr>
        <w:t xml:space="preserve">All values are expressed as </w:t>
      </w:r>
      <w:r>
        <w:rPr>
          <w:sz w:val="20"/>
          <w:szCs w:val="20"/>
        </w:rPr>
        <w:t>means ± SD of 3 replicate determinations while values with different superscript within the same row are significantly different @ p&lt;0.05. SD: Standard deviation; FDN: Food and nutrition.</w:t>
      </w:r>
    </w:p>
    <w:p w:rsidR="005B3ABD" w:rsidRDefault="005B3ABD">
      <w:pPr>
        <w:snapToGrid w:val="0"/>
        <w:jc w:val="both"/>
        <w:rPr>
          <w:sz w:val="20"/>
          <w:szCs w:val="20"/>
        </w:rPr>
      </w:pPr>
    </w:p>
    <w:p w:rsidR="005B3ABD" w:rsidRDefault="005B3ABD">
      <w:pPr>
        <w:snapToGrid w:val="0"/>
        <w:jc w:val="both"/>
        <w:rPr>
          <w:sz w:val="20"/>
          <w:szCs w:val="20"/>
        </w:rPr>
        <w:sectPr w:rsidR="005B3ABD">
          <w:headerReference w:type="first" r:id="rId14"/>
          <w:type w:val="continuous"/>
          <w:pgSz w:w="12240" w:h="15839"/>
          <w:pgMar w:top="1440" w:right="1440" w:bottom="1440" w:left="1440" w:header="720" w:footer="720" w:gutter="0"/>
          <w:cols w:space="425"/>
          <w:titlePg/>
          <w:docGrid w:linePitch="360"/>
        </w:sectPr>
      </w:pPr>
    </w:p>
    <w:p w:rsidR="005B3ABD" w:rsidRDefault="003F2B6A">
      <w:pPr>
        <w:snapToGrid w:val="0"/>
        <w:jc w:val="both"/>
        <w:rPr>
          <w:sz w:val="20"/>
          <w:szCs w:val="20"/>
        </w:rPr>
      </w:pPr>
      <w:r>
        <w:rPr>
          <w:sz w:val="20"/>
          <w:szCs w:val="20"/>
        </w:rPr>
        <w:lastRenderedPageBreak/>
        <w:t xml:space="preserve">Some of these minerals in </w:t>
      </w:r>
      <w:proofErr w:type="spellStart"/>
      <w:r>
        <w:rPr>
          <w:sz w:val="20"/>
          <w:szCs w:val="20"/>
        </w:rPr>
        <w:t>foetus</w:t>
      </w:r>
      <w:proofErr w:type="spellEnd"/>
      <w:r>
        <w:rPr>
          <w:sz w:val="20"/>
          <w:szCs w:val="20"/>
        </w:rPr>
        <w:t xml:space="preserve"> and child development work against impair physical and cognitive d</w:t>
      </w:r>
      <w:r>
        <w:rPr>
          <w:sz w:val="20"/>
          <w:szCs w:val="20"/>
        </w:rPr>
        <w:t xml:space="preserve">evelopment and reduces morbidity in child bearing, bone formation and utilization during </w:t>
      </w:r>
      <w:proofErr w:type="spellStart"/>
      <w:r>
        <w:rPr>
          <w:sz w:val="20"/>
          <w:szCs w:val="20"/>
        </w:rPr>
        <w:t>Kreb’s</w:t>
      </w:r>
      <w:proofErr w:type="spellEnd"/>
      <w:r>
        <w:rPr>
          <w:sz w:val="20"/>
          <w:szCs w:val="20"/>
        </w:rPr>
        <w:t xml:space="preserve"> circle activities. </w:t>
      </w:r>
      <w:proofErr w:type="spellStart"/>
      <w:r>
        <w:rPr>
          <w:sz w:val="20"/>
          <w:szCs w:val="20"/>
        </w:rPr>
        <w:t>Penido</w:t>
      </w:r>
      <w:proofErr w:type="spellEnd"/>
      <w:r>
        <w:rPr>
          <w:sz w:val="20"/>
          <w:szCs w:val="20"/>
        </w:rPr>
        <w:t xml:space="preserve"> </w:t>
      </w:r>
      <w:r>
        <w:rPr>
          <w:rFonts w:eastAsia="Calibri"/>
          <w:sz w:val="20"/>
          <w:szCs w:val="20"/>
          <w:vertAlign w:val="superscript"/>
        </w:rPr>
        <w:t>[21]</w:t>
      </w:r>
      <w:r>
        <w:rPr>
          <w:sz w:val="20"/>
          <w:szCs w:val="20"/>
        </w:rPr>
        <w:t xml:space="preserve"> reported that minerals play an important role in the generation of ATP, maintenance of homeostasis and nucleic acids production. </w:t>
      </w:r>
      <w:r>
        <w:rPr>
          <w:sz w:val="20"/>
          <w:szCs w:val="20"/>
        </w:rPr>
        <w:t xml:space="preserve">The </w:t>
      </w:r>
      <w:proofErr w:type="gramStart"/>
      <w:r>
        <w:rPr>
          <w:sz w:val="20"/>
          <w:szCs w:val="20"/>
        </w:rPr>
        <w:t>Ca :</w:t>
      </w:r>
      <w:proofErr w:type="gramEnd"/>
      <w:r>
        <w:rPr>
          <w:sz w:val="20"/>
          <w:szCs w:val="20"/>
        </w:rPr>
        <w:t xml:space="preserve"> P molar ratio in this study ranged from 0.06 – 0.73 which according to </w:t>
      </w:r>
      <w:proofErr w:type="spellStart"/>
      <w:r>
        <w:rPr>
          <w:sz w:val="20"/>
          <w:szCs w:val="20"/>
        </w:rPr>
        <w:t>Koua</w:t>
      </w:r>
      <w:proofErr w:type="spellEnd"/>
      <w:r>
        <w:rPr>
          <w:sz w:val="20"/>
          <w:szCs w:val="20"/>
        </w:rPr>
        <w:t xml:space="preserve"> et al. </w:t>
      </w:r>
      <w:r>
        <w:rPr>
          <w:rFonts w:eastAsia="Calibri"/>
          <w:sz w:val="20"/>
          <w:szCs w:val="20"/>
          <w:vertAlign w:val="superscript"/>
        </w:rPr>
        <w:t>[12]</w:t>
      </w:r>
      <w:r>
        <w:rPr>
          <w:sz w:val="20"/>
          <w:szCs w:val="20"/>
        </w:rPr>
        <w:t xml:space="preserve"> indicates good absorption of dietary calcium availability </w:t>
      </w:r>
      <w:proofErr w:type="spellStart"/>
      <w:r>
        <w:rPr>
          <w:sz w:val="20"/>
          <w:szCs w:val="20"/>
        </w:rPr>
        <w:t>n</w:t>
      </w:r>
      <w:proofErr w:type="spellEnd"/>
      <w:r>
        <w:rPr>
          <w:sz w:val="20"/>
          <w:szCs w:val="20"/>
        </w:rPr>
        <w:t xml:space="preserve"> the diet while less than 0.50 indicates poor calcium absorption. The molar ratio of </w:t>
      </w:r>
      <w:proofErr w:type="gramStart"/>
      <w:r>
        <w:rPr>
          <w:sz w:val="20"/>
          <w:szCs w:val="20"/>
        </w:rPr>
        <w:t>Na :</w:t>
      </w:r>
      <w:proofErr w:type="gramEnd"/>
      <w:r>
        <w:rPr>
          <w:sz w:val="20"/>
          <w:szCs w:val="20"/>
        </w:rPr>
        <w:t xml:space="preserve"> K ranged f</w:t>
      </w:r>
      <w:r>
        <w:rPr>
          <w:sz w:val="20"/>
          <w:szCs w:val="20"/>
        </w:rPr>
        <w:t xml:space="preserve">rom 0.14 – 0.19 which indicates good absorption of potassium and health body promoter by reducing incidence of hypertension </w:t>
      </w:r>
      <w:r>
        <w:rPr>
          <w:rFonts w:eastAsia="Calibri"/>
          <w:sz w:val="20"/>
          <w:szCs w:val="20"/>
          <w:vertAlign w:val="superscript"/>
        </w:rPr>
        <w:t>[22]</w:t>
      </w:r>
      <w:r>
        <w:rPr>
          <w:sz w:val="20"/>
          <w:szCs w:val="20"/>
        </w:rPr>
        <w:t>.</w:t>
      </w:r>
    </w:p>
    <w:p w:rsidR="005B3ABD" w:rsidRDefault="005B3ABD">
      <w:pPr>
        <w:snapToGrid w:val="0"/>
        <w:jc w:val="both"/>
        <w:rPr>
          <w:b/>
          <w:sz w:val="20"/>
          <w:szCs w:val="20"/>
        </w:rPr>
      </w:pPr>
    </w:p>
    <w:p w:rsidR="005B3ABD" w:rsidRDefault="003F2B6A">
      <w:pPr>
        <w:snapToGrid w:val="0"/>
        <w:jc w:val="both"/>
        <w:rPr>
          <w:b/>
          <w:sz w:val="20"/>
          <w:szCs w:val="20"/>
        </w:rPr>
      </w:pPr>
      <w:r>
        <w:rPr>
          <w:b/>
          <w:sz w:val="20"/>
          <w:szCs w:val="20"/>
        </w:rPr>
        <w:t>Average vitamins assay of 24-hr recall per 100g/dry weight</w:t>
      </w:r>
    </w:p>
    <w:p w:rsidR="005B3ABD" w:rsidRDefault="003F2B6A">
      <w:pPr>
        <w:snapToGrid w:val="0"/>
        <w:jc w:val="both"/>
        <w:rPr>
          <w:sz w:val="20"/>
          <w:szCs w:val="20"/>
        </w:rPr>
      </w:pPr>
      <w:r>
        <w:rPr>
          <w:sz w:val="20"/>
          <w:szCs w:val="20"/>
        </w:rPr>
        <w:tab/>
        <w:t xml:space="preserve">Average vitamins assay if 24-hr recall food intake per 100 g dry </w:t>
      </w:r>
      <w:r>
        <w:rPr>
          <w:sz w:val="20"/>
          <w:szCs w:val="20"/>
        </w:rPr>
        <w:t xml:space="preserve">weight was as shown in Table 3. There were significant differences (p&lt;0.05) for all the </w:t>
      </w:r>
      <w:r>
        <w:rPr>
          <w:sz w:val="20"/>
          <w:szCs w:val="20"/>
        </w:rPr>
        <w:lastRenderedPageBreak/>
        <w:t xml:space="preserve">24 </w:t>
      </w:r>
      <w:proofErr w:type="gramStart"/>
      <w:r>
        <w:rPr>
          <w:sz w:val="20"/>
          <w:szCs w:val="20"/>
        </w:rPr>
        <w:t>hours</w:t>
      </w:r>
      <w:proofErr w:type="gramEnd"/>
      <w:r>
        <w:rPr>
          <w:sz w:val="20"/>
          <w:szCs w:val="20"/>
        </w:rPr>
        <w:t xml:space="preserve"> food intake samples determined compared to established standard. There values ranged from 1442.34 – 1547.10 IU; 0.83 – 1.01 mg; 0.78 – 1.12 mg; 0.65 – 0.73 mcg</w:t>
      </w:r>
      <w:r>
        <w:rPr>
          <w:sz w:val="20"/>
          <w:szCs w:val="20"/>
        </w:rPr>
        <w:t xml:space="preserve"> and 25.63 – 28.13 mg for vitamin A, B</w:t>
      </w:r>
      <w:r>
        <w:rPr>
          <w:sz w:val="20"/>
          <w:szCs w:val="20"/>
          <w:vertAlign w:val="subscript"/>
        </w:rPr>
        <w:t>1</w:t>
      </w:r>
      <w:r>
        <w:rPr>
          <w:sz w:val="20"/>
          <w:szCs w:val="20"/>
        </w:rPr>
        <w:t>, B</w:t>
      </w:r>
      <w:r>
        <w:rPr>
          <w:sz w:val="20"/>
          <w:szCs w:val="20"/>
          <w:vertAlign w:val="subscript"/>
        </w:rPr>
        <w:t>2</w:t>
      </w:r>
      <w:r>
        <w:rPr>
          <w:sz w:val="20"/>
          <w:szCs w:val="20"/>
        </w:rPr>
        <w:t>, B</w:t>
      </w:r>
      <w:r>
        <w:rPr>
          <w:sz w:val="20"/>
          <w:szCs w:val="20"/>
          <w:vertAlign w:val="subscript"/>
        </w:rPr>
        <w:t>12</w:t>
      </w:r>
      <w:r>
        <w:rPr>
          <w:sz w:val="20"/>
          <w:szCs w:val="20"/>
        </w:rPr>
        <w:t xml:space="preserve"> and C, respectively. Statistical differences (p&lt;0.05) were observed in the entire vitamins determined compared with </w:t>
      </w:r>
      <w:r>
        <w:rPr>
          <w:rFonts w:eastAsia="Calibri"/>
          <w:sz w:val="20"/>
          <w:szCs w:val="20"/>
          <w:vertAlign w:val="superscript"/>
        </w:rPr>
        <w:t>[8]</w:t>
      </w:r>
      <w:r>
        <w:rPr>
          <w:sz w:val="20"/>
          <w:szCs w:val="20"/>
        </w:rPr>
        <w:t xml:space="preserve"> reference standard except vitamins B</w:t>
      </w:r>
      <w:r>
        <w:rPr>
          <w:sz w:val="20"/>
          <w:szCs w:val="20"/>
          <w:vertAlign w:val="subscript"/>
        </w:rPr>
        <w:t>2</w:t>
      </w:r>
      <w:r>
        <w:rPr>
          <w:sz w:val="20"/>
          <w:szCs w:val="20"/>
        </w:rPr>
        <w:t xml:space="preserve"> and B</w:t>
      </w:r>
      <w:r>
        <w:rPr>
          <w:sz w:val="20"/>
          <w:szCs w:val="20"/>
          <w:vertAlign w:val="subscript"/>
        </w:rPr>
        <w:t>12</w:t>
      </w:r>
      <w:r>
        <w:rPr>
          <w:sz w:val="20"/>
          <w:szCs w:val="20"/>
        </w:rPr>
        <w:t>, respectively.</w:t>
      </w:r>
    </w:p>
    <w:p w:rsidR="005B3ABD" w:rsidRDefault="003F2B6A">
      <w:pPr>
        <w:snapToGrid w:val="0"/>
        <w:jc w:val="both"/>
        <w:rPr>
          <w:sz w:val="20"/>
          <w:szCs w:val="20"/>
        </w:rPr>
        <w:sectPr w:rsidR="005B3ABD">
          <w:type w:val="continuous"/>
          <w:pgSz w:w="12240" w:h="15839"/>
          <w:pgMar w:top="1440" w:right="1440" w:bottom="1440" w:left="1440" w:header="720" w:footer="720" w:gutter="0"/>
          <w:cols w:num="2" w:space="720" w:equalWidth="0">
            <w:col w:w="4467" w:space="425"/>
            <w:col w:w="4467"/>
          </w:cols>
          <w:titlePg/>
          <w:docGrid w:linePitch="360"/>
        </w:sectPr>
      </w:pPr>
      <w:r>
        <w:rPr>
          <w:sz w:val="20"/>
          <w:szCs w:val="20"/>
        </w:rPr>
        <w:t xml:space="preserve">Vitamin A is also known as retinol because it produces pigment in the retinal of the eye. The presence of vitamin A in their diet could help in healthy teeth, skeletal bone, soft tissues, skin and night blindness </w:t>
      </w:r>
      <w:r>
        <w:rPr>
          <w:rFonts w:eastAsia="Calibri"/>
          <w:sz w:val="20"/>
          <w:szCs w:val="20"/>
          <w:vertAlign w:val="superscript"/>
        </w:rPr>
        <w:t>[23]</w:t>
      </w:r>
      <w:r>
        <w:rPr>
          <w:sz w:val="20"/>
          <w:szCs w:val="20"/>
        </w:rPr>
        <w:t>. Vitamin B</w:t>
      </w:r>
      <w:r>
        <w:rPr>
          <w:sz w:val="20"/>
          <w:szCs w:val="20"/>
          <w:vertAlign w:val="subscript"/>
        </w:rPr>
        <w:t>1</w:t>
      </w:r>
      <w:r>
        <w:rPr>
          <w:sz w:val="20"/>
          <w:szCs w:val="20"/>
        </w:rPr>
        <w:t xml:space="preserve"> obtained in this study is </w:t>
      </w:r>
      <w:r>
        <w:rPr>
          <w:sz w:val="20"/>
          <w:szCs w:val="20"/>
        </w:rPr>
        <w:t xml:space="preserve">higher than 0.21 – 0.24 mg/100g obtained in the work of </w:t>
      </w:r>
      <w:r>
        <w:rPr>
          <w:rFonts w:eastAsia="Calibri"/>
          <w:sz w:val="20"/>
          <w:szCs w:val="20"/>
          <w:vertAlign w:val="superscript"/>
        </w:rPr>
        <w:t>[24]</w:t>
      </w:r>
      <w:r>
        <w:rPr>
          <w:sz w:val="20"/>
          <w:szCs w:val="20"/>
        </w:rPr>
        <w:t>. It has been reported that vitamin B</w:t>
      </w:r>
      <w:r>
        <w:rPr>
          <w:sz w:val="20"/>
          <w:szCs w:val="20"/>
          <w:vertAlign w:val="subscript"/>
        </w:rPr>
        <w:t>1</w:t>
      </w:r>
      <w:r>
        <w:rPr>
          <w:sz w:val="20"/>
          <w:szCs w:val="20"/>
        </w:rPr>
        <w:t xml:space="preserve"> enhance energy utilization and activities while vitamin B</w:t>
      </w:r>
      <w:r>
        <w:rPr>
          <w:sz w:val="20"/>
          <w:szCs w:val="20"/>
          <w:vertAlign w:val="subscript"/>
        </w:rPr>
        <w:t xml:space="preserve">2 </w:t>
      </w:r>
      <w:r>
        <w:rPr>
          <w:sz w:val="20"/>
          <w:szCs w:val="20"/>
        </w:rPr>
        <w:t>works as an antioxidant to help fight</w:t>
      </w:r>
      <w:r>
        <w:rPr>
          <w:sz w:val="20"/>
          <w:szCs w:val="20"/>
          <w:vertAlign w:val="subscript"/>
        </w:rPr>
        <w:t xml:space="preserve"> </w:t>
      </w:r>
      <w:r>
        <w:rPr>
          <w:sz w:val="20"/>
          <w:szCs w:val="20"/>
        </w:rPr>
        <w:t>free radicals and prevent early aging and heart disease deve</w:t>
      </w:r>
      <w:r>
        <w:rPr>
          <w:sz w:val="20"/>
          <w:szCs w:val="20"/>
        </w:rPr>
        <w:t xml:space="preserve">lopment </w:t>
      </w:r>
      <w:r>
        <w:rPr>
          <w:rFonts w:eastAsia="Calibri"/>
          <w:sz w:val="20"/>
          <w:szCs w:val="20"/>
          <w:vertAlign w:val="superscript"/>
        </w:rPr>
        <w:t>[25]</w:t>
      </w:r>
      <w:r>
        <w:rPr>
          <w:sz w:val="20"/>
          <w:szCs w:val="20"/>
        </w:rPr>
        <w:t>. The result for vitamin B</w:t>
      </w:r>
      <w:r>
        <w:rPr>
          <w:sz w:val="20"/>
          <w:szCs w:val="20"/>
          <w:vertAlign w:val="subscript"/>
        </w:rPr>
        <w:t>12</w:t>
      </w:r>
      <w:r>
        <w:rPr>
          <w:sz w:val="20"/>
          <w:szCs w:val="20"/>
        </w:rPr>
        <w:t xml:space="preserve"> in this study ranged from 1.09 – 1.16 mcg.100g which is lower than </w:t>
      </w:r>
      <w:r>
        <w:rPr>
          <w:rFonts w:eastAsia="Calibri"/>
          <w:sz w:val="20"/>
          <w:szCs w:val="20"/>
          <w:vertAlign w:val="superscript"/>
        </w:rPr>
        <w:t>[8]</w:t>
      </w:r>
      <w:r>
        <w:rPr>
          <w:sz w:val="20"/>
          <w:szCs w:val="20"/>
        </w:rPr>
        <w:t xml:space="preserve"> reference standard of 1.20 mcg/100g. </w:t>
      </w:r>
    </w:p>
    <w:p w:rsidR="005B3ABD" w:rsidRDefault="005B3ABD">
      <w:pPr>
        <w:snapToGrid w:val="0"/>
        <w:jc w:val="both"/>
        <w:rPr>
          <w:sz w:val="20"/>
          <w:szCs w:val="20"/>
        </w:rPr>
      </w:pPr>
    </w:p>
    <w:p w:rsidR="005B3ABD" w:rsidRDefault="005B3ABD">
      <w:pPr>
        <w:snapToGrid w:val="0"/>
        <w:jc w:val="both"/>
        <w:rPr>
          <w:sz w:val="20"/>
          <w:szCs w:val="20"/>
        </w:rPr>
      </w:pPr>
    </w:p>
    <w:p w:rsidR="005B3ABD" w:rsidRDefault="003F2B6A">
      <w:pPr>
        <w:snapToGrid w:val="0"/>
        <w:jc w:val="both"/>
        <w:rPr>
          <w:sz w:val="20"/>
          <w:szCs w:val="20"/>
        </w:rPr>
      </w:pPr>
      <w:r>
        <w:rPr>
          <w:sz w:val="20"/>
          <w:szCs w:val="20"/>
        </w:rPr>
        <w:t>Table 3: Average vitamins assay of 24-hr recall per 100g/dry weight</w:t>
      </w:r>
    </w:p>
    <w:tbl>
      <w:tblPr>
        <w:tblW w:w="9926" w:type="dxa"/>
        <w:tblBorders>
          <w:top w:val="single" w:sz="8" w:space="0" w:color="000000"/>
          <w:bottom w:val="single" w:sz="8" w:space="0" w:color="000000"/>
        </w:tblBorders>
        <w:shd w:val="clear" w:color="auto" w:fill="FFFFFF"/>
        <w:tblLayout w:type="fixed"/>
        <w:tblLook w:val="04A0" w:firstRow="1" w:lastRow="0" w:firstColumn="1" w:lastColumn="0" w:noHBand="0" w:noVBand="1"/>
      </w:tblPr>
      <w:tblGrid>
        <w:gridCol w:w="1008"/>
        <w:gridCol w:w="1493"/>
        <w:gridCol w:w="1440"/>
        <w:gridCol w:w="1477"/>
        <w:gridCol w:w="1440"/>
        <w:gridCol w:w="1530"/>
        <w:gridCol w:w="1538"/>
      </w:tblGrid>
      <w:tr w:rsidR="005B3ABD">
        <w:trPr>
          <w:trHeight w:val="454"/>
        </w:trPr>
        <w:tc>
          <w:tcPr>
            <w:tcW w:w="1008" w:type="dxa"/>
            <w:tcBorders>
              <w:top w:val="single" w:sz="8" w:space="0" w:color="000000"/>
              <w:left w:val="nil"/>
              <w:bottom w:val="single" w:sz="8" w:space="0" w:color="000000"/>
              <w:right w:val="nil"/>
            </w:tcBorders>
            <w:shd w:val="clear" w:color="auto" w:fill="FFFFFF"/>
          </w:tcPr>
          <w:p w:rsidR="005B3ABD" w:rsidRDefault="003F2B6A">
            <w:pPr>
              <w:snapToGrid w:val="0"/>
              <w:jc w:val="both"/>
              <w:rPr>
                <w:bCs/>
                <w:color w:val="000000"/>
                <w:sz w:val="20"/>
                <w:szCs w:val="20"/>
              </w:rPr>
            </w:pPr>
            <w:r>
              <w:rPr>
                <w:bCs/>
                <w:color w:val="000000"/>
                <w:sz w:val="20"/>
                <w:szCs w:val="20"/>
              </w:rPr>
              <w:t xml:space="preserve">Vitamin </w:t>
            </w:r>
          </w:p>
        </w:tc>
        <w:tc>
          <w:tcPr>
            <w:tcW w:w="1493" w:type="dxa"/>
            <w:tcBorders>
              <w:top w:val="single" w:sz="8" w:space="0" w:color="000000"/>
              <w:left w:val="nil"/>
              <w:bottom w:val="single" w:sz="8" w:space="0" w:color="000000"/>
              <w:right w:val="nil"/>
            </w:tcBorders>
            <w:shd w:val="clear" w:color="auto" w:fill="FFFFFF"/>
          </w:tcPr>
          <w:p w:rsidR="005B3ABD" w:rsidRDefault="003F2B6A">
            <w:pPr>
              <w:snapToGrid w:val="0"/>
              <w:jc w:val="both"/>
              <w:rPr>
                <w:bCs/>
                <w:color w:val="000000"/>
                <w:sz w:val="20"/>
                <w:szCs w:val="20"/>
              </w:rPr>
            </w:pPr>
            <w:proofErr w:type="spellStart"/>
            <w:r>
              <w:rPr>
                <w:bCs/>
                <w:color w:val="000000"/>
                <w:sz w:val="20"/>
                <w:szCs w:val="20"/>
              </w:rPr>
              <w:t>Alabata</w:t>
            </w:r>
            <w:proofErr w:type="spellEnd"/>
            <w:r>
              <w:rPr>
                <w:bCs/>
                <w:color w:val="000000"/>
                <w:sz w:val="20"/>
                <w:szCs w:val="20"/>
              </w:rPr>
              <w:t xml:space="preserve"> </w:t>
            </w:r>
          </w:p>
        </w:tc>
        <w:tc>
          <w:tcPr>
            <w:tcW w:w="1440" w:type="dxa"/>
            <w:tcBorders>
              <w:top w:val="single" w:sz="8" w:space="0" w:color="000000"/>
              <w:left w:val="nil"/>
              <w:bottom w:val="single" w:sz="8" w:space="0" w:color="000000"/>
              <w:right w:val="nil"/>
            </w:tcBorders>
            <w:shd w:val="clear" w:color="auto" w:fill="FFFFFF"/>
          </w:tcPr>
          <w:p w:rsidR="005B3ABD" w:rsidRDefault="003F2B6A">
            <w:pPr>
              <w:snapToGrid w:val="0"/>
              <w:jc w:val="both"/>
              <w:rPr>
                <w:bCs/>
                <w:color w:val="000000"/>
                <w:sz w:val="20"/>
                <w:szCs w:val="20"/>
              </w:rPr>
            </w:pPr>
            <w:proofErr w:type="spellStart"/>
            <w:r>
              <w:rPr>
                <w:bCs/>
                <w:color w:val="000000"/>
                <w:sz w:val="20"/>
                <w:szCs w:val="20"/>
              </w:rPr>
              <w:t>Iroko</w:t>
            </w:r>
            <w:proofErr w:type="spellEnd"/>
            <w:r>
              <w:rPr>
                <w:bCs/>
                <w:color w:val="000000"/>
                <w:sz w:val="20"/>
                <w:szCs w:val="20"/>
              </w:rPr>
              <w:t xml:space="preserve"> </w:t>
            </w:r>
          </w:p>
        </w:tc>
        <w:tc>
          <w:tcPr>
            <w:tcW w:w="1477" w:type="dxa"/>
            <w:tcBorders>
              <w:top w:val="single" w:sz="8" w:space="0" w:color="000000"/>
              <w:left w:val="nil"/>
              <w:bottom w:val="single" w:sz="8" w:space="0" w:color="000000"/>
              <w:right w:val="nil"/>
            </w:tcBorders>
            <w:shd w:val="clear" w:color="auto" w:fill="FFFFFF"/>
          </w:tcPr>
          <w:p w:rsidR="005B3ABD" w:rsidRDefault="003F2B6A">
            <w:pPr>
              <w:snapToGrid w:val="0"/>
              <w:jc w:val="both"/>
              <w:rPr>
                <w:bCs/>
                <w:color w:val="000000"/>
                <w:sz w:val="20"/>
                <w:szCs w:val="20"/>
              </w:rPr>
            </w:pPr>
            <w:proofErr w:type="spellStart"/>
            <w:r>
              <w:rPr>
                <w:bCs/>
                <w:color w:val="000000"/>
                <w:sz w:val="20"/>
                <w:szCs w:val="20"/>
              </w:rPr>
              <w:t>Moniya</w:t>
            </w:r>
            <w:proofErr w:type="spellEnd"/>
            <w:r>
              <w:rPr>
                <w:bCs/>
                <w:color w:val="000000"/>
                <w:sz w:val="20"/>
                <w:szCs w:val="20"/>
              </w:rPr>
              <w:t xml:space="preserve"> </w:t>
            </w:r>
          </w:p>
        </w:tc>
        <w:tc>
          <w:tcPr>
            <w:tcW w:w="1440" w:type="dxa"/>
            <w:tcBorders>
              <w:top w:val="single" w:sz="8" w:space="0" w:color="000000"/>
              <w:left w:val="nil"/>
              <w:bottom w:val="single" w:sz="8" w:space="0" w:color="000000"/>
              <w:right w:val="nil"/>
            </w:tcBorders>
            <w:shd w:val="clear" w:color="auto" w:fill="FFFFFF"/>
          </w:tcPr>
          <w:p w:rsidR="005B3ABD" w:rsidRDefault="003F2B6A">
            <w:pPr>
              <w:snapToGrid w:val="0"/>
              <w:jc w:val="both"/>
              <w:rPr>
                <w:bCs/>
                <w:color w:val="000000"/>
                <w:sz w:val="20"/>
                <w:szCs w:val="20"/>
              </w:rPr>
            </w:pPr>
            <w:proofErr w:type="spellStart"/>
            <w:r>
              <w:rPr>
                <w:bCs/>
                <w:color w:val="000000"/>
                <w:sz w:val="20"/>
                <w:szCs w:val="20"/>
              </w:rPr>
              <w:t>Oro</w:t>
            </w:r>
            <w:r>
              <w:rPr>
                <w:bCs/>
                <w:color w:val="000000"/>
                <w:sz w:val="20"/>
                <w:szCs w:val="20"/>
              </w:rPr>
              <w:t>gun</w:t>
            </w:r>
            <w:proofErr w:type="spellEnd"/>
            <w:r>
              <w:rPr>
                <w:bCs/>
                <w:color w:val="000000"/>
                <w:sz w:val="20"/>
                <w:szCs w:val="20"/>
              </w:rPr>
              <w:t xml:space="preserve"> </w:t>
            </w:r>
          </w:p>
        </w:tc>
        <w:tc>
          <w:tcPr>
            <w:tcW w:w="1530" w:type="dxa"/>
            <w:tcBorders>
              <w:top w:val="single" w:sz="8" w:space="0" w:color="000000"/>
              <w:left w:val="nil"/>
              <w:bottom w:val="single" w:sz="8" w:space="0" w:color="000000"/>
              <w:right w:val="nil"/>
            </w:tcBorders>
            <w:shd w:val="clear" w:color="auto" w:fill="FFFFFF"/>
          </w:tcPr>
          <w:p w:rsidR="005B3ABD" w:rsidRDefault="003F2B6A">
            <w:pPr>
              <w:snapToGrid w:val="0"/>
              <w:jc w:val="both"/>
              <w:rPr>
                <w:bCs/>
                <w:color w:val="000000"/>
                <w:sz w:val="20"/>
                <w:szCs w:val="20"/>
              </w:rPr>
            </w:pPr>
            <w:proofErr w:type="spellStart"/>
            <w:r>
              <w:rPr>
                <w:bCs/>
                <w:color w:val="000000"/>
                <w:sz w:val="20"/>
                <w:szCs w:val="20"/>
              </w:rPr>
              <w:t>Sasa</w:t>
            </w:r>
            <w:proofErr w:type="spellEnd"/>
            <w:r>
              <w:rPr>
                <w:bCs/>
                <w:color w:val="000000"/>
                <w:sz w:val="20"/>
                <w:szCs w:val="20"/>
              </w:rPr>
              <w:t xml:space="preserve"> </w:t>
            </w:r>
          </w:p>
        </w:tc>
        <w:tc>
          <w:tcPr>
            <w:tcW w:w="1538" w:type="dxa"/>
            <w:tcBorders>
              <w:top w:val="single" w:sz="8" w:space="0" w:color="000000"/>
              <w:left w:val="nil"/>
              <w:bottom w:val="single" w:sz="8" w:space="0" w:color="000000"/>
              <w:right w:val="nil"/>
            </w:tcBorders>
            <w:shd w:val="clear" w:color="auto" w:fill="FFFFFF"/>
          </w:tcPr>
          <w:p w:rsidR="005B3ABD" w:rsidRDefault="003F2B6A">
            <w:pPr>
              <w:snapToGrid w:val="0"/>
              <w:jc w:val="both"/>
              <w:rPr>
                <w:bCs/>
                <w:color w:val="000000"/>
                <w:sz w:val="20"/>
                <w:szCs w:val="20"/>
              </w:rPr>
            </w:pPr>
            <w:r>
              <w:rPr>
                <w:bCs/>
                <w:color w:val="000000"/>
                <w:sz w:val="20"/>
                <w:szCs w:val="20"/>
              </w:rPr>
              <w:t xml:space="preserve">FDN Ref. </w:t>
            </w:r>
          </w:p>
          <w:p w:rsidR="005B3ABD" w:rsidRDefault="003F2B6A">
            <w:pPr>
              <w:snapToGrid w:val="0"/>
              <w:jc w:val="both"/>
              <w:rPr>
                <w:bCs/>
                <w:color w:val="000000"/>
                <w:sz w:val="20"/>
                <w:szCs w:val="20"/>
              </w:rPr>
            </w:pPr>
            <w:r>
              <w:rPr>
                <w:bCs/>
                <w:color w:val="000000"/>
                <w:sz w:val="20"/>
                <w:szCs w:val="20"/>
              </w:rPr>
              <w:t xml:space="preserve">     </w:t>
            </w:r>
            <w:proofErr w:type="spellStart"/>
            <w:r>
              <w:rPr>
                <w:bCs/>
                <w:color w:val="000000"/>
                <w:sz w:val="20"/>
                <w:szCs w:val="20"/>
              </w:rPr>
              <w:t>Std</w:t>
            </w:r>
            <w:proofErr w:type="spellEnd"/>
          </w:p>
        </w:tc>
      </w:tr>
      <w:tr w:rsidR="005B3ABD">
        <w:trPr>
          <w:trHeight w:val="309"/>
        </w:trPr>
        <w:tc>
          <w:tcPr>
            <w:tcW w:w="1008" w:type="dxa"/>
            <w:tcBorders>
              <w:left w:val="nil"/>
              <w:right w:val="nil"/>
            </w:tcBorders>
            <w:shd w:val="clear" w:color="auto" w:fill="FFFFFF"/>
          </w:tcPr>
          <w:p w:rsidR="005B3ABD" w:rsidRDefault="003F2B6A">
            <w:pPr>
              <w:snapToGrid w:val="0"/>
              <w:jc w:val="both"/>
              <w:rPr>
                <w:bCs/>
                <w:color w:val="000000"/>
                <w:sz w:val="20"/>
                <w:szCs w:val="20"/>
              </w:rPr>
            </w:pPr>
            <w:r>
              <w:rPr>
                <w:bCs/>
                <w:color w:val="000000"/>
                <w:sz w:val="20"/>
                <w:szCs w:val="20"/>
              </w:rPr>
              <w:t>A (IU)</w:t>
            </w:r>
          </w:p>
        </w:tc>
        <w:tc>
          <w:tcPr>
            <w:tcW w:w="1493" w:type="dxa"/>
            <w:tcBorders>
              <w:left w:val="nil"/>
              <w:right w:val="nil"/>
            </w:tcBorders>
            <w:shd w:val="clear" w:color="auto" w:fill="FFFFFF"/>
          </w:tcPr>
          <w:p w:rsidR="005B3ABD" w:rsidRDefault="003F2B6A">
            <w:pPr>
              <w:snapToGrid w:val="0"/>
              <w:jc w:val="both"/>
              <w:rPr>
                <w:color w:val="000000"/>
                <w:sz w:val="20"/>
                <w:szCs w:val="20"/>
              </w:rPr>
            </w:pPr>
            <w:r>
              <w:rPr>
                <w:color w:val="000000"/>
                <w:sz w:val="20"/>
                <w:szCs w:val="20"/>
              </w:rPr>
              <w:t>1447.15±3.19</w:t>
            </w:r>
            <w:r>
              <w:rPr>
                <w:color w:val="000000"/>
                <w:sz w:val="20"/>
                <w:szCs w:val="20"/>
                <w:vertAlign w:val="superscript"/>
              </w:rPr>
              <w:t>bc</w:t>
            </w:r>
          </w:p>
        </w:tc>
        <w:tc>
          <w:tcPr>
            <w:tcW w:w="1440" w:type="dxa"/>
            <w:tcBorders>
              <w:left w:val="nil"/>
              <w:right w:val="nil"/>
            </w:tcBorders>
            <w:shd w:val="clear" w:color="auto" w:fill="FFFFFF"/>
          </w:tcPr>
          <w:p w:rsidR="005B3ABD" w:rsidRDefault="003F2B6A">
            <w:pPr>
              <w:snapToGrid w:val="0"/>
              <w:jc w:val="both"/>
              <w:rPr>
                <w:color w:val="000000"/>
                <w:sz w:val="20"/>
                <w:szCs w:val="20"/>
              </w:rPr>
            </w:pPr>
            <w:r>
              <w:rPr>
                <w:color w:val="000000"/>
                <w:sz w:val="20"/>
                <w:szCs w:val="20"/>
              </w:rPr>
              <w:t>1422.34±1.46</w:t>
            </w:r>
            <w:r>
              <w:rPr>
                <w:color w:val="000000"/>
                <w:sz w:val="20"/>
                <w:szCs w:val="20"/>
                <w:vertAlign w:val="superscript"/>
              </w:rPr>
              <w:t>b</w:t>
            </w:r>
          </w:p>
        </w:tc>
        <w:tc>
          <w:tcPr>
            <w:tcW w:w="1477" w:type="dxa"/>
            <w:tcBorders>
              <w:left w:val="nil"/>
              <w:right w:val="nil"/>
            </w:tcBorders>
            <w:shd w:val="clear" w:color="auto" w:fill="FFFFFF"/>
          </w:tcPr>
          <w:p w:rsidR="005B3ABD" w:rsidRDefault="003F2B6A">
            <w:pPr>
              <w:snapToGrid w:val="0"/>
              <w:jc w:val="both"/>
              <w:rPr>
                <w:color w:val="000000"/>
                <w:sz w:val="20"/>
                <w:szCs w:val="20"/>
              </w:rPr>
            </w:pPr>
            <w:r>
              <w:rPr>
                <w:color w:val="000000"/>
                <w:sz w:val="20"/>
                <w:szCs w:val="20"/>
              </w:rPr>
              <w:t>1483.29± 3.78</w:t>
            </w:r>
            <w:r>
              <w:rPr>
                <w:color w:val="000000"/>
                <w:sz w:val="20"/>
                <w:szCs w:val="20"/>
                <w:vertAlign w:val="superscript"/>
              </w:rPr>
              <w:t>c</w:t>
            </w:r>
          </w:p>
        </w:tc>
        <w:tc>
          <w:tcPr>
            <w:tcW w:w="1440" w:type="dxa"/>
            <w:tcBorders>
              <w:left w:val="nil"/>
              <w:right w:val="nil"/>
            </w:tcBorders>
            <w:shd w:val="clear" w:color="auto" w:fill="FFFFFF"/>
          </w:tcPr>
          <w:p w:rsidR="005B3ABD" w:rsidRDefault="003F2B6A">
            <w:pPr>
              <w:snapToGrid w:val="0"/>
              <w:jc w:val="both"/>
              <w:rPr>
                <w:color w:val="000000"/>
                <w:sz w:val="20"/>
                <w:szCs w:val="20"/>
              </w:rPr>
            </w:pPr>
            <w:r>
              <w:rPr>
                <w:color w:val="000000"/>
                <w:sz w:val="20"/>
                <w:szCs w:val="20"/>
              </w:rPr>
              <w:t>1547.10±3.82</w:t>
            </w:r>
            <w:r>
              <w:rPr>
                <w:color w:val="000000"/>
                <w:sz w:val="20"/>
                <w:szCs w:val="20"/>
                <w:vertAlign w:val="superscript"/>
              </w:rPr>
              <w:t>d</w:t>
            </w:r>
          </w:p>
        </w:tc>
        <w:tc>
          <w:tcPr>
            <w:tcW w:w="1530" w:type="dxa"/>
            <w:tcBorders>
              <w:left w:val="nil"/>
              <w:right w:val="nil"/>
            </w:tcBorders>
            <w:shd w:val="clear" w:color="auto" w:fill="FFFFFF"/>
          </w:tcPr>
          <w:p w:rsidR="005B3ABD" w:rsidRDefault="003F2B6A">
            <w:pPr>
              <w:snapToGrid w:val="0"/>
              <w:jc w:val="both"/>
              <w:rPr>
                <w:color w:val="000000"/>
                <w:sz w:val="20"/>
                <w:szCs w:val="20"/>
              </w:rPr>
            </w:pPr>
            <w:r>
              <w:rPr>
                <w:color w:val="000000"/>
                <w:sz w:val="20"/>
                <w:szCs w:val="20"/>
              </w:rPr>
              <w:t>1522.02±1.94</w:t>
            </w:r>
            <w:r>
              <w:rPr>
                <w:color w:val="000000"/>
                <w:sz w:val="20"/>
                <w:szCs w:val="20"/>
                <w:vertAlign w:val="superscript"/>
              </w:rPr>
              <w:t>cd</w:t>
            </w:r>
          </w:p>
        </w:tc>
        <w:tc>
          <w:tcPr>
            <w:tcW w:w="1538" w:type="dxa"/>
            <w:tcBorders>
              <w:left w:val="nil"/>
              <w:right w:val="nil"/>
            </w:tcBorders>
            <w:shd w:val="clear" w:color="auto" w:fill="FFFFFF"/>
          </w:tcPr>
          <w:p w:rsidR="005B3ABD" w:rsidRDefault="003F2B6A">
            <w:pPr>
              <w:snapToGrid w:val="0"/>
              <w:jc w:val="both"/>
              <w:rPr>
                <w:color w:val="000000"/>
                <w:sz w:val="20"/>
                <w:szCs w:val="20"/>
              </w:rPr>
            </w:pPr>
            <w:r>
              <w:rPr>
                <w:color w:val="000000"/>
                <w:sz w:val="20"/>
                <w:szCs w:val="20"/>
              </w:rPr>
              <w:t>1333.00 ± 0.00</w:t>
            </w:r>
            <w:r>
              <w:rPr>
                <w:color w:val="000000"/>
                <w:sz w:val="20"/>
                <w:szCs w:val="20"/>
                <w:vertAlign w:val="superscript"/>
              </w:rPr>
              <w:t>a</w:t>
            </w:r>
          </w:p>
        </w:tc>
      </w:tr>
      <w:tr w:rsidR="005B3ABD">
        <w:trPr>
          <w:trHeight w:val="309"/>
        </w:trPr>
        <w:tc>
          <w:tcPr>
            <w:tcW w:w="1008" w:type="dxa"/>
            <w:shd w:val="clear" w:color="auto" w:fill="FFFFFF"/>
          </w:tcPr>
          <w:p w:rsidR="005B3ABD" w:rsidRDefault="003F2B6A">
            <w:pPr>
              <w:snapToGrid w:val="0"/>
              <w:jc w:val="both"/>
              <w:rPr>
                <w:bCs/>
                <w:color w:val="000000"/>
                <w:sz w:val="20"/>
                <w:szCs w:val="20"/>
              </w:rPr>
            </w:pPr>
            <w:r>
              <w:rPr>
                <w:bCs/>
                <w:color w:val="000000"/>
                <w:sz w:val="20"/>
                <w:szCs w:val="20"/>
              </w:rPr>
              <w:t>B</w:t>
            </w:r>
            <w:r>
              <w:rPr>
                <w:bCs/>
                <w:color w:val="000000"/>
                <w:sz w:val="20"/>
                <w:szCs w:val="20"/>
                <w:vertAlign w:val="subscript"/>
              </w:rPr>
              <w:t>1</w:t>
            </w:r>
            <w:r>
              <w:rPr>
                <w:bCs/>
                <w:color w:val="000000"/>
                <w:sz w:val="20"/>
                <w:szCs w:val="20"/>
              </w:rPr>
              <w:t xml:space="preserve"> (mg)</w:t>
            </w:r>
          </w:p>
        </w:tc>
        <w:tc>
          <w:tcPr>
            <w:tcW w:w="1493" w:type="dxa"/>
            <w:shd w:val="clear" w:color="auto" w:fill="FFFFFF"/>
          </w:tcPr>
          <w:p w:rsidR="005B3ABD" w:rsidRDefault="003F2B6A">
            <w:pPr>
              <w:snapToGrid w:val="0"/>
              <w:jc w:val="both"/>
              <w:rPr>
                <w:color w:val="000000"/>
                <w:sz w:val="20"/>
                <w:szCs w:val="20"/>
              </w:rPr>
            </w:pPr>
            <w:r>
              <w:rPr>
                <w:color w:val="000000"/>
                <w:sz w:val="20"/>
                <w:szCs w:val="20"/>
              </w:rPr>
              <w:t>0.83 ± 0.00</w:t>
            </w:r>
            <w:r>
              <w:rPr>
                <w:color w:val="000000"/>
                <w:sz w:val="20"/>
                <w:szCs w:val="20"/>
                <w:vertAlign w:val="superscript"/>
              </w:rPr>
              <w:t>b</w:t>
            </w:r>
          </w:p>
        </w:tc>
        <w:tc>
          <w:tcPr>
            <w:tcW w:w="1440" w:type="dxa"/>
            <w:shd w:val="clear" w:color="auto" w:fill="FFFFFF"/>
          </w:tcPr>
          <w:p w:rsidR="005B3ABD" w:rsidRDefault="003F2B6A">
            <w:pPr>
              <w:snapToGrid w:val="0"/>
              <w:jc w:val="both"/>
              <w:rPr>
                <w:color w:val="000000"/>
                <w:sz w:val="20"/>
                <w:szCs w:val="20"/>
              </w:rPr>
            </w:pPr>
            <w:r>
              <w:rPr>
                <w:color w:val="000000"/>
                <w:sz w:val="20"/>
                <w:szCs w:val="20"/>
              </w:rPr>
              <w:t>0.89 ± 0.05</w:t>
            </w:r>
            <w:r>
              <w:rPr>
                <w:color w:val="000000"/>
                <w:sz w:val="20"/>
                <w:szCs w:val="20"/>
                <w:vertAlign w:val="superscript"/>
              </w:rPr>
              <w:t>c</w:t>
            </w:r>
          </w:p>
        </w:tc>
        <w:tc>
          <w:tcPr>
            <w:tcW w:w="1477" w:type="dxa"/>
            <w:shd w:val="clear" w:color="auto" w:fill="FFFFFF"/>
          </w:tcPr>
          <w:p w:rsidR="005B3ABD" w:rsidRDefault="003F2B6A">
            <w:pPr>
              <w:snapToGrid w:val="0"/>
              <w:jc w:val="both"/>
              <w:rPr>
                <w:color w:val="000000"/>
                <w:sz w:val="20"/>
                <w:szCs w:val="20"/>
              </w:rPr>
            </w:pPr>
            <w:r>
              <w:rPr>
                <w:color w:val="000000"/>
                <w:sz w:val="20"/>
                <w:szCs w:val="20"/>
              </w:rPr>
              <w:t>1.01 ± 0.06</w:t>
            </w:r>
            <w:r>
              <w:rPr>
                <w:color w:val="000000"/>
                <w:sz w:val="20"/>
                <w:szCs w:val="20"/>
                <w:vertAlign w:val="superscript"/>
              </w:rPr>
              <w:t>e</w:t>
            </w:r>
          </w:p>
        </w:tc>
        <w:tc>
          <w:tcPr>
            <w:tcW w:w="1440" w:type="dxa"/>
            <w:shd w:val="clear" w:color="auto" w:fill="FFFFFF"/>
          </w:tcPr>
          <w:p w:rsidR="005B3ABD" w:rsidRDefault="003F2B6A">
            <w:pPr>
              <w:snapToGrid w:val="0"/>
              <w:jc w:val="both"/>
              <w:rPr>
                <w:color w:val="000000"/>
                <w:sz w:val="20"/>
                <w:szCs w:val="20"/>
              </w:rPr>
            </w:pPr>
            <w:r>
              <w:rPr>
                <w:color w:val="000000"/>
                <w:sz w:val="20"/>
                <w:szCs w:val="20"/>
              </w:rPr>
              <w:t>0.93 ± 0.00</w:t>
            </w:r>
            <w:r>
              <w:rPr>
                <w:color w:val="000000"/>
                <w:sz w:val="20"/>
                <w:szCs w:val="20"/>
                <w:vertAlign w:val="superscript"/>
              </w:rPr>
              <w:t>d</w:t>
            </w:r>
          </w:p>
        </w:tc>
        <w:tc>
          <w:tcPr>
            <w:tcW w:w="1530" w:type="dxa"/>
            <w:shd w:val="clear" w:color="auto" w:fill="FFFFFF"/>
          </w:tcPr>
          <w:p w:rsidR="005B3ABD" w:rsidRDefault="003F2B6A">
            <w:pPr>
              <w:snapToGrid w:val="0"/>
              <w:jc w:val="both"/>
              <w:rPr>
                <w:color w:val="000000"/>
                <w:sz w:val="20"/>
                <w:szCs w:val="20"/>
              </w:rPr>
            </w:pPr>
            <w:r>
              <w:rPr>
                <w:color w:val="000000"/>
                <w:sz w:val="20"/>
                <w:szCs w:val="20"/>
              </w:rPr>
              <w:t>0.86 ± 0.00</w:t>
            </w:r>
            <w:r>
              <w:rPr>
                <w:color w:val="000000"/>
                <w:sz w:val="20"/>
                <w:szCs w:val="20"/>
                <w:vertAlign w:val="superscript"/>
              </w:rPr>
              <w:t>bc</w:t>
            </w:r>
          </w:p>
        </w:tc>
        <w:tc>
          <w:tcPr>
            <w:tcW w:w="1538" w:type="dxa"/>
            <w:shd w:val="clear" w:color="auto" w:fill="FFFFFF"/>
          </w:tcPr>
          <w:p w:rsidR="005B3ABD" w:rsidRDefault="003F2B6A">
            <w:pPr>
              <w:snapToGrid w:val="0"/>
              <w:jc w:val="both"/>
              <w:rPr>
                <w:color w:val="000000"/>
                <w:sz w:val="20"/>
                <w:szCs w:val="20"/>
              </w:rPr>
            </w:pPr>
            <w:r>
              <w:rPr>
                <w:color w:val="000000"/>
                <w:sz w:val="20"/>
                <w:szCs w:val="20"/>
              </w:rPr>
              <w:t>0.60 ± 0.00</w:t>
            </w:r>
            <w:r>
              <w:rPr>
                <w:color w:val="000000"/>
                <w:sz w:val="20"/>
                <w:szCs w:val="20"/>
                <w:vertAlign w:val="superscript"/>
              </w:rPr>
              <w:t>a</w:t>
            </w:r>
          </w:p>
        </w:tc>
      </w:tr>
      <w:tr w:rsidR="005B3ABD">
        <w:trPr>
          <w:trHeight w:val="309"/>
        </w:trPr>
        <w:tc>
          <w:tcPr>
            <w:tcW w:w="1008" w:type="dxa"/>
            <w:tcBorders>
              <w:left w:val="nil"/>
              <w:right w:val="nil"/>
            </w:tcBorders>
            <w:shd w:val="clear" w:color="auto" w:fill="FFFFFF"/>
          </w:tcPr>
          <w:p w:rsidR="005B3ABD" w:rsidRDefault="003F2B6A">
            <w:pPr>
              <w:snapToGrid w:val="0"/>
              <w:jc w:val="both"/>
              <w:rPr>
                <w:bCs/>
                <w:color w:val="000000"/>
                <w:sz w:val="20"/>
                <w:szCs w:val="20"/>
              </w:rPr>
            </w:pPr>
            <w:r>
              <w:rPr>
                <w:bCs/>
                <w:color w:val="000000"/>
                <w:sz w:val="20"/>
                <w:szCs w:val="20"/>
              </w:rPr>
              <w:t>B</w:t>
            </w:r>
            <w:r>
              <w:rPr>
                <w:bCs/>
                <w:color w:val="000000"/>
                <w:sz w:val="20"/>
                <w:szCs w:val="20"/>
                <w:vertAlign w:val="subscript"/>
              </w:rPr>
              <w:t>2</w:t>
            </w:r>
            <w:r>
              <w:rPr>
                <w:bCs/>
                <w:color w:val="000000"/>
                <w:sz w:val="20"/>
                <w:szCs w:val="20"/>
              </w:rPr>
              <w:t xml:space="preserve"> (mg)</w:t>
            </w:r>
          </w:p>
        </w:tc>
        <w:tc>
          <w:tcPr>
            <w:tcW w:w="1493" w:type="dxa"/>
            <w:tcBorders>
              <w:left w:val="nil"/>
              <w:right w:val="nil"/>
            </w:tcBorders>
            <w:shd w:val="clear" w:color="auto" w:fill="FFFFFF"/>
          </w:tcPr>
          <w:p w:rsidR="005B3ABD" w:rsidRDefault="003F2B6A">
            <w:pPr>
              <w:snapToGrid w:val="0"/>
              <w:jc w:val="both"/>
              <w:rPr>
                <w:color w:val="000000"/>
                <w:sz w:val="20"/>
                <w:szCs w:val="20"/>
              </w:rPr>
            </w:pPr>
            <w:r>
              <w:rPr>
                <w:color w:val="000000"/>
                <w:sz w:val="20"/>
                <w:szCs w:val="20"/>
              </w:rPr>
              <w:t>2.01 ± 0.11</w:t>
            </w:r>
            <w:r>
              <w:rPr>
                <w:color w:val="000000"/>
                <w:sz w:val="20"/>
                <w:szCs w:val="20"/>
                <w:vertAlign w:val="superscript"/>
              </w:rPr>
              <w:t>a</w:t>
            </w:r>
          </w:p>
        </w:tc>
        <w:tc>
          <w:tcPr>
            <w:tcW w:w="1440" w:type="dxa"/>
            <w:tcBorders>
              <w:left w:val="nil"/>
              <w:right w:val="nil"/>
            </w:tcBorders>
            <w:shd w:val="clear" w:color="auto" w:fill="FFFFFF"/>
          </w:tcPr>
          <w:p w:rsidR="005B3ABD" w:rsidRDefault="003F2B6A">
            <w:pPr>
              <w:snapToGrid w:val="0"/>
              <w:jc w:val="both"/>
              <w:rPr>
                <w:color w:val="000000"/>
                <w:sz w:val="20"/>
                <w:szCs w:val="20"/>
              </w:rPr>
            </w:pPr>
            <w:r>
              <w:rPr>
                <w:color w:val="000000"/>
                <w:sz w:val="20"/>
                <w:szCs w:val="20"/>
              </w:rPr>
              <w:t>2.20 ± 0.17</w:t>
            </w:r>
            <w:r>
              <w:rPr>
                <w:color w:val="000000"/>
                <w:sz w:val="20"/>
                <w:szCs w:val="20"/>
                <w:vertAlign w:val="superscript"/>
              </w:rPr>
              <w:t>d</w:t>
            </w:r>
          </w:p>
        </w:tc>
        <w:tc>
          <w:tcPr>
            <w:tcW w:w="1477" w:type="dxa"/>
            <w:tcBorders>
              <w:left w:val="nil"/>
              <w:right w:val="nil"/>
            </w:tcBorders>
            <w:shd w:val="clear" w:color="auto" w:fill="FFFFFF"/>
          </w:tcPr>
          <w:p w:rsidR="005B3ABD" w:rsidRDefault="003F2B6A">
            <w:pPr>
              <w:snapToGrid w:val="0"/>
              <w:jc w:val="both"/>
              <w:rPr>
                <w:color w:val="000000"/>
                <w:sz w:val="20"/>
                <w:szCs w:val="20"/>
              </w:rPr>
            </w:pPr>
            <w:r>
              <w:rPr>
                <w:color w:val="000000"/>
                <w:sz w:val="20"/>
                <w:szCs w:val="20"/>
              </w:rPr>
              <w:t>2.35 ±</w:t>
            </w:r>
            <w:r>
              <w:rPr>
                <w:color w:val="000000"/>
                <w:sz w:val="20"/>
                <w:szCs w:val="20"/>
              </w:rPr>
              <w:t xml:space="preserve"> 0.02</w:t>
            </w:r>
            <w:r>
              <w:rPr>
                <w:color w:val="000000"/>
                <w:sz w:val="20"/>
                <w:szCs w:val="20"/>
                <w:vertAlign w:val="superscript"/>
              </w:rPr>
              <w:t>e</w:t>
            </w:r>
          </w:p>
        </w:tc>
        <w:tc>
          <w:tcPr>
            <w:tcW w:w="1440" w:type="dxa"/>
            <w:tcBorders>
              <w:left w:val="nil"/>
              <w:right w:val="nil"/>
            </w:tcBorders>
            <w:shd w:val="clear" w:color="auto" w:fill="FFFFFF"/>
          </w:tcPr>
          <w:p w:rsidR="005B3ABD" w:rsidRDefault="003F2B6A">
            <w:pPr>
              <w:snapToGrid w:val="0"/>
              <w:jc w:val="both"/>
              <w:rPr>
                <w:color w:val="000000"/>
                <w:sz w:val="20"/>
                <w:szCs w:val="20"/>
              </w:rPr>
            </w:pPr>
            <w:r>
              <w:rPr>
                <w:color w:val="000000"/>
                <w:sz w:val="20"/>
                <w:szCs w:val="20"/>
              </w:rPr>
              <w:t>2.21 ± 0.10</w:t>
            </w:r>
            <w:r>
              <w:rPr>
                <w:color w:val="000000"/>
                <w:sz w:val="20"/>
                <w:szCs w:val="20"/>
                <w:vertAlign w:val="superscript"/>
              </w:rPr>
              <w:t>d</w:t>
            </w:r>
          </w:p>
        </w:tc>
        <w:tc>
          <w:tcPr>
            <w:tcW w:w="1530" w:type="dxa"/>
            <w:tcBorders>
              <w:left w:val="nil"/>
              <w:right w:val="nil"/>
            </w:tcBorders>
            <w:shd w:val="clear" w:color="auto" w:fill="FFFFFF"/>
          </w:tcPr>
          <w:p w:rsidR="005B3ABD" w:rsidRDefault="003F2B6A">
            <w:pPr>
              <w:snapToGrid w:val="0"/>
              <w:jc w:val="both"/>
              <w:rPr>
                <w:color w:val="000000"/>
                <w:sz w:val="20"/>
                <w:szCs w:val="20"/>
              </w:rPr>
            </w:pPr>
            <w:r>
              <w:rPr>
                <w:color w:val="000000"/>
                <w:sz w:val="20"/>
                <w:szCs w:val="20"/>
              </w:rPr>
              <w:t>2.15 ± 0.07</w:t>
            </w:r>
            <w:r>
              <w:rPr>
                <w:color w:val="000000"/>
                <w:sz w:val="20"/>
                <w:szCs w:val="20"/>
                <w:vertAlign w:val="superscript"/>
              </w:rPr>
              <w:t>c</w:t>
            </w:r>
          </w:p>
        </w:tc>
        <w:tc>
          <w:tcPr>
            <w:tcW w:w="1538" w:type="dxa"/>
            <w:tcBorders>
              <w:left w:val="nil"/>
              <w:right w:val="nil"/>
            </w:tcBorders>
            <w:shd w:val="clear" w:color="auto" w:fill="FFFFFF"/>
          </w:tcPr>
          <w:p w:rsidR="005B3ABD" w:rsidRDefault="003F2B6A">
            <w:pPr>
              <w:snapToGrid w:val="0"/>
              <w:jc w:val="both"/>
              <w:rPr>
                <w:color w:val="000000"/>
                <w:sz w:val="20"/>
                <w:szCs w:val="20"/>
              </w:rPr>
            </w:pPr>
            <w:r>
              <w:rPr>
                <w:color w:val="000000"/>
                <w:sz w:val="20"/>
                <w:szCs w:val="20"/>
              </w:rPr>
              <w:t>2.10 ± 0.00</w:t>
            </w:r>
            <w:r>
              <w:rPr>
                <w:color w:val="000000"/>
                <w:sz w:val="20"/>
                <w:szCs w:val="20"/>
                <w:vertAlign w:val="superscript"/>
              </w:rPr>
              <w:t>b</w:t>
            </w:r>
          </w:p>
        </w:tc>
      </w:tr>
      <w:tr w:rsidR="005B3ABD">
        <w:trPr>
          <w:trHeight w:val="309"/>
        </w:trPr>
        <w:tc>
          <w:tcPr>
            <w:tcW w:w="1008" w:type="dxa"/>
            <w:shd w:val="clear" w:color="auto" w:fill="FFFFFF"/>
          </w:tcPr>
          <w:p w:rsidR="005B3ABD" w:rsidRDefault="003F2B6A">
            <w:pPr>
              <w:snapToGrid w:val="0"/>
              <w:jc w:val="both"/>
              <w:rPr>
                <w:bCs/>
                <w:color w:val="000000"/>
                <w:sz w:val="20"/>
                <w:szCs w:val="20"/>
              </w:rPr>
            </w:pPr>
            <w:r>
              <w:rPr>
                <w:bCs/>
                <w:color w:val="000000"/>
                <w:sz w:val="20"/>
                <w:szCs w:val="20"/>
              </w:rPr>
              <w:t>B</w:t>
            </w:r>
            <w:r>
              <w:rPr>
                <w:bCs/>
                <w:color w:val="000000"/>
                <w:sz w:val="20"/>
                <w:szCs w:val="20"/>
                <w:vertAlign w:val="subscript"/>
              </w:rPr>
              <w:t>12</w:t>
            </w:r>
            <w:r>
              <w:rPr>
                <w:bCs/>
                <w:color w:val="000000"/>
                <w:sz w:val="20"/>
                <w:szCs w:val="20"/>
              </w:rPr>
              <w:t xml:space="preserve"> (mcg)</w:t>
            </w:r>
          </w:p>
        </w:tc>
        <w:tc>
          <w:tcPr>
            <w:tcW w:w="1493" w:type="dxa"/>
            <w:shd w:val="clear" w:color="auto" w:fill="FFFFFF"/>
          </w:tcPr>
          <w:p w:rsidR="005B3ABD" w:rsidRDefault="003F2B6A">
            <w:pPr>
              <w:snapToGrid w:val="0"/>
              <w:jc w:val="both"/>
              <w:rPr>
                <w:color w:val="000000"/>
                <w:sz w:val="20"/>
                <w:szCs w:val="20"/>
              </w:rPr>
            </w:pPr>
            <w:r>
              <w:rPr>
                <w:color w:val="000000"/>
                <w:sz w:val="20"/>
                <w:szCs w:val="20"/>
              </w:rPr>
              <w:t>1.06 ± 0.09</w:t>
            </w:r>
            <w:r>
              <w:rPr>
                <w:color w:val="000000"/>
                <w:sz w:val="20"/>
                <w:szCs w:val="20"/>
                <w:vertAlign w:val="superscript"/>
              </w:rPr>
              <w:t>a</w:t>
            </w:r>
          </w:p>
        </w:tc>
        <w:tc>
          <w:tcPr>
            <w:tcW w:w="1440" w:type="dxa"/>
            <w:shd w:val="clear" w:color="auto" w:fill="FFFFFF"/>
          </w:tcPr>
          <w:p w:rsidR="005B3ABD" w:rsidRDefault="003F2B6A">
            <w:pPr>
              <w:snapToGrid w:val="0"/>
              <w:jc w:val="both"/>
              <w:rPr>
                <w:color w:val="000000"/>
                <w:sz w:val="20"/>
                <w:szCs w:val="20"/>
              </w:rPr>
            </w:pPr>
            <w:r>
              <w:rPr>
                <w:color w:val="000000"/>
                <w:sz w:val="20"/>
                <w:szCs w:val="20"/>
              </w:rPr>
              <w:t>1.14 ± 0.00</w:t>
            </w:r>
            <w:r>
              <w:rPr>
                <w:color w:val="000000"/>
                <w:sz w:val="20"/>
                <w:szCs w:val="20"/>
                <w:vertAlign w:val="superscript"/>
              </w:rPr>
              <w:t>bc</w:t>
            </w:r>
          </w:p>
        </w:tc>
        <w:tc>
          <w:tcPr>
            <w:tcW w:w="1477" w:type="dxa"/>
            <w:shd w:val="clear" w:color="auto" w:fill="FFFFFF"/>
          </w:tcPr>
          <w:p w:rsidR="005B3ABD" w:rsidRDefault="003F2B6A">
            <w:pPr>
              <w:snapToGrid w:val="0"/>
              <w:jc w:val="both"/>
              <w:rPr>
                <w:color w:val="000000"/>
                <w:sz w:val="20"/>
                <w:szCs w:val="20"/>
              </w:rPr>
            </w:pPr>
            <w:r>
              <w:rPr>
                <w:color w:val="000000"/>
                <w:sz w:val="20"/>
                <w:szCs w:val="20"/>
              </w:rPr>
              <w:t>1.11 ± 0.00</w:t>
            </w:r>
            <w:r>
              <w:rPr>
                <w:color w:val="000000"/>
                <w:sz w:val="20"/>
                <w:szCs w:val="20"/>
                <w:vertAlign w:val="superscript"/>
              </w:rPr>
              <w:t>b</w:t>
            </w:r>
          </w:p>
        </w:tc>
        <w:tc>
          <w:tcPr>
            <w:tcW w:w="1440" w:type="dxa"/>
            <w:shd w:val="clear" w:color="auto" w:fill="FFFFFF"/>
          </w:tcPr>
          <w:p w:rsidR="005B3ABD" w:rsidRDefault="003F2B6A">
            <w:pPr>
              <w:snapToGrid w:val="0"/>
              <w:jc w:val="both"/>
              <w:rPr>
                <w:color w:val="000000"/>
                <w:sz w:val="20"/>
                <w:szCs w:val="20"/>
              </w:rPr>
            </w:pPr>
            <w:r>
              <w:rPr>
                <w:color w:val="000000"/>
                <w:sz w:val="20"/>
                <w:szCs w:val="20"/>
              </w:rPr>
              <w:t>1.16 ± 0.07</w:t>
            </w:r>
            <w:r>
              <w:rPr>
                <w:color w:val="000000"/>
                <w:sz w:val="20"/>
                <w:szCs w:val="20"/>
                <w:vertAlign w:val="superscript"/>
              </w:rPr>
              <w:t>c</w:t>
            </w:r>
          </w:p>
        </w:tc>
        <w:tc>
          <w:tcPr>
            <w:tcW w:w="1530" w:type="dxa"/>
            <w:shd w:val="clear" w:color="auto" w:fill="FFFFFF"/>
          </w:tcPr>
          <w:p w:rsidR="005B3ABD" w:rsidRDefault="003F2B6A">
            <w:pPr>
              <w:snapToGrid w:val="0"/>
              <w:jc w:val="both"/>
              <w:rPr>
                <w:color w:val="000000"/>
                <w:sz w:val="20"/>
                <w:szCs w:val="20"/>
              </w:rPr>
            </w:pPr>
            <w:r>
              <w:rPr>
                <w:color w:val="000000"/>
                <w:sz w:val="20"/>
                <w:szCs w:val="20"/>
              </w:rPr>
              <w:t>1.09 ± 0.03</w:t>
            </w:r>
            <w:r>
              <w:rPr>
                <w:color w:val="000000"/>
                <w:sz w:val="20"/>
                <w:szCs w:val="20"/>
                <w:vertAlign w:val="superscript"/>
              </w:rPr>
              <w:t>cd</w:t>
            </w:r>
          </w:p>
        </w:tc>
        <w:tc>
          <w:tcPr>
            <w:tcW w:w="1538" w:type="dxa"/>
            <w:shd w:val="clear" w:color="auto" w:fill="FFFFFF"/>
          </w:tcPr>
          <w:p w:rsidR="005B3ABD" w:rsidRDefault="003F2B6A">
            <w:pPr>
              <w:snapToGrid w:val="0"/>
              <w:jc w:val="both"/>
              <w:rPr>
                <w:color w:val="000000"/>
                <w:sz w:val="20"/>
                <w:szCs w:val="20"/>
              </w:rPr>
            </w:pPr>
            <w:r>
              <w:rPr>
                <w:color w:val="000000"/>
                <w:sz w:val="20"/>
                <w:szCs w:val="20"/>
              </w:rPr>
              <w:t>1.20 ± 0.00</w:t>
            </w:r>
            <w:r>
              <w:rPr>
                <w:color w:val="000000"/>
                <w:sz w:val="20"/>
                <w:szCs w:val="20"/>
                <w:vertAlign w:val="superscript"/>
              </w:rPr>
              <w:t>d</w:t>
            </w:r>
          </w:p>
        </w:tc>
      </w:tr>
      <w:tr w:rsidR="005B3ABD">
        <w:trPr>
          <w:trHeight w:val="309"/>
        </w:trPr>
        <w:tc>
          <w:tcPr>
            <w:tcW w:w="1008" w:type="dxa"/>
            <w:tcBorders>
              <w:left w:val="nil"/>
              <w:right w:val="nil"/>
            </w:tcBorders>
            <w:shd w:val="clear" w:color="auto" w:fill="FFFFFF"/>
          </w:tcPr>
          <w:p w:rsidR="005B3ABD" w:rsidRDefault="003F2B6A">
            <w:pPr>
              <w:snapToGrid w:val="0"/>
              <w:jc w:val="both"/>
              <w:rPr>
                <w:bCs/>
                <w:color w:val="000000"/>
                <w:sz w:val="20"/>
                <w:szCs w:val="20"/>
              </w:rPr>
            </w:pPr>
            <w:r>
              <w:rPr>
                <w:bCs/>
                <w:color w:val="000000"/>
                <w:sz w:val="20"/>
                <w:szCs w:val="20"/>
              </w:rPr>
              <w:t>C (mg)</w:t>
            </w:r>
          </w:p>
        </w:tc>
        <w:tc>
          <w:tcPr>
            <w:tcW w:w="1493" w:type="dxa"/>
            <w:tcBorders>
              <w:left w:val="nil"/>
              <w:right w:val="nil"/>
            </w:tcBorders>
            <w:shd w:val="clear" w:color="auto" w:fill="FFFFFF"/>
          </w:tcPr>
          <w:p w:rsidR="005B3ABD" w:rsidRDefault="003F2B6A">
            <w:pPr>
              <w:snapToGrid w:val="0"/>
              <w:jc w:val="both"/>
              <w:rPr>
                <w:color w:val="000000"/>
                <w:sz w:val="20"/>
                <w:szCs w:val="20"/>
              </w:rPr>
            </w:pPr>
            <w:r>
              <w:rPr>
                <w:color w:val="000000"/>
                <w:sz w:val="20"/>
                <w:szCs w:val="20"/>
              </w:rPr>
              <w:t>27.89 ± 0.31</w:t>
            </w:r>
            <w:r>
              <w:rPr>
                <w:color w:val="000000"/>
                <w:sz w:val="20"/>
                <w:szCs w:val="20"/>
                <w:vertAlign w:val="superscript"/>
              </w:rPr>
              <w:t>c</w:t>
            </w:r>
          </w:p>
        </w:tc>
        <w:tc>
          <w:tcPr>
            <w:tcW w:w="1440" w:type="dxa"/>
            <w:tcBorders>
              <w:left w:val="nil"/>
              <w:right w:val="nil"/>
            </w:tcBorders>
            <w:shd w:val="clear" w:color="auto" w:fill="FFFFFF"/>
          </w:tcPr>
          <w:p w:rsidR="005B3ABD" w:rsidRDefault="003F2B6A">
            <w:pPr>
              <w:snapToGrid w:val="0"/>
              <w:jc w:val="both"/>
              <w:rPr>
                <w:color w:val="000000"/>
                <w:sz w:val="20"/>
                <w:szCs w:val="20"/>
              </w:rPr>
            </w:pPr>
            <w:r>
              <w:rPr>
                <w:color w:val="000000"/>
                <w:sz w:val="20"/>
                <w:szCs w:val="20"/>
              </w:rPr>
              <w:t>28.13 ± 0.06</w:t>
            </w:r>
            <w:r>
              <w:rPr>
                <w:color w:val="000000"/>
                <w:sz w:val="20"/>
                <w:szCs w:val="20"/>
                <w:vertAlign w:val="superscript"/>
              </w:rPr>
              <w:t>d</w:t>
            </w:r>
          </w:p>
        </w:tc>
        <w:tc>
          <w:tcPr>
            <w:tcW w:w="1477" w:type="dxa"/>
            <w:tcBorders>
              <w:left w:val="nil"/>
              <w:right w:val="nil"/>
            </w:tcBorders>
            <w:shd w:val="clear" w:color="auto" w:fill="FFFFFF"/>
          </w:tcPr>
          <w:p w:rsidR="005B3ABD" w:rsidRDefault="003F2B6A">
            <w:pPr>
              <w:snapToGrid w:val="0"/>
              <w:jc w:val="both"/>
              <w:rPr>
                <w:color w:val="000000"/>
                <w:sz w:val="20"/>
                <w:szCs w:val="20"/>
              </w:rPr>
            </w:pPr>
            <w:r>
              <w:rPr>
                <w:color w:val="000000"/>
                <w:sz w:val="20"/>
                <w:szCs w:val="20"/>
              </w:rPr>
              <w:t>25.63 ± 0.18</w:t>
            </w:r>
            <w:r>
              <w:rPr>
                <w:color w:val="000000"/>
                <w:sz w:val="20"/>
                <w:szCs w:val="20"/>
                <w:vertAlign w:val="superscript"/>
              </w:rPr>
              <w:t>a</w:t>
            </w:r>
          </w:p>
        </w:tc>
        <w:tc>
          <w:tcPr>
            <w:tcW w:w="1440" w:type="dxa"/>
            <w:tcBorders>
              <w:left w:val="nil"/>
              <w:right w:val="nil"/>
            </w:tcBorders>
            <w:shd w:val="clear" w:color="auto" w:fill="FFFFFF"/>
          </w:tcPr>
          <w:p w:rsidR="005B3ABD" w:rsidRDefault="003F2B6A">
            <w:pPr>
              <w:snapToGrid w:val="0"/>
              <w:jc w:val="both"/>
              <w:rPr>
                <w:color w:val="000000"/>
                <w:sz w:val="20"/>
                <w:szCs w:val="20"/>
              </w:rPr>
            </w:pPr>
            <w:r>
              <w:rPr>
                <w:color w:val="000000"/>
                <w:sz w:val="20"/>
                <w:szCs w:val="20"/>
              </w:rPr>
              <w:t>26.25 ± 0.25</w:t>
            </w:r>
            <w:r>
              <w:rPr>
                <w:color w:val="000000"/>
                <w:sz w:val="20"/>
                <w:szCs w:val="20"/>
                <w:vertAlign w:val="superscript"/>
              </w:rPr>
              <w:t>b</w:t>
            </w:r>
          </w:p>
        </w:tc>
        <w:tc>
          <w:tcPr>
            <w:tcW w:w="1530" w:type="dxa"/>
            <w:tcBorders>
              <w:left w:val="nil"/>
              <w:right w:val="nil"/>
            </w:tcBorders>
            <w:shd w:val="clear" w:color="auto" w:fill="FFFFFF"/>
          </w:tcPr>
          <w:p w:rsidR="005B3ABD" w:rsidRDefault="003F2B6A">
            <w:pPr>
              <w:snapToGrid w:val="0"/>
              <w:jc w:val="both"/>
              <w:rPr>
                <w:color w:val="000000"/>
                <w:sz w:val="20"/>
                <w:szCs w:val="20"/>
              </w:rPr>
            </w:pPr>
            <w:r>
              <w:rPr>
                <w:color w:val="000000"/>
                <w:sz w:val="20"/>
                <w:szCs w:val="20"/>
              </w:rPr>
              <w:t>28.78 ± 0.19</w:t>
            </w:r>
            <w:r>
              <w:rPr>
                <w:color w:val="000000"/>
                <w:sz w:val="20"/>
                <w:szCs w:val="20"/>
                <w:vertAlign w:val="superscript"/>
              </w:rPr>
              <w:t>d</w:t>
            </w:r>
          </w:p>
        </w:tc>
        <w:tc>
          <w:tcPr>
            <w:tcW w:w="1538" w:type="dxa"/>
            <w:tcBorders>
              <w:left w:val="nil"/>
              <w:right w:val="nil"/>
            </w:tcBorders>
            <w:shd w:val="clear" w:color="auto" w:fill="FFFFFF"/>
          </w:tcPr>
          <w:p w:rsidR="005B3ABD" w:rsidRDefault="003F2B6A">
            <w:pPr>
              <w:snapToGrid w:val="0"/>
              <w:jc w:val="both"/>
              <w:rPr>
                <w:color w:val="000000"/>
                <w:sz w:val="20"/>
                <w:szCs w:val="20"/>
              </w:rPr>
            </w:pPr>
            <w:r>
              <w:rPr>
                <w:color w:val="000000"/>
                <w:sz w:val="20"/>
                <w:szCs w:val="20"/>
              </w:rPr>
              <w:t>25.00 ± 0.00</w:t>
            </w:r>
            <w:r>
              <w:rPr>
                <w:color w:val="000000"/>
                <w:sz w:val="20"/>
                <w:szCs w:val="20"/>
                <w:vertAlign w:val="superscript"/>
              </w:rPr>
              <w:t>a</w:t>
            </w:r>
          </w:p>
        </w:tc>
      </w:tr>
    </w:tbl>
    <w:p w:rsidR="005B3ABD" w:rsidRDefault="003F2B6A">
      <w:pPr>
        <w:snapToGrid w:val="0"/>
        <w:jc w:val="both"/>
        <w:rPr>
          <w:sz w:val="20"/>
          <w:szCs w:val="20"/>
        </w:rPr>
      </w:pPr>
      <w:r>
        <w:rPr>
          <w:sz w:val="20"/>
          <w:szCs w:val="20"/>
        </w:rPr>
        <w:t xml:space="preserve">All values are expressed </w:t>
      </w:r>
      <w:r>
        <w:rPr>
          <w:sz w:val="20"/>
          <w:szCs w:val="20"/>
        </w:rPr>
        <w:t>as means ± SD of 3 replicate determinations while values with different superscript within the same row are significantly different @ p&lt;0.05. SD: Standard deviation; IU: International unit; FDN: Food and nutrition.</w:t>
      </w:r>
    </w:p>
    <w:p w:rsidR="005B3ABD" w:rsidRDefault="005B3ABD">
      <w:pPr>
        <w:snapToGrid w:val="0"/>
        <w:jc w:val="both"/>
        <w:rPr>
          <w:sz w:val="20"/>
          <w:szCs w:val="20"/>
        </w:rPr>
      </w:pPr>
    </w:p>
    <w:p w:rsidR="005B3ABD" w:rsidRDefault="005B3ABD">
      <w:pPr>
        <w:snapToGrid w:val="0"/>
        <w:jc w:val="both"/>
        <w:rPr>
          <w:sz w:val="20"/>
          <w:szCs w:val="20"/>
        </w:rPr>
        <w:sectPr w:rsidR="005B3ABD">
          <w:type w:val="continuous"/>
          <w:pgSz w:w="12240" w:h="15839"/>
          <w:pgMar w:top="1440" w:right="1440" w:bottom="1440" w:left="1440" w:header="720" w:footer="720" w:gutter="0"/>
          <w:cols w:space="425"/>
          <w:titlePg/>
          <w:docGrid w:linePitch="360"/>
        </w:sectPr>
      </w:pPr>
    </w:p>
    <w:p w:rsidR="005B3ABD" w:rsidRDefault="003F2B6A">
      <w:pPr>
        <w:snapToGrid w:val="0"/>
        <w:jc w:val="both"/>
        <w:rPr>
          <w:b/>
          <w:sz w:val="20"/>
          <w:szCs w:val="20"/>
        </w:rPr>
      </w:pPr>
      <w:r>
        <w:rPr>
          <w:sz w:val="20"/>
          <w:szCs w:val="20"/>
        </w:rPr>
        <w:lastRenderedPageBreak/>
        <w:tab/>
        <w:t>Vitamin B</w:t>
      </w:r>
      <w:r>
        <w:rPr>
          <w:sz w:val="20"/>
          <w:szCs w:val="20"/>
          <w:vertAlign w:val="subscript"/>
        </w:rPr>
        <w:t xml:space="preserve">12 </w:t>
      </w:r>
      <w:r>
        <w:rPr>
          <w:sz w:val="20"/>
          <w:szCs w:val="20"/>
        </w:rPr>
        <w:t xml:space="preserve">is a water soluble vitamin that is naturally present in many foods especially fruits and vegetables. The vitamin is required for red blood cell formation, neurological function and DNA synthesis </w:t>
      </w:r>
      <w:r>
        <w:rPr>
          <w:rFonts w:eastAsia="Calibri"/>
          <w:sz w:val="20"/>
          <w:szCs w:val="20"/>
          <w:vertAlign w:val="superscript"/>
        </w:rPr>
        <w:t>[26]</w:t>
      </w:r>
      <w:r>
        <w:rPr>
          <w:sz w:val="20"/>
          <w:szCs w:val="20"/>
        </w:rPr>
        <w:t>. Vitamin C result (25.63 – 28.78 mg/100g) of the study i</w:t>
      </w:r>
      <w:r>
        <w:rPr>
          <w:sz w:val="20"/>
          <w:szCs w:val="20"/>
        </w:rPr>
        <w:t xml:space="preserve">s higher than reference standard (25.00) reported by </w:t>
      </w:r>
      <w:r>
        <w:rPr>
          <w:rFonts w:eastAsia="Calibri"/>
          <w:sz w:val="20"/>
          <w:szCs w:val="20"/>
          <w:vertAlign w:val="superscript"/>
        </w:rPr>
        <w:t>[11]</w:t>
      </w:r>
      <w:r>
        <w:rPr>
          <w:sz w:val="20"/>
          <w:szCs w:val="20"/>
        </w:rPr>
        <w:t xml:space="preserve"> which also higher than that of </w:t>
      </w:r>
      <w:r>
        <w:rPr>
          <w:rFonts w:eastAsia="Calibri"/>
          <w:sz w:val="20"/>
          <w:szCs w:val="20"/>
          <w:vertAlign w:val="superscript"/>
        </w:rPr>
        <w:t>[24]</w:t>
      </w:r>
      <w:r>
        <w:rPr>
          <w:sz w:val="20"/>
          <w:szCs w:val="20"/>
        </w:rPr>
        <w:t xml:space="preserve"> who reported a range lower than 10 mg/100g in their study. Vitamin C enhances absorption of non-</w:t>
      </w:r>
      <w:proofErr w:type="spellStart"/>
      <w:r>
        <w:rPr>
          <w:sz w:val="20"/>
          <w:szCs w:val="20"/>
        </w:rPr>
        <w:t>heme</w:t>
      </w:r>
      <w:proofErr w:type="spellEnd"/>
      <w:r>
        <w:rPr>
          <w:sz w:val="20"/>
          <w:szCs w:val="20"/>
        </w:rPr>
        <w:t xml:space="preserve"> iron from cereals according to </w:t>
      </w:r>
      <w:proofErr w:type="spellStart"/>
      <w:r>
        <w:rPr>
          <w:sz w:val="20"/>
          <w:szCs w:val="20"/>
        </w:rPr>
        <w:t>Onabanjo</w:t>
      </w:r>
      <w:proofErr w:type="spellEnd"/>
      <w:r>
        <w:rPr>
          <w:sz w:val="20"/>
          <w:szCs w:val="20"/>
        </w:rPr>
        <w:t xml:space="preserve"> et al. </w:t>
      </w:r>
      <w:r>
        <w:rPr>
          <w:rFonts w:eastAsia="Calibri"/>
          <w:sz w:val="20"/>
          <w:szCs w:val="20"/>
          <w:vertAlign w:val="superscript"/>
        </w:rPr>
        <w:t>[27]</w:t>
      </w:r>
      <w:r>
        <w:rPr>
          <w:sz w:val="20"/>
          <w:szCs w:val="20"/>
        </w:rPr>
        <w:t>.</w:t>
      </w:r>
    </w:p>
    <w:p w:rsidR="005B3ABD" w:rsidRDefault="005B3ABD">
      <w:pPr>
        <w:snapToGrid w:val="0"/>
        <w:jc w:val="both"/>
        <w:rPr>
          <w:b/>
          <w:sz w:val="20"/>
          <w:szCs w:val="20"/>
        </w:rPr>
      </w:pPr>
    </w:p>
    <w:p w:rsidR="005B3ABD" w:rsidRDefault="003F2B6A">
      <w:pPr>
        <w:snapToGrid w:val="0"/>
        <w:jc w:val="both"/>
        <w:rPr>
          <w:b/>
          <w:sz w:val="20"/>
          <w:szCs w:val="20"/>
        </w:rPr>
      </w:pPr>
      <w:r>
        <w:rPr>
          <w:b/>
          <w:sz w:val="20"/>
          <w:szCs w:val="20"/>
        </w:rPr>
        <w:t xml:space="preserve">t-test </w:t>
      </w:r>
      <w:r>
        <w:rPr>
          <w:b/>
          <w:sz w:val="20"/>
          <w:szCs w:val="20"/>
        </w:rPr>
        <w:t>correlation of mean weight of the preschool children based on their geographical location</w:t>
      </w:r>
    </w:p>
    <w:p w:rsidR="005B3ABD" w:rsidRDefault="003F2B6A">
      <w:pPr>
        <w:snapToGrid w:val="0"/>
        <w:jc w:val="both"/>
        <w:rPr>
          <w:sz w:val="20"/>
          <w:szCs w:val="20"/>
        </w:rPr>
      </w:pPr>
      <w:r>
        <w:rPr>
          <w:sz w:val="20"/>
          <w:szCs w:val="20"/>
        </w:rPr>
        <w:tab/>
        <w:t xml:space="preserve">Table 4 showed that the t-test correlation of mean weight, height and BMI among the study (rural, </w:t>
      </w:r>
      <w:r>
        <w:rPr>
          <w:sz w:val="20"/>
          <w:szCs w:val="20"/>
        </w:rPr>
        <w:lastRenderedPageBreak/>
        <w:t>semi-urban and urban) area preschool aged childr</w:t>
      </w:r>
      <w:r>
        <w:rPr>
          <w:sz w:val="20"/>
          <w:szCs w:val="20"/>
        </w:rPr>
        <w:t>en on their geographical location. In term of weight, rural area had a mean score of 14.99 with standard deviation of 0.32; semi-urban area had 15.38 with 0.19 standard deviation while urban area had mean score of 15.95, respectively. Applying the independ</w:t>
      </w:r>
      <w:r>
        <w:rPr>
          <w:sz w:val="20"/>
          <w:szCs w:val="20"/>
        </w:rPr>
        <w:t>ent t-test, the value of t-calculated (</w:t>
      </w:r>
      <w:proofErr w:type="spellStart"/>
      <w:r>
        <w:rPr>
          <w:sz w:val="20"/>
          <w:szCs w:val="20"/>
        </w:rPr>
        <w:t>t</w:t>
      </w:r>
      <w:r>
        <w:rPr>
          <w:sz w:val="20"/>
          <w:szCs w:val="20"/>
          <w:vertAlign w:val="subscript"/>
        </w:rPr>
        <w:t>cal</w:t>
      </w:r>
      <w:proofErr w:type="spellEnd"/>
      <w:r>
        <w:rPr>
          <w:sz w:val="20"/>
          <w:szCs w:val="20"/>
        </w:rPr>
        <w:t>) for rural area is 6.00 while its critical value (</w:t>
      </w:r>
      <w:proofErr w:type="spellStart"/>
      <w:r>
        <w:rPr>
          <w:sz w:val="20"/>
          <w:szCs w:val="20"/>
        </w:rPr>
        <w:t>t</w:t>
      </w:r>
      <w:r>
        <w:rPr>
          <w:sz w:val="20"/>
          <w:szCs w:val="20"/>
          <w:vertAlign w:val="subscript"/>
        </w:rPr>
        <w:t>cri</w:t>
      </w:r>
      <w:proofErr w:type="spellEnd"/>
      <w:r>
        <w:rPr>
          <w:sz w:val="20"/>
          <w:szCs w:val="20"/>
        </w:rPr>
        <w:t>) is 3.18 at alpha 0.05. Likewise, the value of t- calculated (</w:t>
      </w:r>
      <w:proofErr w:type="spellStart"/>
      <w:r>
        <w:rPr>
          <w:sz w:val="20"/>
          <w:szCs w:val="20"/>
        </w:rPr>
        <w:t>t</w:t>
      </w:r>
      <w:r>
        <w:rPr>
          <w:sz w:val="20"/>
          <w:szCs w:val="20"/>
          <w:vertAlign w:val="subscript"/>
        </w:rPr>
        <w:t>cal</w:t>
      </w:r>
      <w:proofErr w:type="spellEnd"/>
      <w:r>
        <w:rPr>
          <w:sz w:val="20"/>
          <w:szCs w:val="20"/>
        </w:rPr>
        <w:t>) for semi-urban area is 6.00 while its critical value (</w:t>
      </w:r>
      <w:proofErr w:type="spellStart"/>
      <w:r>
        <w:rPr>
          <w:sz w:val="20"/>
          <w:szCs w:val="20"/>
        </w:rPr>
        <w:t>t</w:t>
      </w:r>
      <w:r>
        <w:rPr>
          <w:sz w:val="20"/>
          <w:szCs w:val="20"/>
          <w:vertAlign w:val="subscript"/>
        </w:rPr>
        <w:t>cri</w:t>
      </w:r>
      <w:proofErr w:type="spellEnd"/>
      <w:r>
        <w:rPr>
          <w:sz w:val="20"/>
          <w:szCs w:val="20"/>
        </w:rPr>
        <w:t xml:space="preserve">) is 3.18. The value of both </w:t>
      </w:r>
      <w:proofErr w:type="spellStart"/>
      <w:r>
        <w:rPr>
          <w:sz w:val="20"/>
          <w:szCs w:val="20"/>
        </w:rPr>
        <w:t>t</w:t>
      </w:r>
      <w:r>
        <w:rPr>
          <w:sz w:val="20"/>
          <w:szCs w:val="20"/>
          <w:vertAlign w:val="subscript"/>
        </w:rPr>
        <w:t>c</w:t>
      </w:r>
      <w:r>
        <w:rPr>
          <w:sz w:val="20"/>
          <w:szCs w:val="20"/>
          <w:vertAlign w:val="subscript"/>
        </w:rPr>
        <w:t>al</w:t>
      </w:r>
      <w:proofErr w:type="spellEnd"/>
      <w:r>
        <w:rPr>
          <w:sz w:val="20"/>
          <w:szCs w:val="20"/>
          <w:vertAlign w:val="subscript"/>
        </w:rPr>
        <w:t xml:space="preserve"> </w:t>
      </w:r>
      <w:r>
        <w:rPr>
          <w:sz w:val="20"/>
          <w:szCs w:val="20"/>
        </w:rPr>
        <w:t xml:space="preserve">is greater than their correspondent </w:t>
      </w:r>
      <w:proofErr w:type="spellStart"/>
      <w:r>
        <w:rPr>
          <w:sz w:val="20"/>
          <w:szCs w:val="20"/>
        </w:rPr>
        <w:t>t</w:t>
      </w:r>
      <w:r>
        <w:rPr>
          <w:sz w:val="20"/>
          <w:szCs w:val="20"/>
          <w:vertAlign w:val="subscript"/>
        </w:rPr>
        <w:t>cri</w:t>
      </w:r>
      <w:proofErr w:type="spellEnd"/>
      <w:r>
        <w:rPr>
          <w:sz w:val="20"/>
          <w:szCs w:val="20"/>
        </w:rPr>
        <w:t xml:space="preserve"> hence the null hypothesis was accepted for both areas and their alternative hypothesis rejected. </w:t>
      </w:r>
    </w:p>
    <w:p w:rsidR="005A57CC" w:rsidRDefault="005A57CC">
      <w:pPr>
        <w:snapToGrid w:val="0"/>
        <w:jc w:val="both"/>
        <w:rPr>
          <w:sz w:val="20"/>
          <w:szCs w:val="20"/>
        </w:rPr>
        <w:sectPr w:rsidR="005A57CC">
          <w:type w:val="continuous"/>
          <w:pgSz w:w="12240" w:h="15839"/>
          <w:pgMar w:top="1440" w:right="1440" w:bottom="1440" w:left="1440" w:header="720" w:footer="720" w:gutter="0"/>
          <w:cols w:num="2" w:space="720" w:equalWidth="0">
            <w:col w:w="4467" w:space="425"/>
            <w:col w:w="4467"/>
          </w:cols>
          <w:titlePg/>
          <w:docGrid w:linePitch="360"/>
        </w:sectPr>
      </w:pPr>
    </w:p>
    <w:p w:rsidR="005B3ABD" w:rsidRDefault="005B3ABD">
      <w:pPr>
        <w:snapToGrid w:val="0"/>
        <w:jc w:val="both"/>
        <w:rPr>
          <w:sz w:val="20"/>
          <w:szCs w:val="20"/>
        </w:rPr>
      </w:pPr>
    </w:p>
    <w:p w:rsidR="005B3ABD" w:rsidRDefault="003F2B6A">
      <w:pPr>
        <w:snapToGrid w:val="0"/>
        <w:jc w:val="both"/>
        <w:rPr>
          <w:sz w:val="20"/>
          <w:szCs w:val="20"/>
        </w:rPr>
      </w:pPr>
      <w:r>
        <w:rPr>
          <w:sz w:val="20"/>
          <w:szCs w:val="20"/>
        </w:rPr>
        <w:t>Table 4: t-test correlation of mean weight and height of the preschool children based on geographical location</w:t>
      </w:r>
    </w:p>
    <w:tbl>
      <w:tblPr>
        <w:tblW w:w="9386" w:type="dxa"/>
        <w:tblBorders>
          <w:top w:val="single" w:sz="8" w:space="0" w:color="000000"/>
          <w:bottom w:val="single" w:sz="8" w:space="0" w:color="000000"/>
        </w:tblBorders>
        <w:shd w:val="clear" w:color="auto" w:fill="FFFFFF"/>
        <w:tblLook w:val="04A0" w:firstRow="1" w:lastRow="0" w:firstColumn="1" w:lastColumn="0" w:noHBand="0" w:noVBand="1"/>
      </w:tblPr>
      <w:tblGrid>
        <w:gridCol w:w="1458"/>
        <w:gridCol w:w="1440"/>
        <w:gridCol w:w="450"/>
        <w:gridCol w:w="720"/>
        <w:gridCol w:w="630"/>
        <w:gridCol w:w="450"/>
        <w:gridCol w:w="720"/>
        <w:gridCol w:w="630"/>
        <w:gridCol w:w="1170"/>
        <w:gridCol w:w="1718"/>
      </w:tblGrid>
      <w:tr w:rsidR="005B3ABD">
        <w:trPr>
          <w:trHeight w:val="162"/>
        </w:trPr>
        <w:tc>
          <w:tcPr>
            <w:tcW w:w="1458" w:type="dxa"/>
            <w:tcBorders>
              <w:top w:val="single" w:sz="8" w:space="0" w:color="000000"/>
              <w:left w:val="nil"/>
              <w:bottom w:val="single" w:sz="8" w:space="0" w:color="000000"/>
              <w:right w:val="nil"/>
            </w:tcBorders>
            <w:shd w:val="clear" w:color="auto" w:fill="FFFFFF"/>
          </w:tcPr>
          <w:p w:rsidR="005B3ABD" w:rsidRDefault="003F2B6A">
            <w:pPr>
              <w:snapToGrid w:val="0"/>
              <w:jc w:val="both"/>
              <w:rPr>
                <w:bCs/>
                <w:color w:val="000000"/>
                <w:sz w:val="20"/>
                <w:szCs w:val="20"/>
              </w:rPr>
            </w:pPr>
            <w:r>
              <w:rPr>
                <w:bCs/>
                <w:color w:val="000000"/>
                <w:sz w:val="20"/>
                <w:szCs w:val="20"/>
              </w:rPr>
              <w:t xml:space="preserve">Variables </w:t>
            </w:r>
          </w:p>
        </w:tc>
        <w:tc>
          <w:tcPr>
            <w:tcW w:w="1440" w:type="dxa"/>
            <w:tcBorders>
              <w:top w:val="single" w:sz="8" w:space="0" w:color="000000"/>
              <w:left w:val="nil"/>
              <w:bottom w:val="single" w:sz="8" w:space="0" w:color="000000"/>
              <w:right w:val="nil"/>
            </w:tcBorders>
            <w:shd w:val="clear" w:color="auto" w:fill="FFFFFF"/>
          </w:tcPr>
          <w:p w:rsidR="005B3ABD" w:rsidRDefault="003F2B6A">
            <w:pPr>
              <w:snapToGrid w:val="0"/>
              <w:jc w:val="both"/>
              <w:rPr>
                <w:bCs/>
                <w:color w:val="000000"/>
                <w:sz w:val="20"/>
                <w:szCs w:val="20"/>
              </w:rPr>
            </w:pPr>
            <w:r>
              <w:rPr>
                <w:bCs/>
                <w:color w:val="000000"/>
                <w:sz w:val="20"/>
                <w:szCs w:val="20"/>
              </w:rPr>
              <w:t>Group</w:t>
            </w:r>
          </w:p>
        </w:tc>
        <w:tc>
          <w:tcPr>
            <w:tcW w:w="450" w:type="dxa"/>
            <w:tcBorders>
              <w:top w:val="single" w:sz="8" w:space="0" w:color="000000"/>
              <w:left w:val="nil"/>
              <w:bottom w:val="single" w:sz="8" w:space="0" w:color="000000"/>
              <w:right w:val="nil"/>
            </w:tcBorders>
            <w:shd w:val="clear" w:color="auto" w:fill="FFFFFF"/>
          </w:tcPr>
          <w:p w:rsidR="005B3ABD" w:rsidRDefault="003F2B6A">
            <w:pPr>
              <w:snapToGrid w:val="0"/>
              <w:jc w:val="both"/>
              <w:rPr>
                <w:bCs/>
                <w:color w:val="000000"/>
                <w:sz w:val="20"/>
                <w:szCs w:val="20"/>
              </w:rPr>
            </w:pPr>
            <w:r>
              <w:rPr>
                <w:bCs/>
                <w:color w:val="000000"/>
                <w:sz w:val="20"/>
                <w:szCs w:val="20"/>
              </w:rPr>
              <w:t xml:space="preserve"> N</w:t>
            </w:r>
          </w:p>
        </w:tc>
        <w:tc>
          <w:tcPr>
            <w:tcW w:w="720" w:type="dxa"/>
            <w:tcBorders>
              <w:top w:val="single" w:sz="8" w:space="0" w:color="000000"/>
              <w:left w:val="nil"/>
              <w:bottom w:val="single" w:sz="8" w:space="0" w:color="000000"/>
              <w:right w:val="nil"/>
            </w:tcBorders>
            <w:shd w:val="clear" w:color="auto" w:fill="FFFFFF"/>
          </w:tcPr>
          <w:p w:rsidR="005B3ABD" w:rsidRDefault="003F2B6A">
            <w:pPr>
              <w:snapToGrid w:val="0"/>
              <w:jc w:val="both"/>
              <w:rPr>
                <w:bCs/>
                <w:color w:val="000000"/>
                <w:sz w:val="20"/>
                <w:szCs w:val="20"/>
              </w:rPr>
            </w:pPr>
            <w:r>
              <w:rPr>
                <w:bCs/>
                <w:color w:val="000000"/>
                <w:sz w:val="20"/>
                <w:szCs w:val="20"/>
              </w:rPr>
              <w:t xml:space="preserve">   X</w:t>
            </w:r>
          </w:p>
        </w:tc>
        <w:tc>
          <w:tcPr>
            <w:tcW w:w="630" w:type="dxa"/>
            <w:tcBorders>
              <w:top w:val="single" w:sz="8" w:space="0" w:color="000000"/>
              <w:left w:val="nil"/>
              <w:bottom w:val="single" w:sz="8" w:space="0" w:color="000000"/>
              <w:right w:val="nil"/>
            </w:tcBorders>
            <w:shd w:val="clear" w:color="auto" w:fill="FFFFFF"/>
          </w:tcPr>
          <w:p w:rsidR="005B3ABD" w:rsidRDefault="003F2B6A">
            <w:pPr>
              <w:snapToGrid w:val="0"/>
              <w:jc w:val="both"/>
              <w:rPr>
                <w:bCs/>
                <w:color w:val="000000"/>
                <w:sz w:val="20"/>
                <w:szCs w:val="20"/>
              </w:rPr>
            </w:pPr>
            <w:r>
              <w:rPr>
                <w:bCs/>
                <w:color w:val="000000"/>
                <w:sz w:val="20"/>
                <w:szCs w:val="20"/>
              </w:rPr>
              <w:t xml:space="preserve">  SD</w:t>
            </w:r>
          </w:p>
        </w:tc>
        <w:tc>
          <w:tcPr>
            <w:tcW w:w="450" w:type="dxa"/>
            <w:tcBorders>
              <w:top w:val="single" w:sz="8" w:space="0" w:color="000000"/>
              <w:left w:val="nil"/>
              <w:bottom w:val="single" w:sz="8" w:space="0" w:color="000000"/>
              <w:right w:val="nil"/>
            </w:tcBorders>
            <w:shd w:val="clear" w:color="auto" w:fill="FFFFFF"/>
          </w:tcPr>
          <w:p w:rsidR="005B3ABD" w:rsidRDefault="003F2B6A">
            <w:pPr>
              <w:snapToGrid w:val="0"/>
              <w:jc w:val="both"/>
              <w:rPr>
                <w:bCs/>
                <w:color w:val="000000"/>
                <w:sz w:val="20"/>
                <w:szCs w:val="20"/>
              </w:rPr>
            </w:pPr>
            <w:proofErr w:type="spellStart"/>
            <w:r>
              <w:rPr>
                <w:bCs/>
                <w:color w:val="000000"/>
                <w:sz w:val="20"/>
                <w:szCs w:val="20"/>
              </w:rPr>
              <w:t>Df</w:t>
            </w:r>
            <w:proofErr w:type="spellEnd"/>
          </w:p>
        </w:tc>
        <w:tc>
          <w:tcPr>
            <w:tcW w:w="720" w:type="dxa"/>
            <w:tcBorders>
              <w:top w:val="single" w:sz="8" w:space="0" w:color="000000"/>
              <w:left w:val="nil"/>
              <w:bottom w:val="single" w:sz="8" w:space="0" w:color="000000"/>
              <w:right w:val="nil"/>
            </w:tcBorders>
            <w:shd w:val="clear" w:color="auto" w:fill="FFFFFF"/>
          </w:tcPr>
          <w:p w:rsidR="005B3ABD" w:rsidRDefault="003F2B6A">
            <w:pPr>
              <w:snapToGrid w:val="0"/>
              <w:jc w:val="both"/>
              <w:rPr>
                <w:bCs/>
                <w:color w:val="000000"/>
                <w:sz w:val="20"/>
                <w:szCs w:val="20"/>
              </w:rPr>
            </w:pPr>
            <w:r>
              <w:rPr>
                <w:bCs/>
                <w:color w:val="000000"/>
                <w:sz w:val="20"/>
                <w:szCs w:val="20"/>
              </w:rPr>
              <w:t xml:space="preserve">  t-</w:t>
            </w:r>
            <w:proofErr w:type="spellStart"/>
            <w:r>
              <w:rPr>
                <w:bCs/>
                <w:color w:val="000000"/>
                <w:sz w:val="20"/>
                <w:szCs w:val="20"/>
              </w:rPr>
              <w:t>cal</w:t>
            </w:r>
            <w:proofErr w:type="spellEnd"/>
          </w:p>
        </w:tc>
        <w:tc>
          <w:tcPr>
            <w:tcW w:w="630" w:type="dxa"/>
            <w:tcBorders>
              <w:top w:val="single" w:sz="8" w:space="0" w:color="000000"/>
              <w:left w:val="nil"/>
              <w:bottom w:val="single" w:sz="8" w:space="0" w:color="000000"/>
              <w:right w:val="nil"/>
            </w:tcBorders>
            <w:shd w:val="clear" w:color="auto" w:fill="FFFFFF"/>
          </w:tcPr>
          <w:p w:rsidR="005B3ABD" w:rsidRDefault="003F2B6A">
            <w:pPr>
              <w:snapToGrid w:val="0"/>
              <w:jc w:val="both"/>
              <w:rPr>
                <w:bCs/>
                <w:color w:val="000000"/>
                <w:sz w:val="20"/>
                <w:szCs w:val="20"/>
              </w:rPr>
            </w:pPr>
            <w:r>
              <w:rPr>
                <w:bCs/>
                <w:color w:val="000000"/>
                <w:sz w:val="20"/>
                <w:szCs w:val="20"/>
              </w:rPr>
              <w:t>t-cri</w:t>
            </w:r>
          </w:p>
        </w:tc>
        <w:tc>
          <w:tcPr>
            <w:tcW w:w="1170" w:type="dxa"/>
            <w:tcBorders>
              <w:top w:val="single" w:sz="8" w:space="0" w:color="000000"/>
              <w:left w:val="nil"/>
              <w:bottom w:val="single" w:sz="8" w:space="0" w:color="000000"/>
              <w:right w:val="nil"/>
            </w:tcBorders>
            <w:shd w:val="clear" w:color="auto" w:fill="FFFFFF"/>
          </w:tcPr>
          <w:p w:rsidR="005B3ABD" w:rsidRDefault="003F2B6A">
            <w:pPr>
              <w:snapToGrid w:val="0"/>
              <w:jc w:val="both"/>
              <w:rPr>
                <w:bCs/>
                <w:color w:val="000000"/>
                <w:sz w:val="20"/>
                <w:szCs w:val="20"/>
              </w:rPr>
            </w:pPr>
            <w:proofErr w:type="spellStart"/>
            <w:r>
              <w:rPr>
                <w:bCs/>
                <w:color w:val="000000"/>
                <w:sz w:val="20"/>
                <w:szCs w:val="20"/>
              </w:rPr>
              <w:t>t</w:t>
            </w:r>
            <w:r>
              <w:rPr>
                <w:bCs/>
                <w:color w:val="000000"/>
                <w:sz w:val="20"/>
                <w:szCs w:val="20"/>
                <w:vertAlign w:val="subscript"/>
              </w:rPr>
              <w:t>cal</w:t>
            </w:r>
            <w:proofErr w:type="spellEnd"/>
            <w:r>
              <w:rPr>
                <w:bCs/>
                <w:color w:val="000000"/>
                <w:sz w:val="20"/>
                <w:szCs w:val="20"/>
                <w:vertAlign w:val="subscript"/>
              </w:rPr>
              <w:t xml:space="preserve"> </w:t>
            </w:r>
            <w:r>
              <w:rPr>
                <w:bCs/>
                <w:color w:val="000000"/>
                <w:sz w:val="20"/>
                <w:szCs w:val="20"/>
              </w:rPr>
              <w:t xml:space="preserve">vs </w:t>
            </w:r>
            <w:proofErr w:type="spellStart"/>
            <w:r>
              <w:rPr>
                <w:bCs/>
                <w:color w:val="000000"/>
                <w:sz w:val="20"/>
                <w:szCs w:val="20"/>
              </w:rPr>
              <w:t>t</w:t>
            </w:r>
            <w:r>
              <w:rPr>
                <w:bCs/>
                <w:color w:val="000000"/>
                <w:sz w:val="20"/>
                <w:szCs w:val="20"/>
                <w:vertAlign w:val="subscript"/>
              </w:rPr>
              <w:t>cri</w:t>
            </w:r>
            <w:proofErr w:type="spellEnd"/>
          </w:p>
        </w:tc>
        <w:tc>
          <w:tcPr>
            <w:tcW w:w="1718" w:type="dxa"/>
            <w:tcBorders>
              <w:top w:val="single" w:sz="8" w:space="0" w:color="000000"/>
              <w:left w:val="nil"/>
              <w:bottom w:val="single" w:sz="8" w:space="0" w:color="000000"/>
              <w:right w:val="nil"/>
            </w:tcBorders>
            <w:shd w:val="clear" w:color="auto" w:fill="FFFFFF"/>
          </w:tcPr>
          <w:p w:rsidR="005B3ABD" w:rsidRDefault="003F2B6A">
            <w:pPr>
              <w:snapToGrid w:val="0"/>
              <w:jc w:val="both"/>
              <w:rPr>
                <w:bCs/>
                <w:color w:val="000000"/>
                <w:sz w:val="20"/>
                <w:szCs w:val="20"/>
              </w:rPr>
            </w:pPr>
            <w:r>
              <w:rPr>
                <w:bCs/>
                <w:color w:val="000000"/>
                <w:sz w:val="20"/>
                <w:szCs w:val="20"/>
              </w:rPr>
              <w:t>Decision (p&lt;0.05)</w:t>
            </w:r>
          </w:p>
        </w:tc>
      </w:tr>
      <w:tr w:rsidR="005B3ABD">
        <w:trPr>
          <w:trHeight w:val="162"/>
        </w:trPr>
        <w:tc>
          <w:tcPr>
            <w:tcW w:w="1458" w:type="dxa"/>
            <w:tcBorders>
              <w:left w:val="nil"/>
              <w:right w:val="nil"/>
            </w:tcBorders>
            <w:shd w:val="clear" w:color="auto" w:fill="FFFFFF"/>
          </w:tcPr>
          <w:p w:rsidR="005B3ABD" w:rsidRDefault="003F2B6A">
            <w:pPr>
              <w:snapToGrid w:val="0"/>
              <w:jc w:val="both"/>
              <w:rPr>
                <w:bCs/>
                <w:color w:val="000000"/>
                <w:sz w:val="20"/>
                <w:szCs w:val="20"/>
              </w:rPr>
            </w:pPr>
            <w:r>
              <w:rPr>
                <w:bCs/>
                <w:color w:val="000000"/>
                <w:sz w:val="20"/>
                <w:szCs w:val="20"/>
              </w:rPr>
              <w:t>Weight (kg)</w:t>
            </w:r>
          </w:p>
        </w:tc>
        <w:tc>
          <w:tcPr>
            <w:tcW w:w="1440" w:type="dxa"/>
            <w:tcBorders>
              <w:left w:val="nil"/>
              <w:right w:val="nil"/>
            </w:tcBorders>
            <w:shd w:val="clear" w:color="auto" w:fill="FFFFFF"/>
          </w:tcPr>
          <w:p w:rsidR="005B3ABD" w:rsidRDefault="003F2B6A">
            <w:pPr>
              <w:snapToGrid w:val="0"/>
              <w:jc w:val="both"/>
              <w:rPr>
                <w:b/>
                <w:color w:val="000000"/>
                <w:sz w:val="20"/>
                <w:szCs w:val="20"/>
              </w:rPr>
            </w:pPr>
            <w:r>
              <w:rPr>
                <w:b/>
                <w:color w:val="000000"/>
                <w:sz w:val="20"/>
                <w:szCs w:val="20"/>
              </w:rPr>
              <w:t xml:space="preserve">Rural Area </w:t>
            </w:r>
          </w:p>
          <w:p w:rsidR="005B3ABD" w:rsidRDefault="003F2B6A">
            <w:pPr>
              <w:snapToGrid w:val="0"/>
              <w:jc w:val="both"/>
              <w:rPr>
                <w:color w:val="000000"/>
                <w:sz w:val="20"/>
                <w:szCs w:val="20"/>
              </w:rPr>
            </w:pPr>
            <w:r>
              <w:rPr>
                <w:color w:val="000000"/>
                <w:sz w:val="20"/>
                <w:szCs w:val="20"/>
              </w:rPr>
              <w:t>Semi-urban</w:t>
            </w:r>
          </w:p>
          <w:p w:rsidR="005B3ABD" w:rsidRDefault="003F2B6A">
            <w:pPr>
              <w:snapToGrid w:val="0"/>
              <w:jc w:val="both"/>
              <w:rPr>
                <w:color w:val="000000"/>
                <w:sz w:val="20"/>
                <w:szCs w:val="20"/>
              </w:rPr>
            </w:pPr>
            <w:r>
              <w:rPr>
                <w:color w:val="000000"/>
                <w:sz w:val="20"/>
                <w:szCs w:val="20"/>
              </w:rPr>
              <w:t>Urban Area</w:t>
            </w:r>
          </w:p>
        </w:tc>
        <w:tc>
          <w:tcPr>
            <w:tcW w:w="450" w:type="dxa"/>
            <w:tcBorders>
              <w:left w:val="nil"/>
              <w:right w:val="nil"/>
            </w:tcBorders>
            <w:shd w:val="clear" w:color="auto" w:fill="FFFFFF"/>
          </w:tcPr>
          <w:p w:rsidR="005B3ABD" w:rsidRDefault="003F2B6A">
            <w:pPr>
              <w:snapToGrid w:val="0"/>
              <w:jc w:val="both"/>
              <w:rPr>
                <w:b/>
                <w:color w:val="000000"/>
                <w:sz w:val="20"/>
                <w:szCs w:val="20"/>
              </w:rPr>
            </w:pPr>
            <w:r>
              <w:rPr>
                <w:b/>
                <w:color w:val="000000"/>
                <w:sz w:val="20"/>
                <w:szCs w:val="20"/>
              </w:rPr>
              <w:t>4</w:t>
            </w:r>
          </w:p>
          <w:p w:rsidR="005B3ABD" w:rsidRDefault="003F2B6A">
            <w:pPr>
              <w:snapToGrid w:val="0"/>
              <w:jc w:val="both"/>
              <w:rPr>
                <w:color w:val="000000"/>
                <w:sz w:val="20"/>
                <w:szCs w:val="20"/>
              </w:rPr>
            </w:pPr>
            <w:r>
              <w:rPr>
                <w:color w:val="000000"/>
                <w:sz w:val="20"/>
                <w:szCs w:val="20"/>
              </w:rPr>
              <w:t>4</w:t>
            </w:r>
          </w:p>
          <w:p w:rsidR="005B3ABD" w:rsidRDefault="003F2B6A">
            <w:pPr>
              <w:snapToGrid w:val="0"/>
              <w:jc w:val="both"/>
              <w:rPr>
                <w:color w:val="000000"/>
                <w:sz w:val="20"/>
                <w:szCs w:val="20"/>
              </w:rPr>
            </w:pPr>
            <w:r>
              <w:rPr>
                <w:color w:val="000000"/>
                <w:sz w:val="20"/>
                <w:szCs w:val="20"/>
              </w:rPr>
              <w:t xml:space="preserve">4   </w:t>
            </w:r>
          </w:p>
        </w:tc>
        <w:tc>
          <w:tcPr>
            <w:tcW w:w="720" w:type="dxa"/>
            <w:tcBorders>
              <w:left w:val="nil"/>
              <w:right w:val="nil"/>
            </w:tcBorders>
            <w:shd w:val="clear" w:color="auto" w:fill="FFFFFF"/>
          </w:tcPr>
          <w:p w:rsidR="005B3ABD" w:rsidRDefault="003F2B6A">
            <w:pPr>
              <w:snapToGrid w:val="0"/>
              <w:jc w:val="both"/>
              <w:rPr>
                <w:b/>
                <w:color w:val="000000"/>
                <w:sz w:val="20"/>
                <w:szCs w:val="20"/>
              </w:rPr>
            </w:pPr>
            <w:r>
              <w:rPr>
                <w:b/>
                <w:color w:val="000000"/>
                <w:sz w:val="20"/>
                <w:szCs w:val="20"/>
              </w:rPr>
              <w:t>14.99</w:t>
            </w:r>
          </w:p>
          <w:p w:rsidR="005B3ABD" w:rsidRDefault="003F2B6A">
            <w:pPr>
              <w:snapToGrid w:val="0"/>
              <w:jc w:val="both"/>
              <w:rPr>
                <w:color w:val="000000"/>
                <w:sz w:val="20"/>
                <w:szCs w:val="20"/>
              </w:rPr>
            </w:pPr>
            <w:r>
              <w:rPr>
                <w:color w:val="000000"/>
                <w:sz w:val="20"/>
                <w:szCs w:val="20"/>
              </w:rPr>
              <w:t>15.38</w:t>
            </w:r>
          </w:p>
          <w:p w:rsidR="005B3ABD" w:rsidRDefault="003F2B6A">
            <w:pPr>
              <w:snapToGrid w:val="0"/>
              <w:jc w:val="both"/>
              <w:rPr>
                <w:color w:val="000000"/>
                <w:sz w:val="20"/>
                <w:szCs w:val="20"/>
              </w:rPr>
            </w:pPr>
            <w:r>
              <w:rPr>
                <w:color w:val="000000"/>
                <w:sz w:val="20"/>
                <w:szCs w:val="20"/>
              </w:rPr>
              <w:t>15.95</w:t>
            </w:r>
          </w:p>
        </w:tc>
        <w:tc>
          <w:tcPr>
            <w:tcW w:w="630" w:type="dxa"/>
            <w:tcBorders>
              <w:left w:val="nil"/>
              <w:right w:val="nil"/>
            </w:tcBorders>
            <w:shd w:val="clear" w:color="auto" w:fill="FFFFFF"/>
          </w:tcPr>
          <w:p w:rsidR="005B3ABD" w:rsidRDefault="003F2B6A">
            <w:pPr>
              <w:snapToGrid w:val="0"/>
              <w:jc w:val="both"/>
              <w:rPr>
                <w:b/>
                <w:color w:val="000000"/>
                <w:sz w:val="20"/>
                <w:szCs w:val="20"/>
              </w:rPr>
            </w:pPr>
            <w:r>
              <w:rPr>
                <w:b/>
                <w:color w:val="000000"/>
                <w:sz w:val="20"/>
                <w:szCs w:val="20"/>
              </w:rPr>
              <w:t>0.32</w:t>
            </w:r>
          </w:p>
          <w:p w:rsidR="005B3ABD" w:rsidRDefault="003F2B6A">
            <w:pPr>
              <w:snapToGrid w:val="0"/>
              <w:jc w:val="both"/>
              <w:rPr>
                <w:b/>
                <w:color w:val="000000"/>
                <w:sz w:val="20"/>
                <w:szCs w:val="20"/>
              </w:rPr>
            </w:pPr>
            <w:r>
              <w:rPr>
                <w:b/>
                <w:color w:val="000000"/>
                <w:sz w:val="20"/>
                <w:szCs w:val="20"/>
              </w:rPr>
              <w:t>0.19</w:t>
            </w:r>
          </w:p>
          <w:p w:rsidR="005B3ABD" w:rsidRDefault="005B3ABD">
            <w:pPr>
              <w:snapToGrid w:val="0"/>
              <w:jc w:val="both"/>
              <w:rPr>
                <w:color w:val="000000"/>
                <w:sz w:val="20"/>
                <w:szCs w:val="20"/>
              </w:rPr>
            </w:pPr>
          </w:p>
        </w:tc>
        <w:tc>
          <w:tcPr>
            <w:tcW w:w="450" w:type="dxa"/>
            <w:tcBorders>
              <w:left w:val="nil"/>
              <w:right w:val="nil"/>
            </w:tcBorders>
            <w:shd w:val="clear" w:color="auto" w:fill="FFFFFF"/>
          </w:tcPr>
          <w:p w:rsidR="005B3ABD" w:rsidRDefault="003F2B6A">
            <w:pPr>
              <w:snapToGrid w:val="0"/>
              <w:jc w:val="both"/>
              <w:rPr>
                <w:b/>
                <w:color w:val="000000"/>
                <w:sz w:val="20"/>
                <w:szCs w:val="20"/>
              </w:rPr>
            </w:pPr>
            <w:r>
              <w:rPr>
                <w:b/>
                <w:color w:val="000000"/>
                <w:sz w:val="20"/>
                <w:szCs w:val="20"/>
              </w:rPr>
              <w:t>3</w:t>
            </w:r>
          </w:p>
          <w:p w:rsidR="005B3ABD" w:rsidRDefault="003F2B6A">
            <w:pPr>
              <w:snapToGrid w:val="0"/>
              <w:jc w:val="both"/>
              <w:rPr>
                <w:color w:val="000000"/>
                <w:sz w:val="20"/>
                <w:szCs w:val="20"/>
              </w:rPr>
            </w:pPr>
            <w:r>
              <w:rPr>
                <w:color w:val="000000"/>
                <w:sz w:val="20"/>
                <w:szCs w:val="20"/>
              </w:rPr>
              <w:t>3</w:t>
            </w:r>
          </w:p>
        </w:tc>
        <w:tc>
          <w:tcPr>
            <w:tcW w:w="720" w:type="dxa"/>
            <w:tcBorders>
              <w:left w:val="nil"/>
              <w:right w:val="nil"/>
            </w:tcBorders>
            <w:shd w:val="clear" w:color="auto" w:fill="FFFFFF"/>
          </w:tcPr>
          <w:p w:rsidR="005B3ABD" w:rsidRDefault="003F2B6A">
            <w:pPr>
              <w:snapToGrid w:val="0"/>
              <w:jc w:val="both"/>
              <w:rPr>
                <w:b/>
                <w:color w:val="000000"/>
                <w:sz w:val="20"/>
                <w:szCs w:val="20"/>
              </w:rPr>
            </w:pPr>
            <w:r>
              <w:rPr>
                <w:b/>
                <w:color w:val="000000"/>
                <w:sz w:val="20"/>
                <w:szCs w:val="20"/>
              </w:rPr>
              <w:t>6.00</w:t>
            </w:r>
          </w:p>
          <w:p w:rsidR="005B3ABD" w:rsidRDefault="003F2B6A">
            <w:pPr>
              <w:snapToGrid w:val="0"/>
              <w:jc w:val="both"/>
              <w:rPr>
                <w:color w:val="000000"/>
                <w:sz w:val="20"/>
                <w:szCs w:val="20"/>
              </w:rPr>
            </w:pPr>
            <w:r>
              <w:rPr>
                <w:color w:val="000000"/>
                <w:sz w:val="20"/>
                <w:szCs w:val="20"/>
              </w:rPr>
              <w:t>6.00</w:t>
            </w:r>
          </w:p>
        </w:tc>
        <w:tc>
          <w:tcPr>
            <w:tcW w:w="630" w:type="dxa"/>
            <w:tcBorders>
              <w:left w:val="nil"/>
              <w:right w:val="nil"/>
            </w:tcBorders>
            <w:shd w:val="clear" w:color="auto" w:fill="FFFFFF"/>
          </w:tcPr>
          <w:p w:rsidR="005B3ABD" w:rsidRDefault="003F2B6A">
            <w:pPr>
              <w:snapToGrid w:val="0"/>
              <w:jc w:val="both"/>
              <w:rPr>
                <w:b/>
                <w:color w:val="000000"/>
                <w:sz w:val="20"/>
                <w:szCs w:val="20"/>
              </w:rPr>
            </w:pPr>
            <w:r>
              <w:rPr>
                <w:b/>
                <w:color w:val="000000"/>
                <w:sz w:val="20"/>
                <w:szCs w:val="20"/>
              </w:rPr>
              <w:t>3.18</w:t>
            </w:r>
          </w:p>
          <w:p w:rsidR="005B3ABD" w:rsidRDefault="003F2B6A">
            <w:pPr>
              <w:snapToGrid w:val="0"/>
              <w:jc w:val="both"/>
              <w:rPr>
                <w:color w:val="000000"/>
                <w:sz w:val="20"/>
                <w:szCs w:val="20"/>
              </w:rPr>
            </w:pPr>
            <w:r>
              <w:rPr>
                <w:color w:val="000000"/>
                <w:sz w:val="20"/>
                <w:szCs w:val="20"/>
              </w:rPr>
              <w:t>3.18</w:t>
            </w:r>
          </w:p>
        </w:tc>
        <w:tc>
          <w:tcPr>
            <w:tcW w:w="1170" w:type="dxa"/>
            <w:tcBorders>
              <w:left w:val="nil"/>
              <w:right w:val="nil"/>
            </w:tcBorders>
            <w:shd w:val="clear" w:color="auto" w:fill="FFFFFF"/>
          </w:tcPr>
          <w:p w:rsidR="005B3ABD" w:rsidRDefault="003F2B6A">
            <w:pPr>
              <w:snapToGrid w:val="0"/>
              <w:jc w:val="both"/>
              <w:rPr>
                <w:b/>
                <w:color w:val="000000"/>
                <w:sz w:val="20"/>
                <w:szCs w:val="20"/>
              </w:rPr>
            </w:pPr>
            <w:r>
              <w:rPr>
                <w:b/>
                <w:color w:val="000000"/>
                <w:sz w:val="20"/>
                <w:szCs w:val="20"/>
              </w:rPr>
              <w:t>6.00&gt;3.18</w:t>
            </w:r>
          </w:p>
        </w:tc>
        <w:tc>
          <w:tcPr>
            <w:tcW w:w="1718" w:type="dxa"/>
            <w:tcBorders>
              <w:left w:val="nil"/>
              <w:right w:val="nil"/>
            </w:tcBorders>
            <w:shd w:val="clear" w:color="auto" w:fill="FFFFFF"/>
          </w:tcPr>
          <w:p w:rsidR="005B3ABD" w:rsidRDefault="003F2B6A">
            <w:pPr>
              <w:snapToGrid w:val="0"/>
              <w:jc w:val="both"/>
              <w:rPr>
                <w:b/>
                <w:color w:val="000000"/>
                <w:sz w:val="20"/>
                <w:szCs w:val="20"/>
              </w:rPr>
            </w:pPr>
            <w:r>
              <w:rPr>
                <w:b/>
                <w:color w:val="000000"/>
                <w:sz w:val="20"/>
                <w:szCs w:val="20"/>
              </w:rPr>
              <w:t>Sig. difference</w:t>
            </w:r>
          </w:p>
          <w:p w:rsidR="005B3ABD" w:rsidRDefault="003F2B6A">
            <w:pPr>
              <w:snapToGrid w:val="0"/>
              <w:jc w:val="both"/>
              <w:rPr>
                <w:color w:val="000000"/>
                <w:sz w:val="20"/>
                <w:szCs w:val="20"/>
              </w:rPr>
            </w:pPr>
            <w:r>
              <w:rPr>
                <w:color w:val="000000"/>
                <w:sz w:val="20"/>
                <w:szCs w:val="20"/>
              </w:rPr>
              <w:t>Sig. difference</w:t>
            </w:r>
          </w:p>
        </w:tc>
      </w:tr>
    </w:tbl>
    <w:p w:rsidR="005B3ABD" w:rsidRDefault="003F2B6A">
      <w:pPr>
        <w:snapToGrid w:val="0"/>
        <w:jc w:val="both"/>
        <w:rPr>
          <w:sz w:val="20"/>
          <w:szCs w:val="20"/>
        </w:rPr>
      </w:pPr>
      <w:r>
        <w:rPr>
          <w:sz w:val="20"/>
          <w:szCs w:val="20"/>
        </w:rPr>
        <w:t xml:space="preserve">All values are expressed </w:t>
      </w:r>
      <w:r>
        <w:rPr>
          <w:sz w:val="20"/>
          <w:szCs w:val="20"/>
        </w:rPr>
        <w:t xml:space="preserve">as means ± SD of 3 replicate determinations while values with different superscript within the same row are significantly different @ p&lt;0.05. SD: Standard deviation; X: Mean; </w:t>
      </w:r>
      <w:proofErr w:type="spellStart"/>
      <w:r>
        <w:rPr>
          <w:sz w:val="20"/>
          <w:szCs w:val="20"/>
        </w:rPr>
        <w:t>Df</w:t>
      </w:r>
      <w:proofErr w:type="spellEnd"/>
      <w:r>
        <w:rPr>
          <w:sz w:val="20"/>
          <w:szCs w:val="20"/>
        </w:rPr>
        <w:t>: Degree of freedom.</w:t>
      </w:r>
    </w:p>
    <w:p w:rsidR="005B3ABD" w:rsidRDefault="005B3ABD">
      <w:pPr>
        <w:snapToGrid w:val="0"/>
        <w:jc w:val="both"/>
        <w:rPr>
          <w:sz w:val="20"/>
          <w:szCs w:val="20"/>
        </w:rPr>
      </w:pPr>
    </w:p>
    <w:p w:rsidR="005B3ABD" w:rsidRDefault="005B3ABD">
      <w:pPr>
        <w:snapToGrid w:val="0"/>
        <w:jc w:val="both"/>
        <w:rPr>
          <w:sz w:val="20"/>
          <w:szCs w:val="20"/>
        </w:rPr>
        <w:sectPr w:rsidR="005B3ABD">
          <w:type w:val="continuous"/>
          <w:pgSz w:w="12240" w:h="15839"/>
          <w:pgMar w:top="1440" w:right="1440" w:bottom="1440" w:left="1440" w:header="720" w:footer="720" w:gutter="0"/>
          <w:cols w:space="425"/>
          <w:titlePg/>
          <w:docGrid w:linePitch="360"/>
        </w:sectPr>
      </w:pPr>
    </w:p>
    <w:p w:rsidR="005B3ABD" w:rsidRDefault="003F2B6A">
      <w:pPr>
        <w:snapToGrid w:val="0"/>
        <w:jc w:val="both"/>
        <w:rPr>
          <w:b/>
          <w:sz w:val="20"/>
          <w:szCs w:val="20"/>
        </w:rPr>
      </w:pPr>
      <w:r>
        <w:rPr>
          <w:b/>
          <w:sz w:val="20"/>
          <w:szCs w:val="20"/>
        </w:rPr>
        <w:lastRenderedPageBreak/>
        <w:t>Hypothesis I</w:t>
      </w:r>
    </w:p>
    <w:p w:rsidR="005B3ABD" w:rsidRDefault="003F2B6A">
      <w:pPr>
        <w:snapToGrid w:val="0"/>
        <w:jc w:val="both"/>
        <w:rPr>
          <w:sz w:val="20"/>
          <w:szCs w:val="20"/>
        </w:rPr>
      </w:pPr>
      <w:r>
        <w:rPr>
          <w:sz w:val="20"/>
          <w:szCs w:val="20"/>
        </w:rPr>
        <w:tab/>
      </w:r>
      <w:r>
        <w:rPr>
          <w:sz w:val="20"/>
          <w:szCs w:val="20"/>
        </w:rPr>
        <w:t xml:space="preserve">Hypothesis I stated that there is no significant difference between nutritional statuses of preschool aged children in </w:t>
      </w:r>
      <w:proofErr w:type="spellStart"/>
      <w:r>
        <w:rPr>
          <w:sz w:val="20"/>
          <w:szCs w:val="20"/>
        </w:rPr>
        <w:t>Akinyele</w:t>
      </w:r>
      <w:proofErr w:type="spellEnd"/>
      <w:r>
        <w:rPr>
          <w:sz w:val="20"/>
          <w:szCs w:val="20"/>
        </w:rPr>
        <w:t xml:space="preserve"> local government area in term of weight and those of children in </w:t>
      </w:r>
      <w:r>
        <w:rPr>
          <w:rFonts w:eastAsia="Calibri"/>
          <w:sz w:val="20"/>
          <w:szCs w:val="20"/>
          <w:vertAlign w:val="superscript"/>
        </w:rPr>
        <w:t>[8]</w:t>
      </w:r>
      <w:r>
        <w:rPr>
          <w:sz w:val="20"/>
          <w:szCs w:val="20"/>
        </w:rPr>
        <w:t>. Result shows that there is significant relationship betwee</w:t>
      </w:r>
      <w:r>
        <w:rPr>
          <w:sz w:val="20"/>
          <w:szCs w:val="20"/>
        </w:rPr>
        <w:t xml:space="preserve">n the two variables tested. It was found that nutrition status of urban preschool aged children was in tandem with </w:t>
      </w:r>
      <w:r>
        <w:rPr>
          <w:sz w:val="20"/>
          <w:szCs w:val="20"/>
          <w:vertAlign w:val="superscript"/>
        </w:rPr>
        <w:t>[8]</w:t>
      </w:r>
      <w:r>
        <w:rPr>
          <w:sz w:val="20"/>
          <w:szCs w:val="20"/>
        </w:rPr>
        <w:t xml:space="preserve"> reference standard but differed with rural and semi-urban area of the study area. This was in line with the work of </w:t>
      </w:r>
      <w:r>
        <w:rPr>
          <w:rFonts w:eastAsia="Calibri"/>
          <w:sz w:val="20"/>
          <w:szCs w:val="20"/>
          <w:vertAlign w:val="superscript"/>
        </w:rPr>
        <w:t>[28]</w:t>
      </w:r>
      <w:r>
        <w:rPr>
          <w:sz w:val="20"/>
          <w:szCs w:val="20"/>
        </w:rPr>
        <w:t xml:space="preserve"> and </w:t>
      </w:r>
      <w:r>
        <w:rPr>
          <w:rFonts w:eastAsia="Calibri"/>
          <w:sz w:val="20"/>
          <w:szCs w:val="20"/>
          <w:vertAlign w:val="superscript"/>
        </w:rPr>
        <w:t>[29]</w:t>
      </w:r>
      <w:r>
        <w:rPr>
          <w:sz w:val="20"/>
          <w:szCs w:val="20"/>
        </w:rPr>
        <w:t xml:space="preserve"> who pos</w:t>
      </w:r>
      <w:r>
        <w:rPr>
          <w:sz w:val="20"/>
          <w:szCs w:val="20"/>
        </w:rPr>
        <w:t xml:space="preserve">its that parental socio-economic (environment) status affect children knowledge of healthy food and food intake. Early et al. </w:t>
      </w:r>
      <w:r>
        <w:rPr>
          <w:rFonts w:eastAsia="Calibri"/>
          <w:sz w:val="20"/>
          <w:szCs w:val="20"/>
          <w:vertAlign w:val="superscript"/>
        </w:rPr>
        <w:t>[30]</w:t>
      </w:r>
      <w:r>
        <w:rPr>
          <w:rFonts w:eastAsia="Calibri"/>
          <w:sz w:val="20"/>
          <w:szCs w:val="20"/>
        </w:rPr>
        <w:t xml:space="preserve"> </w:t>
      </w:r>
      <w:r>
        <w:rPr>
          <w:sz w:val="20"/>
          <w:szCs w:val="20"/>
        </w:rPr>
        <w:t>stressed that high socio-economic status of parents are able to provide their children with high quality child care including</w:t>
      </w:r>
      <w:r>
        <w:rPr>
          <w:sz w:val="20"/>
          <w:szCs w:val="20"/>
        </w:rPr>
        <w:t xml:space="preserve"> nutritious foods. This study finding portrait that preschool aged children in the rural and semi-urban areas are not having adequate healthy food which espouses them to intestinal infections hence, their average weight was lower (underweight) than their </w:t>
      </w:r>
      <w:r>
        <w:rPr>
          <w:sz w:val="20"/>
          <w:szCs w:val="20"/>
        </w:rPr>
        <w:lastRenderedPageBreak/>
        <w:t>c</w:t>
      </w:r>
      <w:r>
        <w:rPr>
          <w:sz w:val="20"/>
          <w:szCs w:val="20"/>
        </w:rPr>
        <w:t xml:space="preserve">orrespondent counterpart of the reference standard of </w:t>
      </w:r>
      <w:r>
        <w:rPr>
          <w:rFonts w:eastAsia="Calibri"/>
          <w:sz w:val="20"/>
          <w:szCs w:val="20"/>
          <w:vertAlign w:val="superscript"/>
        </w:rPr>
        <w:t>[8]</w:t>
      </w:r>
      <w:r>
        <w:rPr>
          <w:sz w:val="20"/>
          <w:szCs w:val="20"/>
        </w:rPr>
        <w:t>.</w:t>
      </w:r>
    </w:p>
    <w:p w:rsidR="005B3ABD" w:rsidRDefault="005B3ABD">
      <w:pPr>
        <w:snapToGrid w:val="0"/>
        <w:jc w:val="both"/>
        <w:rPr>
          <w:sz w:val="20"/>
          <w:szCs w:val="20"/>
        </w:rPr>
      </w:pPr>
    </w:p>
    <w:p w:rsidR="005B3ABD" w:rsidRDefault="003F2B6A">
      <w:pPr>
        <w:snapToGrid w:val="0"/>
        <w:jc w:val="both"/>
        <w:rPr>
          <w:sz w:val="20"/>
          <w:szCs w:val="20"/>
        </w:rPr>
      </w:pPr>
      <w:r>
        <w:rPr>
          <w:b/>
          <w:sz w:val="20"/>
          <w:szCs w:val="20"/>
        </w:rPr>
        <w:t>t-test correlation of mean height of the preschool children based on their geographical location</w:t>
      </w:r>
    </w:p>
    <w:p w:rsidR="005B3ABD" w:rsidRDefault="005B3ABD">
      <w:pPr>
        <w:snapToGrid w:val="0"/>
        <w:jc w:val="both"/>
        <w:rPr>
          <w:sz w:val="20"/>
          <w:szCs w:val="20"/>
        </w:rPr>
      </w:pPr>
    </w:p>
    <w:p w:rsidR="005B3ABD" w:rsidRDefault="003F2B6A">
      <w:pPr>
        <w:snapToGrid w:val="0"/>
        <w:jc w:val="both"/>
        <w:rPr>
          <w:sz w:val="20"/>
          <w:szCs w:val="20"/>
        </w:rPr>
      </w:pPr>
      <w:r>
        <w:rPr>
          <w:sz w:val="20"/>
          <w:szCs w:val="20"/>
        </w:rPr>
        <w:tab/>
        <w:t xml:space="preserve">Table 5 shows that the respondents’ height in rural area had a mean </w:t>
      </w:r>
      <w:r>
        <w:rPr>
          <w:sz w:val="20"/>
          <w:szCs w:val="20"/>
        </w:rPr>
        <w:t>score of 94.73 with 0.96 standard deviation while semi-urban area had mean score of 96.86 with 0.38 standard deviation, respectively. Using independent t-test to determine their correlation with urban area, t-calculated (</w:t>
      </w:r>
      <w:proofErr w:type="spellStart"/>
      <w:r>
        <w:rPr>
          <w:sz w:val="20"/>
          <w:szCs w:val="20"/>
        </w:rPr>
        <w:t>t</w:t>
      </w:r>
      <w:r>
        <w:rPr>
          <w:sz w:val="20"/>
          <w:szCs w:val="20"/>
          <w:vertAlign w:val="subscript"/>
        </w:rPr>
        <w:t>cal</w:t>
      </w:r>
      <w:proofErr w:type="spellEnd"/>
      <w:r>
        <w:rPr>
          <w:sz w:val="20"/>
          <w:szCs w:val="20"/>
        </w:rPr>
        <w:t>) is 11.93 while its critical v</w:t>
      </w:r>
      <w:r>
        <w:rPr>
          <w:sz w:val="20"/>
          <w:szCs w:val="20"/>
        </w:rPr>
        <w:t>alue (</w:t>
      </w:r>
      <w:proofErr w:type="spellStart"/>
      <w:r>
        <w:rPr>
          <w:sz w:val="20"/>
          <w:szCs w:val="20"/>
        </w:rPr>
        <w:t>t</w:t>
      </w:r>
      <w:r>
        <w:rPr>
          <w:sz w:val="20"/>
          <w:szCs w:val="20"/>
          <w:vertAlign w:val="subscript"/>
        </w:rPr>
        <w:t>cri</w:t>
      </w:r>
      <w:proofErr w:type="spellEnd"/>
      <w:r>
        <w:rPr>
          <w:sz w:val="20"/>
          <w:szCs w:val="20"/>
        </w:rPr>
        <w:t>) is 3.18 at p&lt;0.05. The value of t-calculated (</w:t>
      </w:r>
      <w:proofErr w:type="spellStart"/>
      <w:r>
        <w:rPr>
          <w:sz w:val="20"/>
          <w:szCs w:val="20"/>
        </w:rPr>
        <w:t>t</w:t>
      </w:r>
      <w:r>
        <w:rPr>
          <w:sz w:val="20"/>
          <w:szCs w:val="20"/>
          <w:vertAlign w:val="subscript"/>
        </w:rPr>
        <w:t>cal</w:t>
      </w:r>
      <w:proofErr w:type="spellEnd"/>
      <w:r>
        <w:rPr>
          <w:sz w:val="20"/>
          <w:szCs w:val="20"/>
        </w:rPr>
        <w:t>) for semi-urban area is 8.90 while its correspondent critical value (</w:t>
      </w:r>
      <w:proofErr w:type="spellStart"/>
      <w:r>
        <w:rPr>
          <w:sz w:val="20"/>
          <w:szCs w:val="20"/>
        </w:rPr>
        <w:t>t</w:t>
      </w:r>
      <w:r>
        <w:rPr>
          <w:sz w:val="20"/>
          <w:szCs w:val="20"/>
          <w:vertAlign w:val="subscript"/>
        </w:rPr>
        <w:t>cri</w:t>
      </w:r>
      <w:proofErr w:type="spellEnd"/>
      <w:r>
        <w:rPr>
          <w:sz w:val="20"/>
          <w:szCs w:val="20"/>
        </w:rPr>
        <w:t>) is 3.18. This result revealed that the values of both t-calculated (</w:t>
      </w:r>
      <w:proofErr w:type="spellStart"/>
      <w:r>
        <w:rPr>
          <w:sz w:val="20"/>
          <w:szCs w:val="20"/>
        </w:rPr>
        <w:t>t</w:t>
      </w:r>
      <w:r>
        <w:rPr>
          <w:sz w:val="20"/>
          <w:szCs w:val="20"/>
          <w:vertAlign w:val="subscript"/>
        </w:rPr>
        <w:t>cal</w:t>
      </w:r>
      <w:proofErr w:type="spellEnd"/>
      <w:r>
        <w:rPr>
          <w:sz w:val="20"/>
          <w:szCs w:val="20"/>
        </w:rPr>
        <w:t>)</w:t>
      </w:r>
      <w:r>
        <w:rPr>
          <w:sz w:val="20"/>
          <w:szCs w:val="20"/>
          <w:vertAlign w:val="subscript"/>
        </w:rPr>
        <w:t xml:space="preserve"> </w:t>
      </w:r>
      <w:r>
        <w:rPr>
          <w:sz w:val="20"/>
          <w:szCs w:val="20"/>
        </w:rPr>
        <w:t xml:space="preserve">are greater than its correspondent critical </w:t>
      </w:r>
      <w:r>
        <w:rPr>
          <w:sz w:val="20"/>
          <w:szCs w:val="20"/>
        </w:rPr>
        <w:t>value (</w:t>
      </w:r>
      <w:proofErr w:type="spellStart"/>
      <w:r>
        <w:rPr>
          <w:sz w:val="20"/>
          <w:szCs w:val="20"/>
        </w:rPr>
        <w:t>t</w:t>
      </w:r>
      <w:r>
        <w:rPr>
          <w:sz w:val="20"/>
          <w:szCs w:val="20"/>
          <w:vertAlign w:val="subscript"/>
        </w:rPr>
        <w:t>cri</w:t>
      </w:r>
      <w:proofErr w:type="spellEnd"/>
      <w:r>
        <w:rPr>
          <w:sz w:val="20"/>
          <w:szCs w:val="20"/>
        </w:rPr>
        <w:t>) hence, the null hypothesis was accepted for both areas and their alternative hypothesis rejected.</w:t>
      </w:r>
    </w:p>
    <w:p w:rsidR="005A57CC" w:rsidRDefault="005A57CC">
      <w:pPr>
        <w:snapToGrid w:val="0"/>
        <w:jc w:val="both"/>
        <w:rPr>
          <w:sz w:val="20"/>
          <w:szCs w:val="20"/>
        </w:rPr>
        <w:sectPr w:rsidR="005A57CC">
          <w:footerReference w:type="default" r:id="rId15"/>
          <w:type w:val="continuous"/>
          <w:pgSz w:w="12240" w:h="15839"/>
          <w:pgMar w:top="1440" w:right="1440" w:bottom="1440" w:left="1440" w:header="720" w:footer="720" w:gutter="0"/>
          <w:cols w:num="2" w:space="720" w:equalWidth="0">
            <w:col w:w="4467" w:space="425"/>
            <w:col w:w="4467"/>
          </w:cols>
          <w:docGrid w:linePitch="360"/>
        </w:sectPr>
      </w:pPr>
    </w:p>
    <w:p w:rsidR="005B3ABD" w:rsidRDefault="005B3ABD">
      <w:pPr>
        <w:snapToGrid w:val="0"/>
        <w:jc w:val="both"/>
        <w:rPr>
          <w:sz w:val="20"/>
          <w:szCs w:val="20"/>
        </w:rPr>
      </w:pPr>
    </w:p>
    <w:p w:rsidR="005B3ABD" w:rsidRDefault="003F2B6A">
      <w:pPr>
        <w:snapToGrid w:val="0"/>
        <w:jc w:val="both"/>
        <w:rPr>
          <w:sz w:val="20"/>
          <w:szCs w:val="20"/>
        </w:rPr>
      </w:pPr>
      <w:r>
        <w:rPr>
          <w:sz w:val="20"/>
          <w:szCs w:val="20"/>
        </w:rPr>
        <w:t>Table 5: t-test correlation of mean weight and height of the preschool children based on geographical location</w:t>
      </w:r>
    </w:p>
    <w:tbl>
      <w:tblPr>
        <w:tblW w:w="9416" w:type="dxa"/>
        <w:tblBorders>
          <w:top w:val="single" w:sz="8" w:space="0" w:color="000000"/>
          <w:bottom w:val="single" w:sz="8" w:space="0" w:color="000000"/>
        </w:tblBorders>
        <w:shd w:val="clear" w:color="auto" w:fill="FFFFFF"/>
        <w:tblLook w:val="04A0" w:firstRow="1" w:lastRow="0" w:firstColumn="1" w:lastColumn="0" w:noHBand="0" w:noVBand="1"/>
      </w:tblPr>
      <w:tblGrid>
        <w:gridCol w:w="1458"/>
        <w:gridCol w:w="1410"/>
        <w:gridCol w:w="448"/>
        <w:gridCol w:w="720"/>
        <w:gridCol w:w="629"/>
        <w:gridCol w:w="450"/>
        <w:gridCol w:w="720"/>
        <w:gridCol w:w="629"/>
        <w:gridCol w:w="1222"/>
        <w:gridCol w:w="1730"/>
      </w:tblGrid>
      <w:tr w:rsidR="005B3ABD">
        <w:trPr>
          <w:trHeight w:val="162"/>
        </w:trPr>
        <w:tc>
          <w:tcPr>
            <w:tcW w:w="1458" w:type="dxa"/>
            <w:tcBorders>
              <w:top w:val="single" w:sz="8" w:space="0" w:color="000000"/>
              <w:left w:val="nil"/>
              <w:bottom w:val="single" w:sz="8" w:space="0" w:color="000000"/>
              <w:right w:val="nil"/>
            </w:tcBorders>
            <w:shd w:val="clear" w:color="auto" w:fill="FFFFFF"/>
          </w:tcPr>
          <w:p w:rsidR="005B3ABD" w:rsidRDefault="003F2B6A">
            <w:pPr>
              <w:snapToGrid w:val="0"/>
              <w:jc w:val="both"/>
              <w:rPr>
                <w:bCs/>
                <w:color w:val="000000"/>
                <w:sz w:val="20"/>
                <w:szCs w:val="20"/>
              </w:rPr>
            </w:pPr>
            <w:r>
              <w:rPr>
                <w:bCs/>
                <w:color w:val="000000"/>
                <w:sz w:val="20"/>
                <w:szCs w:val="20"/>
              </w:rPr>
              <w:t>Variables</w:t>
            </w:r>
          </w:p>
        </w:tc>
        <w:tc>
          <w:tcPr>
            <w:tcW w:w="1410" w:type="dxa"/>
            <w:tcBorders>
              <w:top w:val="single" w:sz="8" w:space="0" w:color="000000"/>
              <w:left w:val="nil"/>
              <w:bottom w:val="single" w:sz="8" w:space="0" w:color="000000"/>
              <w:right w:val="nil"/>
            </w:tcBorders>
            <w:shd w:val="clear" w:color="auto" w:fill="FFFFFF"/>
          </w:tcPr>
          <w:p w:rsidR="005B3ABD" w:rsidRDefault="003F2B6A">
            <w:pPr>
              <w:snapToGrid w:val="0"/>
              <w:jc w:val="both"/>
              <w:rPr>
                <w:bCs/>
                <w:color w:val="000000"/>
                <w:sz w:val="20"/>
                <w:szCs w:val="20"/>
              </w:rPr>
            </w:pPr>
            <w:r>
              <w:rPr>
                <w:bCs/>
                <w:color w:val="000000"/>
                <w:sz w:val="20"/>
                <w:szCs w:val="20"/>
              </w:rPr>
              <w:t>Group</w:t>
            </w:r>
          </w:p>
        </w:tc>
        <w:tc>
          <w:tcPr>
            <w:tcW w:w="448" w:type="dxa"/>
            <w:tcBorders>
              <w:top w:val="single" w:sz="8" w:space="0" w:color="000000"/>
              <w:left w:val="nil"/>
              <w:bottom w:val="single" w:sz="8" w:space="0" w:color="000000"/>
              <w:right w:val="nil"/>
            </w:tcBorders>
            <w:shd w:val="clear" w:color="auto" w:fill="FFFFFF"/>
          </w:tcPr>
          <w:p w:rsidR="005B3ABD" w:rsidRDefault="003F2B6A">
            <w:pPr>
              <w:snapToGrid w:val="0"/>
              <w:jc w:val="both"/>
              <w:rPr>
                <w:bCs/>
                <w:color w:val="000000"/>
                <w:sz w:val="20"/>
                <w:szCs w:val="20"/>
              </w:rPr>
            </w:pPr>
            <w:r>
              <w:rPr>
                <w:bCs/>
                <w:color w:val="000000"/>
                <w:sz w:val="20"/>
                <w:szCs w:val="20"/>
              </w:rPr>
              <w:t xml:space="preserve"> N</w:t>
            </w:r>
          </w:p>
        </w:tc>
        <w:tc>
          <w:tcPr>
            <w:tcW w:w="720" w:type="dxa"/>
            <w:tcBorders>
              <w:top w:val="single" w:sz="8" w:space="0" w:color="000000"/>
              <w:left w:val="nil"/>
              <w:bottom w:val="single" w:sz="8" w:space="0" w:color="000000"/>
              <w:right w:val="nil"/>
            </w:tcBorders>
            <w:shd w:val="clear" w:color="auto" w:fill="FFFFFF"/>
          </w:tcPr>
          <w:p w:rsidR="005B3ABD" w:rsidRDefault="003F2B6A">
            <w:pPr>
              <w:snapToGrid w:val="0"/>
              <w:jc w:val="both"/>
              <w:rPr>
                <w:bCs/>
                <w:color w:val="000000"/>
                <w:sz w:val="20"/>
                <w:szCs w:val="20"/>
              </w:rPr>
            </w:pPr>
            <w:r>
              <w:rPr>
                <w:bCs/>
                <w:color w:val="000000"/>
                <w:sz w:val="20"/>
                <w:szCs w:val="20"/>
              </w:rPr>
              <w:t xml:space="preserve">   X</w:t>
            </w:r>
          </w:p>
        </w:tc>
        <w:tc>
          <w:tcPr>
            <w:tcW w:w="629" w:type="dxa"/>
            <w:tcBorders>
              <w:top w:val="single" w:sz="8" w:space="0" w:color="000000"/>
              <w:left w:val="nil"/>
              <w:bottom w:val="single" w:sz="8" w:space="0" w:color="000000"/>
              <w:right w:val="nil"/>
            </w:tcBorders>
            <w:shd w:val="clear" w:color="auto" w:fill="FFFFFF"/>
          </w:tcPr>
          <w:p w:rsidR="005B3ABD" w:rsidRDefault="003F2B6A">
            <w:pPr>
              <w:snapToGrid w:val="0"/>
              <w:jc w:val="both"/>
              <w:rPr>
                <w:bCs/>
                <w:color w:val="000000"/>
                <w:sz w:val="20"/>
                <w:szCs w:val="20"/>
              </w:rPr>
            </w:pPr>
            <w:r>
              <w:rPr>
                <w:bCs/>
                <w:color w:val="000000"/>
                <w:sz w:val="20"/>
                <w:szCs w:val="20"/>
              </w:rPr>
              <w:t xml:space="preserve">  SD</w:t>
            </w:r>
          </w:p>
        </w:tc>
        <w:tc>
          <w:tcPr>
            <w:tcW w:w="450" w:type="dxa"/>
            <w:tcBorders>
              <w:top w:val="single" w:sz="8" w:space="0" w:color="000000"/>
              <w:left w:val="nil"/>
              <w:bottom w:val="single" w:sz="8" w:space="0" w:color="000000"/>
              <w:right w:val="nil"/>
            </w:tcBorders>
            <w:shd w:val="clear" w:color="auto" w:fill="FFFFFF"/>
          </w:tcPr>
          <w:p w:rsidR="005B3ABD" w:rsidRDefault="003F2B6A">
            <w:pPr>
              <w:snapToGrid w:val="0"/>
              <w:jc w:val="both"/>
              <w:rPr>
                <w:bCs/>
                <w:color w:val="000000"/>
                <w:sz w:val="20"/>
                <w:szCs w:val="20"/>
              </w:rPr>
            </w:pPr>
            <w:proofErr w:type="spellStart"/>
            <w:r>
              <w:rPr>
                <w:bCs/>
                <w:color w:val="000000"/>
                <w:sz w:val="20"/>
                <w:szCs w:val="20"/>
              </w:rPr>
              <w:t>Df</w:t>
            </w:r>
            <w:proofErr w:type="spellEnd"/>
          </w:p>
        </w:tc>
        <w:tc>
          <w:tcPr>
            <w:tcW w:w="720" w:type="dxa"/>
            <w:tcBorders>
              <w:top w:val="single" w:sz="8" w:space="0" w:color="000000"/>
              <w:left w:val="nil"/>
              <w:bottom w:val="single" w:sz="8" w:space="0" w:color="000000"/>
              <w:right w:val="nil"/>
            </w:tcBorders>
            <w:shd w:val="clear" w:color="auto" w:fill="FFFFFF"/>
          </w:tcPr>
          <w:p w:rsidR="005B3ABD" w:rsidRDefault="003F2B6A">
            <w:pPr>
              <w:snapToGrid w:val="0"/>
              <w:jc w:val="both"/>
              <w:rPr>
                <w:bCs/>
                <w:color w:val="000000"/>
                <w:sz w:val="20"/>
                <w:szCs w:val="20"/>
              </w:rPr>
            </w:pPr>
            <w:r>
              <w:rPr>
                <w:bCs/>
                <w:color w:val="000000"/>
                <w:sz w:val="20"/>
                <w:szCs w:val="20"/>
              </w:rPr>
              <w:t xml:space="preserve"> </w:t>
            </w:r>
            <w:r>
              <w:rPr>
                <w:bCs/>
                <w:color w:val="000000"/>
                <w:sz w:val="20"/>
                <w:szCs w:val="20"/>
              </w:rPr>
              <w:t xml:space="preserve"> t-</w:t>
            </w:r>
            <w:proofErr w:type="spellStart"/>
            <w:r>
              <w:rPr>
                <w:bCs/>
                <w:color w:val="000000"/>
                <w:sz w:val="20"/>
                <w:szCs w:val="20"/>
              </w:rPr>
              <w:t>cal</w:t>
            </w:r>
            <w:proofErr w:type="spellEnd"/>
          </w:p>
        </w:tc>
        <w:tc>
          <w:tcPr>
            <w:tcW w:w="629" w:type="dxa"/>
            <w:tcBorders>
              <w:top w:val="single" w:sz="8" w:space="0" w:color="000000"/>
              <w:left w:val="nil"/>
              <w:bottom w:val="single" w:sz="8" w:space="0" w:color="000000"/>
              <w:right w:val="nil"/>
            </w:tcBorders>
            <w:shd w:val="clear" w:color="auto" w:fill="FFFFFF"/>
          </w:tcPr>
          <w:p w:rsidR="005B3ABD" w:rsidRDefault="003F2B6A">
            <w:pPr>
              <w:snapToGrid w:val="0"/>
              <w:jc w:val="both"/>
              <w:rPr>
                <w:bCs/>
                <w:color w:val="000000"/>
                <w:sz w:val="20"/>
                <w:szCs w:val="20"/>
              </w:rPr>
            </w:pPr>
            <w:r>
              <w:rPr>
                <w:bCs/>
                <w:color w:val="000000"/>
                <w:sz w:val="20"/>
                <w:szCs w:val="20"/>
              </w:rPr>
              <w:t>t-cri</w:t>
            </w:r>
          </w:p>
        </w:tc>
        <w:tc>
          <w:tcPr>
            <w:tcW w:w="1222" w:type="dxa"/>
            <w:tcBorders>
              <w:top w:val="single" w:sz="8" w:space="0" w:color="000000"/>
              <w:left w:val="nil"/>
              <w:bottom w:val="single" w:sz="8" w:space="0" w:color="000000"/>
              <w:right w:val="nil"/>
            </w:tcBorders>
            <w:shd w:val="clear" w:color="auto" w:fill="FFFFFF"/>
          </w:tcPr>
          <w:p w:rsidR="005B3ABD" w:rsidRDefault="003F2B6A">
            <w:pPr>
              <w:snapToGrid w:val="0"/>
              <w:jc w:val="both"/>
              <w:rPr>
                <w:bCs/>
                <w:color w:val="000000"/>
                <w:sz w:val="20"/>
                <w:szCs w:val="20"/>
              </w:rPr>
            </w:pPr>
            <w:proofErr w:type="spellStart"/>
            <w:r>
              <w:rPr>
                <w:bCs/>
                <w:color w:val="000000"/>
                <w:sz w:val="20"/>
                <w:szCs w:val="20"/>
              </w:rPr>
              <w:t>t</w:t>
            </w:r>
            <w:r>
              <w:rPr>
                <w:bCs/>
                <w:color w:val="000000"/>
                <w:sz w:val="20"/>
                <w:szCs w:val="20"/>
                <w:vertAlign w:val="subscript"/>
              </w:rPr>
              <w:t>cal</w:t>
            </w:r>
            <w:proofErr w:type="spellEnd"/>
            <w:r>
              <w:rPr>
                <w:bCs/>
                <w:color w:val="000000"/>
                <w:sz w:val="20"/>
                <w:szCs w:val="20"/>
                <w:vertAlign w:val="subscript"/>
              </w:rPr>
              <w:t xml:space="preserve"> </w:t>
            </w:r>
            <w:r>
              <w:rPr>
                <w:bCs/>
                <w:color w:val="000000"/>
                <w:sz w:val="20"/>
                <w:szCs w:val="20"/>
              </w:rPr>
              <w:t xml:space="preserve">vs </w:t>
            </w:r>
            <w:proofErr w:type="spellStart"/>
            <w:r>
              <w:rPr>
                <w:bCs/>
                <w:color w:val="000000"/>
                <w:sz w:val="20"/>
                <w:szCs w:val="20"/>
              </w:rPr>
              <w:t>t</w:t>
            </w:r>
            <w:r>
              <w:rPr>
                <w:bCs/>
                <w:color w:val="000000"/>
                <w:sz w:val="20"/>
                <w:szCs w:val="20"/>
                <w:vertAlign w:val="subscript"/>
              </w:rPr>
              <w:t>cri</w:t>
            </w:r>
            <w:proofErr w:type="spellEnd"/>
          </w:p>
        </w:tc>
        <w:tc>
          <w:tcPr>
            <w:tcW w:w="1730" w:type="dxa"/>
            <w:tcBorders>
              <w:top w:val="single" w:sz="8" w:space="0" w:color="000000"/>
              <w:left w:val="nil"/>
              <w:bottom w:val="single" w:sz="8" w:space="0" w:color="000000"/>
              <w:right w:val="nil"/>
            </w:tcBorders>
            <w:shd w:val="clear" w:color="auto" w:fill="FFFFFF"/>
          </w:tcPr>
          <w:p w:rsidR="005B3ABD" w:rsidRDefault="003F2B6A">
            <w:pPr>
              <w:snapToGrid w:val="0"/>
              <w:jc w:val="both"/>
              <w:rPr>
                <w:bCs/>
                <w:color w:val="000000"/>
                <w:sz w:val="20"/>
                <w:szCs w:val="20"/>
              </w:rPr>
            </w:pPr>
            <w:r>
              <w:rPr>
                <w:bCs/>
                <w:color w:val="000000"/>
                <w:sz w:val="20"/>
                <w:szCs w:val="20"/>
              </w:rPr>
              <w:t>Decision (p&lt;0.05)</w:t>
            </w:r>
          </w:p>
        </w:tc>
      </w:tr>
      <w:tr w:rsidR="005B3ABD">
        <w:trPr>
          <w:trHeight w:val="886"/>
        </w:trPr>
        <w:tc>
          <w:tcPr>
            <w:tcW w:w="1458" w:type="dxa"/>
            <w:shd w:val="clear" w:color="auto" w:fill="FFFFFF"/>
          </w:tcPr>
          <w:p w:rsidR="005B3ABD" w:rsidRDefault="003F2B6A">
            <w:pPr>
              <w:snapToGrid w:val="0"/>
              <w:jc w:val="both"/>
              <w:rPr>
                <w:bCs/>
                <w:color w:val="000000"/>
                <w:sz w:val="20"/>
                <w:szCs w:val="20"/>
              </w:rPr>
            </w:pPr>
            <w:r>
              <w:rPr>
                <w:bCs/>
                <w:color w:val="000000"/>
                <w:sz w:val="20"/>
                <w:szCs w:val="20"/>
              </w:rPr>
              <w:t>Height (cm)</w:t>
            </w:r>
          </w:p>
        </w:tc>
        <w:tc>
          <w:tcPr>
            <w:tcW w:w="1410" w:type="dxa"/>
            <w:shd w:val="clear" w:color="auto" w:fill="FFFFFF"/>
          </w:tcPr>
          <w:p w:rsidR="005B3ABD" w:rsidRDefault="003F2B6A">
            <w:pPr>
              <w:snapToGrid w:val="0"/>
              <w:jc w:val="both"/>
              <w:rPr>
                <w:b/>
                <w:color w:val="000000"/>
                <w:sz w:val="20"/>
                <w:szCs w:val="20"/>
              </w:rPr>
            </w:pPr>
            <w:r>
              <w:rPr>
                <w:b/>
                <w:color w:val="000000"/>
                <w:sz w:val="20"/>
                <w:szCs w:val="20"/>
              </w:rPr>
              <w:t xml:space="preserve">Rural Area </w:t>
            </w:r>
          </w:p>
          <w:p w:rsidR="005B3ABD" w:rsidRDefault="003F2B6A">
            <w:pPr>
              <w:snapToGrid w:val="0"/>
              <w:jc w:val="both"/>
              <w:rPr>
                <w:color w:val="000000"/>
                <w:sz w:val="20"/>
                <w:szCs w:val="20"/>
              </w:rPr>
            </w:pPr>
            <w:r>
              <w:rPr>
                <w:color w:val="000000"/>
                <w:sz w:val="20"/>
                <w:szCs w:val="20"/>
              </w:rPr>
              <w:t>Semi-urban</w:t>
            </w:r>
          </w:p>
          <w:p w:rsidR="005B3ABD" w:rsidRDefault="003F2B6A">
            <w:pPr>
              <w:snapToGrid w:val="0"/>
              <w:jc w:val="both"/>
              <w:rPr>
                <w:color w:val="000000"/>
                <w:sz w:val="20"/>
                <w:szCs w:val="20"/>
              </w:rPr>
            </w:pPr>
            <w:r>
              <w:rPr>
                <w:color w:val="000000"/>
                <w:sz w:val="20"/>
                <w:szCs w:val="20"/>
              </w:rPr>
              <w:t>Urban Area</w:t>
            </w:r>
          </w:p>
        </w:tc>
        <w:tc>
          <w:tcPr>
            <w:tcW w:w="448" w:type="dxa"/>
            <w:shd w:val="clear" w:color="auto" w:fill="FFFFFF"/>
          </w:tcPr>
          <w:p w:rsidR="005B3ABD" w:rsidRDefault="003F2B6A">
            <w:pPr>
              <w:snapToGrid w:val="0"/>
              <w:jc w:val="both"/>
              <w:rPr>
                <w:b/>
                <w:color w:val="000000"/>
                <w:sz w:val="20"/>
                <w:szCs w:val="20"/>
              </w:rPr>
            </w:pPr>
            <w:r>
              <w:rPr>
                <w:b/>
                <w:color w:val="000000"/>
                <w:sz w:val="20"/>
                <w:szCs w:val="20"/>
              </w:rPr>
              <w:t>4</w:t>
            </w:r>
          </w:p>
          <w:p w:rsidR="005B3ABD" w:rsidRDefault="003F2B6A">
            <w:pPr>
              <w:snapToGrid w:val="0"/>
              <w:jc w:val="both"/>
              <w:rPr>
                <w:color w:val="000000"/>
                <w:sz w:val="20"/>
                <w:szCs w:val="20"/>
              </w:rPr>
            </w:pPr>
            <w:r>
              <w:rPr>
                <w:color w:val="000000"/>
                <w:sz w:val="20"/>
                <w:szCs w:val="20"/>
              </w:rPr>
              <w:t>4</w:t>
            </w:r>
          </w:p>
          <w:p w:rsidR="005B3ABD" w:rsidRDefault="003F2B6A">
            <w:pPr>
              <w:snapToGrid w:val="0"/>
              <w:jc w:val="both"/>
              <w:rPr>
                <w:color w:val="000000"/>
                <w:sz w:val="20"/>
                <w:szCs w:val="20"/>
              </w:rPr>
            </w:pPr>
            <w:r>
              <w:rPr>
                <w:color w:val="000000"/>
                <w:sz w:val="20"/>
                <w:szCs w:val="20"/>
              </w:rPr>
              <w:t>4</w:t>
            </w:r>
          </w:p>
        </w:tc>
        <w:tc>
          <w:tcPr>
            <w:tcW w:w="720" w:type="dxa"/>
            <w:shd w:val="clear" w:color="auto" w:fill="FFFFFF"/>
          </w:tcPr>
          <w:p w:rsidR="005B3ABD" w:rsidRDefault="003F2B6A">
            <w:pPr>
              <w:snapToGrid w:val="0"/>
              <w:jc w:val="both"/>
              <w:rPr>
                <w:b/>
                <w:color w:val="000000"/>
                <w:sz w:val="20"/>
                <w:szCs w:val="20"/>
              </w:rPr>
            </w:pPr>
            <w:r>
              <w:rPr>
                <w:b/>
                <w:color w:val="000000"/>
                <w:sz w:val="20"/>
                <w:szCs w:val="20"/>
              </w:rPr>
              <w:t>94.73</w:t>
            </w:r>
          </w:p>
          <w:p w:rsidR="005B3ABD" w:rsidRDefault="003F2B6A">
            <w:pPr>
              <w:snapToGrid w:val="0"/>
              <w:jc w:val="both"/>
              <w:rPr>
                <w:color w:val="000000"/>
                <w:sz w:val="20"/>
                <w:szCs w:val="20"/>
              </w:rPr>
            </w:pPr>
            <w:r>
              <w:rPr>
                <w:color w:val="000000"/>
                <w:sz w:val="20"/>
                <w:szCs w:val="20"/>
              </w:rPr>
              <w:t>96.86</w:t>
            </w:r>
          </w:p>
          <w:p w:rsidR="005B3ABD" w:rsidRDefault="003F2B6A">
            <w:pPr>
              <w:snapToGrid w:val="0"/>
              <w:jc w:val="both"/>
              <w:rPr>
                <w:color w:val="000000"/>
                <w:sz w:val="20"/>
                <w:szCs w:val="20"/>
              </w:rPr>
            </w:pPr>
            <w:r>
              <w:rPr>
                <w:color w:val="000000"/>
                <w:sz w:val="20"/>
                <w:szCs w:val="20"/>
              </w:rPr>
              <w:t>98.56</w:t>
            </w:r>
          </w:p>
        </w:tc>
        <w:tc>
          <w:tcPr>
            <w:tcW w:w="629" w:type="dxa"/>
            <w:shd w:val="clear" w:color="auto" w:fill="FFFFFF"/>
          </w:tcPr>
          <w:p w:rsidR="005B3ABD" w:rsidRDefault="003F2B6A">
            <w:pPr>
              <w:snapToGrid w:val="0"/>
              <w:jc w:val="both"/>
              <w:rPr>
                <w:b/>
                <w:color w:val="000000"/>
                <w:sz w:val="20"/>
                <w:szCs w:val="20"/>
              </w:rPr>
            </w:pPr>
            <w:r>
              <w:rPr>
                <w:b/>
                <w:color w:val="000000"/>
                <w:sz w:val="20"/>
                <w:szCs w:val="20"/>
              </w:rPr>
              <w:t>0.96</w:t>
            </w:r>
          </w:p>
          <w:p w:rsidR="005B3ABD" w:rsidRDefault="003F2B6A">
            <w:pPr>
              <w:snapToGrid w:val="0"/>
              <w:jc w:val="both"/>
              <w:rPr>
                <w:color w:val="000000"/>
                <w:sz w:val="20"/>
                <w:szCs w:val="20"/>
              </w:rPr>
            </w:pPr>
            <w:r>
              <w:rPr>
                <w:color w:val="000000"/>
                <w:sz w:val="20"/>
                <w:szCs w:val="20"/>
              </w:rPr>
              <w:t>0.38</w:t>
            </w:r>
          </w:p>
        </w:tc>
        <w:tc>
          <w:tcPr>
            <w:tcW w:w="450" w:type="dxa"/>
            <w:shd w:val="clear" w:color="auto" w:fill="FFFFFF"/>
          </w:tcPr>
          <w:p w:rsidR="005B3ABD" w:rsidRDefault="003F2B6A">
            <w:pPr>
              <w:snapToGrid w:val="0"/>
              <w:jc w:val="both"/>
              <w:rPr>
                <w:b/>
                <w:color w:val="000000"/>
                <w:sz w:val="20"/>
                <w:szCs w:val="20"/>
              </w:rPr>
            </w:pPr>
            <w:r>
              <w:rPr>
                <w:b/>
                <w:color w:val="000000"/>
                <w:sz w:val="20"/>
                <w:szCs w:val="20"/>
              </w:rPr>
              <w:t>3</w:t>
            </w:r>
          </w:p>
          <w:p w:rsidR="005B3ABD" w:rsidRDefault="003F2B6A">
            <w:pPr>
              <w:snapToGrid w:val="0"/>
              <w:jc w:val="both"/>
              <w:rPr>
                <w:color w:val="000000"/>
                <w:sz w:val="20"/>
                <w:szCs w:val="20"/>
              </w:rPr>
            </w:pPr>
            <w:r>
              <w:rPr>
                <w:color w:val="000000"/>
                <w:sz w:val="20"/>
                <w:szCs w:val="20"/>
              </w:rPr>
              <w:t>3</w:t>
            </w:r>
          </w:p>
        </w:tc>
        <w:tc>
          <w:tcPr>
            <w:tcW w:w="720" w:type="dxa"/>
            <w:shd w:val="clear" w:color="auto" w:fill="FFFFFF"/>
          </w:tcPr>
          <w:p w:rsidR="005B3ABD" w:rsidRDefault="003F2B6A">
            <w:pPr>
              <w:snapToGrid w:val="0"/>
              <w:jc w:val="both"/>
              <w:rPr>
                <w:b/>
                <w:color w:val="000000"/>
                <w:sz w:val="20"/>
                <w:szCs w:val="20"/>
              </w:rPr>
            </w:pPr>
            <w:r>
              <w:rPr>
                <w:b/>
                <w:color w:val="000000"/>
                <w:sz w:val="20"/>
                <w:szCs w:val="20"/>
              </w:rPr>
              <w:t>11.93</w:t>
            </w:r>
          </w:p>
          <w:p w:rsidR="005B3ABD" w:rsidRDefault="003F2B6A">
            <w:pPr>
              <w:snapToGrid w:val="0"/>
              <w:jc w:val="both"/>
              <w:rPr>
                <w:b/>
                <w:color w:val="000000"/>
                <w:sz w:val="20"/>
                <w:szCs w:val="20"/>
              </w:rPr>
            </w:pPr>
            <w:r>
              <w:rPr>
                <w:b/>
                <w:color w:val="000000"/>
                <w:sz w:val="20"/>
                <w:szCs w:val="20"/>
              </w:rPr>
              <w:t>8.90</w:t>
            </w:r>
          </w:p>
        </w:tc>
        <w:tc>
          <w:tcPr>
            <w:tcW w:w="629" w:type="dxa"/>
            <w:shd w:val="clear" w:color="auto" w:fill="FFFFFF"/>
          </w:tcPr>
          <w:p w:rsidR="005B3ABD" w:rsidRDefault="003F2B6A">
            <w:pPr>
              <w:snapToGrid w:val="0"/>
              <w:jc w:val="both"/>
              <w:rPr>
                <w:b/>
                <w:color w:val="000000"/>
                <w:sz w:val="20"/>
                <w:szCs w:val="20"/>
              </w:rPr>
            </w:pPr>
            <w:r>
              <w:rPr>
                <w:b/>
                <w:color w:val="000000"/>
                <w:sz w:val="20"/>
                <w:szCs w:val="20"/>
              </w:rPr>
              <w:t>3.18</w:t>
            </w:r>
          </w:p>
          <w:p w:rsidR="005B3ABD" w:rsidRDefault="003F2B6A">
            <w:pPr>
              <w:snapToGrid w:val="0"/>
              <w:jc w:val="both"/>
              <w:rPr>
                <w:color w:val="000000"/>
                <w:sz w:val="20"/>
                <w:szCs w:val="20"/>
              </w:rPr>
            </w:pPr>
            <w:r>
              <w:rPr>
                <w:color w:val="000000"/>
                <w:sz w:val="20"/>
                <w:szCs w:val="20"/>
              </w:rPr>
              <w:t>3.18</w:t>
            </w:r>
          </w:p>
        </w:tc>
        <w:tc>
          <w:tcPr>
            <w:tcW w:w="1222" w:type="dxa"/>
            <w:shd w:val="clear" w:color="auto" w:fill="FFFFFF"/>
          </w:tcPr>
          <w:p w:rsidR="005B3ABD" w:rsidRDefault="003F2B6A">
            <w:pPr>
              <w:snapToGrid w:val="0"/>
              <w:jc w:val="both"/>
              <w:rPr>
                <w:b/>
                <w:color w:val="000000"/>
                <w:sz w:val="20"/>
                <w:szCs w:val="20"/>
              </w:rPr>
            </w:pPr>
            <w:r>
              <w:rPr>
                <w:b/>
                <w:color w:val="000000"/>
                <w:sz w:val="20"/>
                <w:szCs w:val="20"/>
              </w:rPr>
              <w:t>11.93&gt;3.18</w:t>
            </w:r>
          </w:p>
        </w:tc>
        <w:tc>
          <w:tcPr>
            <w:tcW w:w="1730" w:type="dxa"/>
            <w:shd w:val="clear" w:color="auto" w:fill="FFFFFF"/>
          </w:tcPr>
          <w:p w:rsidR="005B3ABD" w:rsidRDefault="003F2B6A">
            <w:pPr>
              <w:snapToGrid w:val="0"/>
              <w:jc w:val="both"/>
              <w:rPr>
                <w:b/>
                <w:color w:val="000000"/>
                <w:sz w:val="20"/>
                <w:szCs w:val="20"/>
              </w:rPr>
            </w:pPr>
            <w:r>
              <w:rPr>
                <w:b/>
                <w:color w:val="000000"/>
                <w:sz w:val="20"/>
                <w:szCs w:val="20"/>
              </w:rPr>
              <w:t>Sig. difference</w:t>
            </w:r>
          </w:p>
          <w:p w:rsidR="005B3ABD" w:rsidRDefault="003F2B6A">
            <w:pPr>
              <w:snapToGrid w:val="0"/>
              <w:jc w:val="both"/>
              <w:rPr>
                <w:color w:val="000000"/>
                <w:sz w:val="20"/>
                <w:szCs w:val="20"/>
              </w:rPr>
            </w:pPr>
            <w:r>
              <w:rPr>
                <w:color w:val="000000"/>
                <w:sz w:val="20"/>
                <w:szCs w:val="20"/>
              </w:rPr>
              <w:t>Sig. difference</w:t>
            </w:r>
            <w:r>
              <w:rPr>
                <w:color w:val="000000"/>
                <w:sz w:val="20"/>
                <w:szCs w:val="20"/>
              </w:rPr>
              <w:tab/>
            </w:r>
          </w:p>
        </w:tc>
      </w:tr>
    </w:tbl>
    <w:p w:rsidR="005B3ABD" w:rsidRDefault="003F2B6A">
      <w:pPr>
        <w:snapToGrid w:val="0"/>
        <w:jc w:val="both"/>
        <w:rPr>
          <w:sz w:val="20"/>
          <w:szCs w:val="20"/>
        </w:rPr>
      </w:pPr>
      <w:r>
        <w:rPr>
          <w:sz w:val="20"/>
          <w:szCs w:val="20"/>
        </w:rPr>
        <w:t xml:space="preserve">All values are expressed as means ± SD of 3 replicate </w:t>
      </w:r>
      <w:r>
        <w:rPr>
          <w:sz w:val="20"/>
          <w:szCs w:val="20"/>
        </w:rPr>
        <w:t xml:space="preserve">determinations while values with different superscript within the same row are significantly different @ p&lt;0.05. SD: Standard deviation; X: Mean; </w:t>
      </w:r>
      <w:proofErr w:type="spellStart"/>
      <w:r>
        <w:rPr>
          <w:sz w:val="20"/>
          <w:szCs w:val="20"/>
        </w:rPr>
        <w:t>Df</w:t>
      </w:r>
      <w:proofErr w:type="spellEnd"/>
      <w:r>
        <w:rPr>
          <w:sz w:val="20"/>
          <w:szCs w:val="20"/>
        </w:rPr>
        <w:t>: Degree of freedom.</w:t>
      </w:r>
    </w:p>
    <w:p w:rsidR="005B3ABD" w:rsidRDefault="005B3ABD">
      <w:pPr>
        <w:snapToGrid w:val="0"/>
        <w:jc w:val="both"/>
        <w:rPr>
          <w:b/>
          <w:sz w:val="20"/>
          <w:szCs w:val="20"/>
        </w:rPr>
      </w:pPr>
    </w:p>
    <w:p w:rsidR="005B3ABD" w:rsidRDefault="005B3ABD">
      <w:pPr>
        <w:snapToGrid w:val="0"/>
        <w:jc w:val="both"/>
        <w:rPr>
          <w:b/>
          <w:sz w:val="20"/>
          <w:szCs w:val="20"/>
        </w:rPr>
      </w:pPr>
    </w:p>
    <w:p w:rsidR="005A57CC" w:rsidRDefault="005A57CC">
      <w:pPr>
        <w:snapToGrid w:val="0"/>
        <w:jc w:val="both"/>
        <w:rPr>
          <w:b/>
          <w:sz w:val="20"/>
          <w:szCs w:val="20"/>
        </w:rPr>
        <w:sectPr w:rsidR="005A57CC">
          <w:type w:val="continuous"/>
          <w:pgSz w:w="12240" w:h="15839"/>
          <w:pgMar w:top="1440" w:right="1440" w:bottom="1440" w:left="1440" w:header="720" w:footer="720" w:gutter="0"/>
          <w:cols w:space="425"/>
          <w:docGrid w:linePitch="360"/>
        </w:sectPr>
      </w:pPr>
    </w:p>
    <w:p w:rsidR="005B3ABD" w:rsidRDefault="003F2B6A">
      <w:pPr>
        <w:snapToGrid w:val="0"/>
        <w:jc w:val="both"/>
        <w:rPr>
          <w:b/>
          <w:sz w:val="20"/>
          <w:szCs w:val="20"/>
        </w:rPr>
      </w:pPr>
      <w:r>
        <w:rPr>
          <w:b/>
          <w:sz w:val="20"/>
          <w:szCs w:val="20"/>
        </w:rPr>
        <w:lastRenderedPageBreak/>
        <w:t>Hypothesis II</w:t>
      </w:r>
    </w:p>
    <w:p w:rsidR="005B3ABD" w:rsidRDefault="003F2B6A">
      <w:pPr>
        <w:snapToGrid w:val="0"/>
        <w:jc w:val="both"/>
        <w:rPr>
          <w:sz w:val="20"/>
          <w:szCs w:val="20"/>
        </w:rPr>
      </w:pPr>
      <w:r>
        <w:rPr>
          <w:sz w:val="20"/>
          <w:szCs w:val="20"/>
        </w:rPr>
        <w:tab/>
      </w:r>
      <w:r>
        <w:rPr>
          <w:sz w:val="20"/>
          <w:szCs w:val="20"/>
        </w:rPr>
        <w:t xml:space="preserve">Hypothesis II stated that there is no significant difference between nutritional statuses of preschool aged children in </w:t>
      </w:r>
      <w:proofErr w:type="spellStart"/>
      <w:r>
        <w:rPr>
          <w:sz w:val="20"/>
          <w:szCs w:val="20"/>
        </w:rPr>
        <w:t>Akinyele</w:t>
      </w:r>
      <w:proofErr w:type="spellEnd"/>
      <w:r>
        <w:rPr>
          <w:sz w:val="20"/>
          <w:szCs w:val="20"/>
        </w:rPr>
        <w:t xml:space="preserve"> local government area in term of height and those of children in </w:t>
      </w:r>
      <w:r>
        <w:rPr>
          <w:rFonts w:eastAsia="Calibri"/>
          <w:sz w:val="20"/>
          <w:szCs w:val="20"/>
          <w:vertAlign w:val="superscript"/>
        </w:rPr>
        <w:t>[8]</w:t>
      </w:r>
      <w:r>
        <w:rPr>
          <w:sz w:val="20"/>
          <w:szCs w:val="20"/>
        </w:rPr>
        <w:t xml:space="preserve">. The result revealed that there </w:t>
      </w:r>
      <w:proofErr w:type="gramStart"/>
      <w:r>
        <w:rPr>
          <w:sz w:val="20"/>
          <w:szCs w:val="20"/>
        </w:rPr>
        <w:t>is</w:t>
      </w:r>
      <w:proofErr w:type="gramEnd"/>
      <w:r>
        <w:rPr>
          <w:sz w:val="20"/>
          <w:szCs w:val="20"/>
        </w:rPr>
        <w:t xml:space="preserve"> significant differences</w:t>
      </w:r>
      <w:r>
        <w:rPr>
          <w:sz w:val="20"/>
          <w:szCs w:val="20"/>
        </w:rPr>
        <w:t xml:space="preserve"> (p&lt;0.05) between the two variables tested. The preschool aged children in urban area have higher height ration compared with their counterpart in rural and semi-urban area of the study area. The study revealed that most couples (families) in the urban are</w:t>
      </w:r>
      <w:r>
        <w:rPr>
          <w:sz w:val="20"/>
          <w:szCs w:val="20"/>
        </w:rPr>
        <w:t>a of the study locations are nucleus families with less than four children per family. This may have contributed to their ability and capability to give their children healthy foods which invariably leads to weight and height gain by their children compare</w:t>
      </w:r>
      <w:r>
        <w:rPr>
          <w:sz w:val="20"/>
          <w:szCs w:val="20"/>
        </w:rPr>
        <w:t xml:space="preserve">d to reference standard </w:t>
      </w:r>
      <w:r>
        <w:rPr>
          <w:sz w:val="20"/>
          <w:szCs w:val="20"/>
          <w:vertAlign w:val="superscript"/>
        </w:rPr>
        <w:t>[8]</w:t>
      </w:r>
      <w:r>
        <w:rPr>
          <w:sz w:val="20"/>
          <w:szCs w:val="20"/>
        </w:rPr>
        <w:t xml:space="preserve"> and Anton-</w:t>
      </w:r>
      <w:proofErr w:type="spellStart"/>
      <w:r>
        <w:rPr>
          <w:sz w:val="20"/>
          <w:szCs w:val="20"/>
        </w:rPr>
        <w:t>Paduraru</w:t>
      </w:r>
      <w:proofErr w:type="spellEnd"/>
      <w:r>
        <w:rPr>
          <w:sz w:val="20"/>
          <w:szCs w:val="20"/>
        </w:rPr>
        <w:t xml:space="preserve"> </w:t>
      </w:r>
      <w:r>
        <w:rPr>
          <w:sz w:val="20"/>
          <w:szCs w:val="20"/>
          <w:vertAlign w:val="superscript"/>
        </w:rPr>
        <w:t>[31]</w:t>
      </w:r>
      <w:r>
        <w:rPr>
          <w:sz w:val="20"/>
          <w:szCs w:val="20"/>
        </w:rPr>
        <w:t xml:space="preserve"> than rural area preschool aged children. It may also be deduced that education/elites status of people living in urban area which according to </w:t>
      </w:r>
      <w:proofErr w:type="spellStart"/>
      <w:r>
        <w:rPr>
          <w:sz w:val="20"/>
          <w:szCs w:val="20"/>
        </w:rPr>
        <w:t>Wieczorek</w:t>
      </w:r>
      <w:proofErr w:type="spellEnd"/>
      <w:r>
        <w:rPr>
          <w:sz w:val="20"/>
          <w:szCs w:val="20"/>
        </w:rPr>
        <w:t xml:space="preserve"> et al. </w:t>
      </w:r>
      <w:r>
        <w:rPr>
          <w:rFonts w:eastAsia="Calibri"/>
          <w:sz w:val="20"/>
          <w:szCs w:val="20"/>
          <w:vertAlign w:val="superscript"/>
        </w:rPr>
        <w:t>[32]</w:t>
      </w:r>
      <w:r>
        <w:rPr>
          <w:sz w:val="20"/>
          <w:szCs w:val="20"/>
        </w:rPr>
        <w:t xml:space="preserve"> and </w:t>
      </w:r>
      <w:r>
        <w:rPr>
          <w:rFonts w:eastAsia="Calibri"/>
          <w:sz w:val="20"/>
          <w:szCs w:val="20"/>
          <w:vertAlign w:val="superscript"/>
        </w:rPr>
        <w:t>[33]</w:t>
      </w:r>
      <w:r>
        <w:rPr>
          <w:sz w:val="20"/>
          <w:szCs w:val="20"/>
        </w:rPr>
        <w:t xml:space="preserve"> who early noted that educated </w:t>
      </w:r>
      <w:r>
        <w:rPr>
          <w:sz w:val="20"/>
          <w:szCs w:val="20"/>
        </w:rPr>
        <w:t xml:space="preserve">(elite) parents who have been exposed to series of information about healthy foods were more concerned about their children food intake than the uneducated one’s. The work of </w:t>
      </w:r>
      <w:proofErr w:type="spellStart"/>
      <w:r>
        <w:rPr>
          <w:sz w:val="20"/>
          <w:szCs w:val="20"/>
        </w:rPr>
        <w:t>Ilo</w:t>
      </w:r>
      <w:proofErr w:type="spellEnd"/>
      <w:r>
        <w:rPr>
          <w:sz w:val="20"/>
          <w:szCs w:val="20"/>
        </w:rPr>
        <w:t xml:space="preserve"> et al. </w:t>
      </w:r>
      <w:r>
        <w:rPr>
          <w:rFonts w:eastAsia="Calibri"/>
          <w:sz w:val="20"/>
          <w:szCs w:val="20"/>
          <w:vertAlign w:val="superscript"/>
        </w:rPr>
        <w:t>[34]</w:t>
      </w:r>
      <w:r>
        <w:rPr>
          <w:sz w:val="20"/>
          <w:szCs w:val="20"/>
        </w:rPr>
        <w:t xml:space="preserve"> and </w:t>
      </w:r>
      <w:r>
        <w:rPr>
          <w:rFonts w:eastAsia="Calibri"/>
          <w:sz w:val="20"/>
          <w:szCs w:val="20"/>
          <w:vertAlign w:val="superscript"/>
        </w:rPr>
        <w:t>[35]</w:t>
      </w:r>
      <w:r>
        <w:rPr>
          <w:sz w:val="20"/>
          <w:szCs w:val="20"/>
        </w:rPr>
        <w:t xml:space="preserve"> supported the results of this study.</w:t>
      </w:r>
    </w:p>
    <w:p w:rsidR="005B3ABD" w:rsidRDefault="005B3ABD">
      <w:pPr>
        <w:snapToGrid w:val="0"/>
        <w:jc w:val="both"/>
        <w:rPr>
          <w:sz w:val="20"/>
          <w:szCs w:val="20"/>
        </w:rPr>
      </w:pPr>
    </w:p>
    <w:p w:rsidR="005B3ABD" w:rsidRDefault="003F2B6A">
      <w:pPr>
        <w:snapToGrid w:val="0"/>
        <w:jc w:val="both"/>
        <w:rPr>
          <w:b/>
          <w:sz w:val="20"/>
          <w:szCs w:val="20"/>
        </w:rPr>
      </w:pPr>
      <w:r>
        <w:rPr>
          <w:b/>
          <w:sz w:val="20"/>
          <w:szCs w:val="20"/>
        </w:rPr>
        <w:t xml:space="preserve">Conclusion </w:t>
      </w:r>
    </w:p>
    <w:p w:rsidR="005B3ABD" w:rsidRDefault="003F2B6A">
      <w:pPr>
        <w:snapToGrid w:val="0"/>
        <w:jc w:val="both"/>
        <w:rPr>
          <w:sz w:val="20"/>
          <w:szCs w:val="20"/>
        </w:rPr>
      </w:pPr>
      <w:r>
        <w:rPr>
          <w:sz w:val="20"/>
          <w:szCs w:val="20"/>
        </w:rPr>
        <w:tab/>
      </w:r>
      <w:r>
        <w:rPr>
          <w:sz w:val="20"/>
          <w:szCs w:val="20"/>
        </w:rPr>
        <w:t xml:space="preserve">In conclusion, the shows that preschool aged children healthy eating habits could be shaped during </w:t>
      </w:r>
      <w:proofErr w:type="gramStart"/>
      <w:r>
        <w:rPr>
          <w:sz w:val="20"/>
          <w:szCs w:val="20"/>
        </w:rPr>
        <w:t>this formative age years</w:t>
      </w:r>
      <w:proofErr w:type="gramEnd"/>
      <w:r>
        <w:rPr>
          <w:sz w:val="20"/>
          <w:szCs w:val="20"/>
        </w:rPr>
        <w:t xml:space="preserve"> which will go on to impart their adult </w:t>
      </w:r>
      <w:proofErr w:type="spellStart"/>
      <w:r>
        <w:rPr>
          <w:sz w:val="20"/>
          <w:szCs w:val="20"/>
        </w:rPr>
        <w:t>behaviour</w:t>
      </w:r>
      <w:proofErr w:type="spellEnd"/>
      <w:r>
        <w:rPr>
          <w:sz w:val="20"/>
          <w:szCs w:val="20"/>
        </w:rPr>
        <w:t xml:space="preserve"> nutrition wise. This will have pronounced effect in preventing various likely nutri</w:t>
      </w:r>
      <w:r>
        <w:rPr>
          <w:sz w:val="20"/>
          <w:szCs w:val="20"/>
        </w:rPr>
        <w:t>tional diseases as they are growing and increase their immunity against outbreak of diseases. The study revealed that preschool aged children learn how to eat healthy foods and make right choices with the help of their parents and at schools. Preschool age</w:t>
      </w:r>
      <w:r>
        <w:rPr>
          <w:sz w:val="20"/>
          <w:szCs w:val="20"/>
        </w:rPr>
        <w:t>d children in urban area are more exposed to healthy food eating habits than their counterpart in rural and semi-urban areas because of their parental socio-economic and education status which lead to giving more care to their children than those in the ru</w:t>
      </w:r>
      <w:r>
        <w:rPr>
          <w:sz w:val="20"/>
          <w:szCs w:val="20"/>
        </w:rPr>
        <w:t>ral and semi-urban areas of the study locations. Mean weight and height of the study areas shows that there is a significant difference (p&lt;0.05) between the urban, semi-urban and rural areas preschool aged children observed and determined. The results of t</w:t>
      </w:r>
      <w:r>
        <w:rPr>
          <w:sz w:val="20"/>
          <w:szCs w:val="20"/>
        </w:rPr>
        <w:t xml:space="preserve">his study show that nutritional status of preschool aged children in the study area especially rural, semi-urban areas needs to be improved to help their formative year’s growth and development. The study results </w:t>
      </w:r>
      <w:r>
        <w:rPr>
          <w:rFonts w:eastAsia="Arial Unicode MS"/>
          <w:sz w:val="20"/>
          <w:szCs w:val="20"/>
        </w:rPr>
        <w:t>could provide baseline information on the l</w:t>
      </w:r>
      <w:r>
        <w:rPr>
          <w:rFonts w:eastAsia="Arial Unicode MS"/>
          <w:sz w:val="20"/>
          <w:szCs w:val="20"/>
        </w:rPr>
        <w:t xml:space="preserve">evel of malnutrition in </w:t>
      </w:r>
      <w:proofErr w:type="spellStart"/>
      <w:r>
        <w:rPr>
          <w:rFonts w:eastAsia="Arial Unicode MS"/>
          <w:sz w:val="20"/>
          <w:szCs w:val="20"/>
        </w:rPr>
        <w:t>Akinyele</w:t>
      </w:r>
      <w:proofErr w:type="spellEnd"/>
      <w:r>
        <w:rPr>
          <w:rFonts w:eastAsia="Arial Unicode MS"/>
          <w:sz w:val="20"/>
          <w:szCs w:val="20"/>
        </w:rPr>
        <w:t xml:space="preserve"> Local Government Area, Oyo State </w:t>
      </w:r>
      <w:r>
        <w:rPr>
          <w:sz w:val="20"/>
          <w:szCs w:val="20"/>
        </w:rPr>
        <w:t>especially rural, semi-urban areas of the state</w:t>
      </w:r>
      <w:r>
        <w:rPr>
          <w:rFonts w:eastAsia="Arial Unicode MS"/>
          <w:sz w:val="20"/>
          <w:szCs w:val="20"/>
        </w:rPr>
        <w:t>.</w:t>
      </w:r>
      <w:r>
        <w:rPr>
          <w:sz w:val="20"/>
          <w:szCs w:val="20"/>
        </w:rPr>
        <w:t xml:space="preserve"> </w:t>
      </w:r>
    </w:p>
    <w:p w:rsidR="005B3ABD" w:rsidRDefault="005B3ABD">
      <w:pPr>
        <w:snapToGrid w:val="0"/>
        <w:jc w:val="both"/>
        <w:rPr>
          <w:sz w:val="20"/>
          <w:szCs w:val="20"/>
        </w:rPr>
      </w:pPr>
    </w:p>
    <w:p w:rsidR="005A57CC" w:rsidRDefault="005A57CC">
      <w:pPr>
        <w:snapToGrid w:val="0"/>
        <w:jc w:val="both"/>
        <w:rPr>
          <w:sz w:val="20"/>
          <w:szCs w:val="20"/>
        </w:rPr>
      </w:pPr>
    </w:p>
    <w:p w:rsidR="005A57CC" w:rsidRDefault="005A57CC">
      <w:pPr>
        <w:snapToGrid w:val="0"/>
        <w:jc w:val="both"/>
        <w:rPr>
          <w:sz w:val="20"/>
          <w:szCs w:val="20"/>
        </w:rPr>
      </w:pPr>
    </w:p>
    <w:p w:rsidR="005B3ABD" w:rsidRDefault="003F2B6A">
      <w:pPr>
        <w:snapToGrid w:val="0"/>
        <w:jc w:val="both"/>
        <w:rPr>
          <w:b/>
          <w:sz w:val="20"/>
          <w:szCs w:val="20"/>
        </w:rPr>
      </w:pPr>
      <w:r>
        <w:rPr>
          <w:b/>
          <w:sz w:val="20"/>
          <w:szCs w:val="20"/>
        </w:rPr>
        <w:lastRenderedPageBreak/>
        <w:t xml:space="preserve">Recommendations </w:t>
      </w:r>
    </w:p>
    <w:p w:rsidR="005B3ABD" w:rsidRDefault="003F2B6A">
      <w:pPr>
        <w:snapToGrid w:val="0"/>
        <w:jc w:val="both"/>
        <w:rPr>
          <w:sz w:val="20"/>
          <w:szCs w:val="20"/>
        </w:rPr>
      </w:pPr>
      <w:r>
        <w:rPr>
          <w:sz w:val="20"/>
          <w:szCs w:val="20"/>
        </w:rPr>
        <w:tab/>
        <w:t>Based on study revelations, the following recommendations were made to foster healthy eating habits and lifestyle among p</w:t>
      </w:r>
      <w:r>
        <w:rPr>
          <w:sz w:val="20"/>
          <w:szCs w:val="20"/>
        </w:rPr>
        <w:t>reschool aged children as follows:</w:t>
      </w:r>
    </w:p>
    <w:p w:rsidR="005B3ABD" w:rsidRDefault="003F2B6A">
      <w:pPr>
        <w:numPr>
          <w:ilvl w:val="0"/>
          <w:numId w:val="1"/>
        </w:numPr>
        <w:snapToGrid w:val="0"/>
        <w:jc w:val="both"/>
        <w:rPr>
          <w:sz w:val="20"/>
          <w:szCs w:val="20"/>
        </w:rPr>
      </w:pPr>
      <w:r>
        <w:rPr>
          <w:sz w:val="20"/>
          <w:szCs w:val="20"/>
        </w:rPr>
        <w:t>Government should development a specific national nutrition (healthy foods) guides/policy for preschool aged children that is easy to understand, adapt and apply by their parents, educators and caregivers especially in th</w:t>
      </w:r>
      <w:r>
        <w:rPr>
          <w:sz w:val="20"/>
          <w:szCs w:val="20"/>
        </w:rPr>
        <w:t>e rural and semi-urban areas.</w:t>
      </w:r>
    </w:p>
    <w:p w:rsidR="005B3ABD" w:rsidRDefault="003F2B6A">
      <w:pPr>
        <w:numPr>
          <w:ilvl w:val="0"/>
          <w:numId w:val="1"/>
        </w:numPr>
        <w:snapToGrid w:val="0"/>
        <w:jc w:val="both"/>
        <w:rPr>
          <w:sz w:val="20"/>
          <w:szCs w:val="20"/>
        </w:rPr>
      </w:pPr>
      <w:r>
        <w:rPr>
          <w:sz w:val="20"/>
          <w:szCs w:val="20"/>
        </w:rPr>
        <w:t>Parents, preschool aged children educators and caregivers to have knowledge of healthy food intake and provide anticipatory guidance on the importance of healthy feeding and eating practices to the preschool aged children.</w:t>
      </w:r>
    </w:p>
    <w:p w:rsidR="005B3ABD" w:rsidRDefault="003F2B6A">
      <w:pPr>
        <w:numPr>
          <w:ilvl w:val="0"/>
          <w:numId w:val="1"/>
        </w:numPr>
        <w:snapToGrid w:val="0"/>
        <w:jc w:val="both"/>
        <w:rPr>
          <w:sz w:val="20"/>
          <w:szCs w:val="20"/>
        </w:rPr>
      </w:pPr>
      <w:r>
        <w:rPr>
          <w:sz w:val="20"/>
          <w:szCs w:val="20"/>
        </w:rPr>
        <w:t>Pre</w:t>
      </w:r>
      <w:r>
        <w:rPr>
          <w:sz w:val="20"/>
          <w:szCs w:val="20"/>
        </w:rPr>
        <w:t>school aged children should eat various nutritious rich food daily and adequate fruits or snacks between meals in order to increase or enhance their daily nutrients intake.</w:t>
      </w:r>
    </w:p>
    <w:p w:rsidR="005B3ABD" w:rsidRDefault="005B3ABD">
      <w:pPr>
        <w:snapToGrid w:val="0"/>
        <w:ind w:left="360"/>
        <w:jc w:val="both"/>
        <w:rPr>
          <w:sz w:val="20"/>
          <w:szCs w:val="20"/>
        </w:rPr>
      </w:pPr>
    </w:p>
    <w:p w:rsidR="005B3ABD" w:rsidRDefault="003F2B6A">
      <w:pPr>
        <w:pStyle w:val="Default"/>
        <w:snapToGrid w:val="0"/>
        <w:jc w:val="both"/>
        <w:rPr>
          <w:sz w:val="20"/>
          <w:szCs w:val="20"/>
        </w:rPr>
      </w:pPr>
      <w:r>
        <w:rPr>
          <w:b/>
          <w:bCs/>
          <w:sz w:val="20"/>
          <w:szCs w:val="20"/>
        </w:rPr>
        <w:t xml:space="preserve">Acknowledgement </w:t>
      </w:r>
    </w:p>
    <w:p w:rsidR="005B3ABD" w:rsidRDefault="003F2B6A">
      <w:pPr>
        <w:snapToGrid w:val="0"/>
        <w:jc w:val="both"/>
        <w:rPr>
          <w:i/>
          <w:sz w:val="20"/>
          <w:szCs w:val="20"/>
        </w:rPr>
      </w:pPr>
      <w:r>
        <w:rPr>
          <w:i/>
          <w:sz w:val="20"/>
          <w:szCs w:val="20"/>
        </w:rPr>
        <w:tab/>
        <w:t>We acknowledge and appreciate The Tertiary Education Trust Fund</w:t>
      </w:r>
      <w:r>
        <w:rPr>
          <w:i/>
          <w:sz w:val="20"/>
          <w:szCs w:val="20"/>
        </w:rPr>
        <w:t xml:space="preserve"> (TETFUND) of Nigeria through Institution Based Research Grant (IBRG) and Federal College of Education (Special), Oyo authorities for funding the proposal to carry out this study in the selected households and families used in </w:t>
      </w:r>
      <w:proofErr w:type="spellStart"/>
      <w:r>
        <w:rPr>
          <w:i/>
          <w:sz w:val="20"/>
          <w:szCs w:val="20"/>
        </w:rPr>
        <w:t>Akinyele</w:t>
      </w:r>
      <w:proofErr w:type="spellEnd"/>
      <w:r>
        <w:rPr>
          <w:i/>
          <w:sz w:val="20"/>
          <w:szCs w:val="20"/>
        </w:rPr>
        <w:t xml:space="preserve"> Local Government are</w:t>
      </w:r>
      <w:r>
        <w:rPr>
          <w:i/>
          <w:sz w:val="20"/>
          <w:szCs w:val="20"/>
        </w:rPr>
        <w:t xml:space="preserve">as of Oyo State, Nigeria. Moreover, we are highly indebted and grateful to the assistance rendered to the researchers by the parents, respondents and research assistants that were used for this study. </w:t>
      </w:r>
    </w:p>
    <w:p w:rsidR="005B3ABD" w:rsidRDefault="005B3ABD">
      <w:pPr>
        <w:snapToGrid w:val="0"/>
        <w:jc w:val="both"/>
        <w:rPr>
          <w:b/>
          <w:sz w:val="20"/>
          <w:szCs w:val="20"/>
        </w:rPr>
      </w:pPr>
    </w:p>
    <w:p w:rsidR="005B3ABD" w:rsidRDefault="003F2B6A">
      <w:pPr>
        <w:snapToGrid w:val="0"/>
        <w:jc w:val="both"/>
        <w:rPr>
          <w:sz w:val="20"/>
          <w:szCs w:val="20"/>
        </w:rPr>
      </w:pPr>
      <w:r>
        <w:rPr>
          <w:sz w:val="20"/>
          <w:szCs w:val="20"/>
        </w:rPr>
        <w:t>Correspondence address</w:t>
      </w:r>
    </w:p>
    <w:p w:rsidR="005B3ABD" w:rsidRDefault="003F2B6A">
      <w:pPr>
        <w:snapToGrid w:val="0"/>
        <w:jc w:val="both"/>
        <w:rPr>
          <w:sz w:val="20"/>
          <w:szCs w:val="20"/>
        </w:rPr>
      </w:pPr>
      <w:proofErr w:type="spellStart"/>
      <w:r>
        <w:rPr>
          <w:sz w:val="20"/>
          <w:szCs w:val="20"/>
        </w:rPr>
        <w:t>Akinsola</w:t>
      </w:r>
      <w:proofErr w:type="spellEnd"/>
      <w:r>
        <w:rPr>
          <w:sz w:val="20"/>
          <w:szCs w:val="20"/>
        </w:rPr>
        <w:t xml:space="preserve">, </w:t>
      </w:r>
      <w:proofErr w:type="spellStart"/>
      <w:r>
        <w:rPr>
          <w:sz w:val="20"/>
          <w:szCs w:val="20"/>
        </w:rPr>
        <w:t>Akinjide</w:t>
      </w:r>
      <w:proofErr w:type="spellEnd"/>
      <w:r>
        <w:rPr>
          <w:sz w:val="20"/>
          <w:szCs w:val="20"/>
        </w:rPr>
        <w:t xml:space="preserve"> O. PhD</w:t>
      </w:r>
    </w:p>
    <w:p w:rsidR="005B3ABD" w:rsidRDefault="003F2B6A">
      <w:pPr>
        <w:snapToGrid w:val="0"/>
        <w:jc w:val="both"/>
        <w:rPr>
          <w:sz w:val="20"/>
          <w:szCs w:val="20"/>
        </w:rPr>
      </w:pPr>
      <w:r>
        <w:rPr>
          <w:sz w:val="20"/>
          <w:szCs w:val="20"/>
        </w:rPr>
        <w:t>Depa</w:t>
      </w:r>
      <w:r>
        <w:rPr>
          <w:sz w:val="20"/>
          <w:szCs w:val="20"/>
        </w:rPr>
        <w:t>rtment of Home Economics</w:t>
      </w:r>
    </w:p>
    <w:p w:rsidR="005B3ABD" w:rsidRDefault="003F2B6A">
      <w:pPr>
        <w:snapToGrid w:val="0"/>
        <w:jc w:val="both"/>
        <w:rPr>
          <w:sz w:val="20"/>
          <w:szCs w:val="20"/>
        </w:rPr>
      </w:pPr>
      <w:r>
        <w:rPr>
          <w:sz w:val="20"/>
          <w:szCs w:val="20"/>
        </w:rPr>
        <w:t>Federal College of Education (Special)</w:t>
      </w:r>
    </w:p>
    <w:p w:rsidR="005B3ABD" w:rsidRDefault="003F2B6A">
      <w:pPr>
        <w:snapToGrid w:val="0"/>
        <w:jc w:val="both"/>
        <w:rPr>
          <w:sz w:val="20"/>
          <w:szCs w:val="20"/>
        </w:rPr>
      </w:pPr>
      <w:r>
        <w:rPr>
          <w:sz w:val="20"/>
          <w:szCs w:val="20"/>
        </w:rPr>
        <w:t xml:space="preserve">P.M.B. 1089, Oyo, Oyo State, Nigeria. </w:t>
      </w:r>
    </w:p>
    <w:p w:rsidR="005B3ABD" w:rsidRDefault="003F2B6A">
      <w:pPr>
        <w:snapToGrid w:val="0"/>
        <w:jc w:val="both"/>
        <w:rPr>
          <w:sz w:val="20"/>
          <w:szCs w:val="20"/>
        </w:rPr>
      </w:pPr>
      <w:r>
        <w:rPr>
          <w:sz w:val="20"/>
          <w:szCs w:val="20"/>
        </w:rPr>
        <w:t>email: akinsola4gol@gmail.com</w:t>
      </w:r>
    </w:p>
    <w:p w:rsidR="005B3ABD" w:rsidRDefault="005B3ABD">
      <w:pPr>
        <w:snapToGrid w:val="0"/>
        <w:jc w:val="both"/>
        <w:rPr>
          <w:b/>
          <w:sz w:val="20"/>
          <w:szCs w:val="20"/>
        </w:rPr>
      </w:pPr>
    </w:p>
    <w:p w:rsidR="005B3ABD" w:rsidRDefault="003F2B6A">
      <w:pPr>
        <w:snapToGrid w:val="0"/>
        <w:jc w:val="both"/>
        <w:rPr>
          <w:b/>
          <w:sz w:val="20"/>
          <w:szCs w:val="20"/>
        </w:rPr>
      </w:pPr>
      <w:r>
        <w:rPr>
          <w:b/>
          <w:sz w:val="20"/>
          <w:szCs w:val="20"/>
        </w:rPr>
        <w:t>References</w:t>
      </w:r>
    </w:p>
    <w:p w:rsidR="005B3ABD" w:rsidRDefault="003F2B6A" w:rsidP="005A57CC">
      <w:pPr>
        <w:tabs>
          <w:tab w:val="left" w:pos="567"/>
        </w:tabs>
        <w:autoSpaceDE w:val="0"/>
        <w:autoSpaceDN w:val="0"/>
        <w:adjustRightInd w:val="0"/>
        <w:snapToGrid w:val="0"/>
        <w:ind w:left="567" w:hanging="567"/>
        <w:jc w:val="both"/>
        <w:rPr>
          <w:sz w:val="20"/>
          <w:szCs w:val="20"/>
        </w:rPr>
      </w:pPr>
      <w:r>
        <w:rPr>
          <w:rFonts w:eastAsia="Calibri"/>
          <w:bCs/>
          <w:sz w:val="20"/>
          <w:szCs w:val="20"/>
        </w:rPr>
        <w:t xml:space="preserve">[1] </w:t>
      </w:r>
      <w:r>
        <w:rPr>
          <w:rFonts w:eastAsia="Calibri"/>
          <w:bCs/>
          <w:sz w:val="20"/>
          <w:szCs w:val="20"/>
        </w:rPr>
        <w:tab/>
      </w:r>
      <w:proofErr w:type="spellStart"/>
      <w:r>
        <w:rPr>
          <w:rFonts w:eastAsia="Calibri"/>
          <w:bCs/>
          <w:sz w:val="20"/>
          <w:szCs w:val="20"/>
        </w:rPr>
        <w:t>Yardmci</w:t>
      </w:r>
      <w:proofErr w:type="spellEnd"/>
      <w:r>
        <w:rPr>
          <w:rFonts w:eastAsia="Calibri"/>
          <w:bCs/>
          <w:sz w:val="20"/>
          <w:szCs w:val="20"/>
        </w:rPr>
        <w:t xml:space="preserve">, H., </w:t>
      </w:r>
      <w:proofErr w:type="spellStart"/>
      <w:r>
        <w:rPr>
          <w:rFonts w:eastAsia="Calibri"/>
          <w:bCs/>
          <w:sz w:val="20"/>
          <w:szCs w:val="20"/>
        </w:rPr>
        <w:t>Örmeci</w:t>
      </w:r>
      <w:proofErr w:type="spellEnd"/>
      <w:r>
        <w:rPr>
          <w:rFonts w:eastAsia="Calibri"/>
          <w:bCs/>
          <w:sz w:val="20"/>
          <w:szCs w:val="20"/>
        </w:rPr>
        <w:t xml:space="preserve">, F.O., </w:t>
      </w:r>
      <w:proofErr w:type="spellStart"/>
      <w:r>
        <w:rPr>
          <w:rFonts w:eastAsia="Calibri"/>
          <w:bCs/>
          <w:sz w:val="20"/>
          <w:szCs w:val="20"/>
        </w:rPr>
        <w:t>Özcelik</w:t>
      </w:r>
      <w:proofErr w:type="spellEnd"/>
      <w:r>
        <w:rPr>
          <w:rFonts w:eastAsia="Calibri"/>
          <w:bCs/>
          <w:sz w:val="20"/>
          <w:szCs w:val="20"/>
        </w:rPr>
        <w:t xml:space="preserve">, A.O., </w:t>
      </w:r>
      <w:proofErr w:type="spellStart"/>
      <w:r>
        <w:rPr>
          <w:rFonts w:eastAsia="Calibri"/>
          <w:bCs/>
          <w:sz w:val="20"/>
          <w:szCs w:val="20"/>
        </w:rPr>
        <w:t>Surucuoglu</w:t>
      </w:r>
      <w:proofErr w:type="spellEnd"/>
      <w:r>
        <w:rPr>
          <w:rFonts w:eastAsia="Calibri"/>
          <w:bCs/>
          <w:sz w:val="20"/>
          <w:szCs w:val="20"/>
        </w:rPr>
        <w:t xml:space="preserve">, M. S., </w:t>
      </w:r>
      <w:proofErr w:type="spellStart"/>
      <w:r>
        <w:rPr>
          <w:rFonts w:eastAsia="Calibri"/>
          <w:bCs/>
          <w:sz w:val="20"/>
          <w:szCs w:val="20"/>
        </w:rPr>
        <w:t>Özdogan</w:t>
      </w:r>
      <w:proofErr w:type="spellEnd"/>
      <w:r>
        <w:rPr>
          <w:rFonts w:eastAsia="Calibri"/>
          <w:bCs/>
          <w:sz w:val="20"/>
          <w:szCs w:val="20"/>
        </w:rPr>
        <w:t xml:space="preserve">, Y. (2015). Nutrition education in </w:t>
      </w:r>
      <w:r>
        <w:rPr>
          <w:rFonts w:eastAsia="Calibri"/>
          <w:bCs/>
          <w:sz w:val="20"/>
          <w:szCs w:val="20"/>
        </w:rPr>
        <w:t xml:space="preserve">preschool children. </w:t>
      </w:r>
      <w:r>
        <w:rPr>
          <w:rFonts w:eastAsia="Calibri"/>
          <w:i/>
          <w:sz w:val="20"/>
          <w:szCs w:val="20"/>
        </w:rPr>
        <w:t>Journal of International Education Science</w:t>
      </w:r>
      <w:r>
        <w:rPr>
          <w:rFonts w:eastAsia="Calibri"/>
          <w:bCs/>
          <w:sz w:val="20"/>
          <w:szCs w:val="20"/>
        </w:rPr>
        <w:t>, 449-457.</w:t>
      </w:r>
    </w:p>
    <w:p w:rsidR="005B3ABD" w:rsidRDefault="003F2B6A" w:rsidP="005A57CC">
      <w:pPr>
        <w:tabs>
          <w:tab w:val="left" w:pos="567"/>
        </w:tabs>
        <w:autoSpaceDE w:val="0"/>
        <w:autoSpaceDN w:val="0"/>
        <w:adjustRightInd w:val="0"/>
        <w:snapToGrid w:val="0"/>
        <w:ind w:left="567" w:hanging="567"/>
        <w:jc w:val="both"/>
        <w:rPr>
          <w:rFonts w:eastAsia="TimesNewRomanPSMT"/>
          <w:sz w:val="20"/>
          <w:szCs w:val="20"/>
        </w:rPr>
      </w:pPr>
      <w:r>
        <w:rPr>
          <w:rFonts w:eastAsia="Calibri"/>
          <w:bCs/>
          <w:sz w:val="20"/>
          <w:szCs w:val="20"/>
        </w:rPr>
        <w:t xml:space="preserve">[2] </w:t>
      </w:r>
      <w:r>
        <w:rPr>
          <w:rFonts w:eastAsia="Calibri"/>
          <w:bCs/>
          <w:sz w:val="20"/>
          <w:szCs w:val="20"/>
        </w:rPr>
        <w:tab/>
      </w:r>
      <w:r>
        <w:rPr>
          <w:rFonts w:eastAsia="TimesNewRomanPSMT"/>
          <w:sz w:val="20"/>
          <w:szCs w:val="20"/>
        </w:rPr>
        <w:t>Davidson, J.C. (2012). Nutrition education for early childhood. Wisconsin Department of Public Instruction</w:t>
      </w:r>
      <w:r>
        <w:rPr>
          <w:rFonts w:eastAsia="TimesNewRomanPSMT"/>
          <w:b/>
          <w:bCs/>
          <w:sz w:val="20"/>
          <w:szCs w:val="20"/>
        </w:rPr>
        <w:t xml:space="preserve">. </w:t>
      </w:r>
      <w:hyperlink r:id="rId16" w:history="1">
        <w:r>
          <w:rPr>
            <w:rStyle w:val="Hyperlink"/>
            <w:rFonts w:eastAsia="TimesNewRomanPSMT"/>
            <w:sz w:val="20"/>
            <w:szCs w:val="20"/>
          </w:rPr>
          <w:t>http://dpi.wi.gov/fns/i</w:t>
        </w:r>
        <w:r>
          <w:rPr>
            <w:rStyle w:val="Hyperlink"/>
            <w:rFonts w:eastAsia="TimesNewRomanPSMT"/>
            <w:sz w:val="20"/>
            <w:szCs w:val="20"/>
          </w:rPr>
          <w:t>ndex.html</w:t>
        </w:r>
      </w:hyperlink>
    </w:p>
    <w:p w:rsidR="005B3ABD" w:rsidRDefault="003F2B6A" w:rsidP="005A57CC">
      <w:pPr>
        <w:tabs>
          <w:tab w:val="left" w:pos="567"/>
        </w:tabs>
        <w:autoSpaceDE w:val="0"/>
        <w:autoSpaceDN w:val="0"/>
        <w:adjustRightInd w:val="0"/>
        <w:snapToGrid w:val="0"/>
        <w:ind w:left="567" w:hanging="567"/>
        <w:jc w:val="both"/>
        <w:rPr>
          <w:rFonts w:eastAsia="TimesNewRomanPSMT"/>
          <w:sz w:val="20"/>
          <w:szCs w:val="20"/>
        </w:rPr>
      </w:pPr>
      <w:r>
        <w:rPr>
          <w:sz w:val="20"/>
          <w:szCs w:val="20"/>
        </w:rPr>
        <w:t xml:space="preserve">[3] </w:t>
      </w:r>
      <w:r>
        <w:rPr>
          <w:sz w:val="20"/>
          <w:szCs w:val="20"/>
        </w:rPr>
        <w:tab/>
      </w:r>
      <w:proofErr w:type="spellStart"/>
      <w:r>
        <w:rPr>
          <w:rFonts w:eastAsia="TimesNewRomanPSMT"/>
          <w:sz w:val="20"/>
          <w:szCs w:val="20"/>
        </w:rPr>
        <w:t>Barzegari</w:t>
      </w:r>
      <w:proofErr w:type="spellEnd"/>
      <w:r>
        <w:rPr>
          <w:rFonts w:eastAsia="TimesNewRomanPSMT"/>
          <w:sz w:val="20"/>
          <w:szCs w:val="20"/>
        </w:rPr>
        <w:t xml:space="preserve">, A., </w:t>
      </w:r>
      <w:proofErr w:type="spellStart"/>
      <w:r>
        <w:rPr>
          <w:rFonts w:eastAsia="TimesNewRomanPSMT"/>
          <w:sz w:val="20"/>
          <w:szCs w:val="20"/>
        </w:rPr>
        <w:t>Ebrahimi</w:t>
      </w:r>
      <w:proofErr w:type="spellEnd"/>
      <w:r>
        <w:rPr>
          <w:rFonts w:eastAsia="TimesNewRomanPSMT"/>
          <w:sz w:val="20"/>
          <w:szCs w:val="20"/>
        </w:rPr>
        <w:t xml:space="preserve">, M., </w:t>
      </w:r>
      <w:proofErr w:type="spellStart"/>
      <w:r>
        <w:rPr>
          <w:rFonts w:eastAsia="TimesNewRomanPSMT"/>
          <w:sz w:val="20"/>
          <w:szCs w:val="20"/>
        </w:rPr>
        <w:t>Azizi</w:t>
      </w:r>
      <w:proofErr w:type="spellEnd"/>
      <w:r>
        <w:rPr>
          <w:rFonts w:eastAsia="TimesNewRomanPSMT"/>
          <w:sz w:val="20"/>
          <w:szCs w:val="20"/>
        </w:rPr>
        <w:t xml:space="preserve">, M. &amp; </w:t>
      </w:r>
      <w:proofErr w:type="spellStart"/>
      <w:r>
        <w:rPr>
          <w:rFonts w:eastAsia="TimesNewRomanPSMT"/>
          <w:sz w:val="20"/>
          <w:szCs w:val="20"/>
        </w:rPr>
        <w:t>Ranjbar</w:t>
      </w:r>
      <w:proofErr w:type="spellEnd"/>
      <w:r>
        <w:rPr>
          <w:rFonts w:eastAsia="TimesNewRomanPSMT"/>
          <w:sz w:val="20"/>
          <w:szCs w:val="20"/>
        </w:rPr>
        <w:t xml:space="preserve">, K. (2011). A study of nutrition knowledge, attitudes and food </w:t>
      </w:r>
      <w:r>
        <w:rPr>
          <w:rFonts w:eastAsia="TimesNewRomanPSMT"/>
          <w:sz w:val="20"/>
          <w:szCs w:val="20"/>
        </w:rPr>
        <w:t xml:space="preserve">habits of college students. </w:t>
      </w:r>
      <w:r>
        <w:rPr>
          <w:rFonts w:eastAsia="TimesNewRomanPSMT"/>
          <w:i/>
          <w:iCs/>
          <w:sz w:val="20"/>
          <w:szCs w:val="20"/>
        </w:rPr>
        <w:t xml:space="preserve">World Applied Sciences Journal, </w:t>
      </w:r>
      <w:r>
        <w:rPr>
          <w:rFonts w:eastAsia="TimesNewRomanPSMT"/>
          <w:sz w:val="20"/>
          <w:szCs w:val="20"/>
        </w:rPr>
        <w:t>15 (7), 1012-1017.</w:t>
      </w:r>
    </w:p>
    <w:p w:rsidR="005B3ABD" w:rsidRDefault="003F2B6A" w:rsidP="005A57CC">
      <w:pPr>
        <w:tabs>
          <w:tab w:val="left" w:pos="567"/>
        </w:tabs>
        <w:autoSpaceDE w:val="0"/>
        <w:autoSpaceDN w:val="0"/>
        <w:adjustRightInd w:val="0"/>
        <w:snapToGrid w:val="0"/>
        <w:ind w:left="567" w:hanging="567"/>
        <w:jc w:val="both"/>
        <w:rPr>
          <w:rFonts w:eastAsia="TimesNewRomanPSMT"/>
          <w:sz w:val="20"/>
          <w:szCs w:val="20"/>
        </w:rPr>
      </w:pPr>
      <w:r>
        <w:rPr>
          <w:rFonts w:eastAsia="TimesNewRomanPSMT"/>
          <w:sz w:val="20"/>
          <w:szCs w:val="20"/>
        </w:rPr>
        <w:lastRenderedPageBreak/>
        <w:t xml:space="preserve">[4] </w:t>
      </w:r>
      <w:r>
        <w:rPr>
          <w:rFonts w:eastAsia="TimesNewRomanPSMT"/>
          <w:sz w:val="20"/>
          <w:szCs w:val="20"/>
        </w:rPr>
        <w:tab/>
      </w:r>
      <w:proofErr w:type="spellStart"/>
      <w:r>
        <w:rPr>
          <w:sz w:val="20"/>
          <w:szCs w:val="20"/>
        </w:rPr>
        <w:t>Akinsola</w:t>
      </w:r>
      <w:proofErr w:type="spellEnd"/>
      <w:r>
        <w:rPr>
          <w:sz w:val="20"/>
          <w:szCs w:val="20"/>
        </w:rPr>
        <w:t xml:space="preserve">, A.O., </w:t>
      </w:r>
      <w:proofErr w:type="spellStart"/>
      <w:r>
        <w:rPr>
          <w:sz w:val="20"/>
          <w:szCs w:val="20"/>
        </w:rPr>
        <w:t>Idowu</w:t>
      </w:r>
      <w:proofErr w:type="spellEnd"/>
      <w:r>
        <w:rPr>
          <w:sz w:val="20"/>
          <w:szCs w:val="20"/>
        </w:rPr>
        <w:t xml:space="preserve">, O.A., </w:t>
      </w:r>
      <w:proofErr w:type="spellStart"/>
      <w:r>
        <w:rPr>
          <w:sz w:val="20"/>
          <w:szCs w:val="20"/>
        </w:rPr>
        <w:t>Laniran</w:t>
      </w:r>
      <w:proofErr w:type="spellEnd"/>
      <w:r>
        <w:rPr>
          <w:sz w:val="20"/>
          <w:szCs w:val="20"/>
        </w:rPr>
        <w:t>, A.M</w:t>
      </w:r>
      <w:r>
        <w:rPr>
          <w:sz w:val="20"/>
          <w:szCs w:val="20"/>
        </w:rPr>
        <w:t xml:space="preserve">., </w:t>
      </w:r>
      <w:proofErr w:type="spellStart"/>
      <w:r>
        <w:rPr>
          <w:sz w:val="20"/>
          <w:szCs w:val="20"/>
        </w:rPr>
        <w:t>Ojubanire</w:t>
      </w:r>
      <w:proofErr w:type="spellEnd"/>
      <w:r>
        <w:rPr>
          <w:sz w:val="20"/>
          <w:szCs w:val="20"/>
        </w:rPr>
        <w:t xml:space="preserve">, R. &amp; </w:t>
      </w:r>
      <w:proofErr w:type="spellStart"/>
      <w:r>
        <w:rPr>
          <w:sz w:val="20"/>
          <w:szCs w:val="20"/>
        </w:rPr>
        <w:t>Oke</w:t>
      </w:r>
      <w:proofErr w:type="spellEnd"/>
      <w:r>
        <w:rPr>
          <w:sz w:val="20"/>
          <w:szCs w:val="20"/>
        </w:rPr>
        <w:t xml:space="preserve"> EK (2017). Development, evaluation and </w:t>
      </w:r>
      <w:r>
        <w:rPr>
          <w:sz w:val="20"/>
          <w:szCs w:val="20"/>
        </w:rPr>
        <w:t xml:space="preserve">sensory quality of orange fleshed sweet potato pasta products. </w:t>
      </w:r>
      <w:r>
        <w:rPr>
          <w:i/>
          <w:sz w:val="20"/>
          <w:szCs w:val="20"/>
        </w:rPr>
        <w:t xml:space="preserve">Croatian Journal of Food Technology, </w:t>
      </w:r>
      <w:r>
        <w:rPr>
          <w:i/>
          <w:sz w:val="20"/>
          <w:szCs w:val="20"/>
        </w:rPr>
        <w:t>Biotechnology and Nutrition</w:t>
      </w:r>
      <w:r>
        <w:rPr>
          <w:sz w:val="20"/>
          <w:szCs w:val="20"/>
        </w:rPr>
        <w:t>, 12, 83–</w:t>
      </w:r>
      <w:r>
        <w:rPr>
          <w:sz w:val="20"/>
          <w:szCs w:val="20"/>
        </w:rPr>
        <w:t>89.</w:t>
      </w:r>
    </w:p>
    <w:p w:rsidR="005B3ABD" w:rsidRDefault="003F2B6A" w:rsidP="005A57CC">
      <w:pPr>
        <w:tabs>
          <w:tab w:val="left" w:pos="567"/>
        </w:tabs>
        <w:autoSpaceDE w:val="0"/>
        <w:autoSpaceDN w:val="0"/>
        <w:adjustRightInd w:val="0"/>
        <w:snapToGrid w:val="0"/>
        <w:ind w:left="567" w:hanging="567"/>
        <w:jc w:val="both"/>
        <w:rPr>
          <w:rFonts w:eastAsia="TimesNewRomanPSMT"/>
          <w:sz w:val="20"/>
          <w:szCs w:val="20"/>
        </w:rPr>
      </w:pPr>
      <w:r>
        <w:rPr>
          <w:sz w:val="20"/>
          <w:szCs w:val="20"/>
        </w:rPr>
        <w:t xml:space="preserve">[5] </w:t>
      </w:r>
      <w:r>
        <w:rPr>
          <w:sz w:val="20"/>
          <w:szCs w:val="20"/>
        </w:rPr>
        <w:tab/>
      </w:r>
      <w:proofErr w:type="spellStart"/>
      <w:r>
        <w:rPr>
          <w:sz w:val="20"/>
          <w:szCs w:val="20"/>
        </w:rPr>
        <w:t>Ngwu</w:t>
      </w:r>
      <w:proofErr w:type="spellEnd"/>
      <w:r>
        <w:rPr>
          <w:sz w:val="20"/>
          <w:szCs w:val="20"/>
        </w:rPr>
        <w:t xml:space="preserve">, E.K. (2005). Innovative infant feeding practices and nutrition. </w:t>
      </w:r>
      <w:r>
        <w:rPr>
          <w:i/>
          <w:sz w:val="20"/>
          <w:szCs w:val="20"/>
        </w:rPr>
        <w:t>Journal of Home Economics Research</w:t>
      </w:r>
      <w:r>
        <w:rPr>
          <w:sz w:val="20"/>
          <w:szCs w:val="20"/>
        </w:rPr>
        <w:t xml:space="preserve">, 6(2), </w:t>
      </w:r>
      <w:r>
        <w:rPr>
          <w:sz w:val="20"/>
          <w:szCs w:val="20"/>
        </w:rPr>
        <w:t>25-32.</w:t>
      </w:r>
    </w:p>
    <w:p w:rsidR="005B3ABD" w:rsidRDefault="003F2B6A" w:rsidP="005A57CC">
      <w:pPr>
        <w:tabs>
          <w:tab w:val="left" w:pos="567"/>
        </w:tabs>
        <w:autoSpaceDE w:val="0"/>
        <w:autoSpaceDN w:val="0"/>
        <w:adjustRightInd w:val="0"/>
        <w:snapToGrid w:val="0"/>
        <w:ind w:left="567" w:hanging="567"/>
        <w:jc w:val="both"/>
        <w:rPr>
          <w:rFonts w:eastAsia="TimesNewRomanPSMT"/>
          <w:sz w:val="20"/>
          <w:szCs w:val="20"/>
        </w:rPr>
      </w:pPr>
      <w:r>
        <w:rPr>
          <w:sz w:val="20"/>
          <w:szCs w:val="20"/>
        </w:rPr>
        <w:t>[6]</w:t>
      </w:r>
      <w:r>
        <w:rPr>
          <w:sz w:val="20"/>
          <w:szCs w:val="20"/>
        </w:rPr>
        <w:tab/>
      </w:r>
      <w:r>
        <w:rPr>
          <w:rFonts w:eastAsia="Calibri"/>
          <w:sz w:val="20"/>
          <w:szCs w:val="20"/>
        </w:rPr>
        <w:t xml:space="preserve">Black, M. &amp; Hurley, K. (2013). Helping Children Develop Healthy Eating Habits. </w:t>
      </w:r>
      <w:r>
        <w:rPr>
          <w:rFonts w:eastAsia="Calibri"/>
          <w:i/>
          <w:sz w:val="20"/>
          <w:szCs w:val="20"/>
        </w:rPr>
        <w:t xml:space="preserve">Encyclopedia on Early </w:t>
      </w:r>
      <w:r>
        <w:rPr>
          <w:rFonts w:eastAsia="Calibri"/>
          <w:i/>
          <w:sz w:val="20"/>
          <w:szCs w:val="20"/>
        </w:rPr>
        <w:t>Childhood Development</w:t>
      </w:r>
      <w:r>
        <w:rPr>
          <w:rFonts w:eastAsia="Calibri"/>
          <w:sz w:val="20"/>
          <w:szCs w:val="20"/>
        </w:rPr>
        <w:t xml:space="preserve">, </w:t>
      </w:r>
      <w:hyperlink r:id="rId17" w:history="1">
        <w:r>
          <w:rPr>
            <w:rStyle w:val="Hyperlink"/>
            <w:rFonts w:eastAsia="Calibri"/>
            <w:sz w:val="20"/>
            <w:szCs w:val="20"/>
          </w:rPr>
          <w:t>http://www.childencyclopedia</w:t>
        </w:r>
      </w:hyperlink>
      <w:r>
        <w:rPr>
          <w:rFonts w:eastAsia="Calibri"/>
          <w:sz w:val="20"/>
          <w:szCs w:val="20"/>
        </w:rPr>
        <w:t>. com/sites/default/files/textesexperts/en/535/helping-</w:t>
      </w:r>
      <w:r>
        <w:rPr>
          <w:rFonts w:eastAsia="Calibri"/>
          <w:sz w:val="20"/>
          <w:szCs w:val="20"/>
        </w:rPr>
        <w:t>children-develop-healthyeating-habits.pdf</w:t>
      </w:r>
    </w:p>
    <w:p w:rsidR="005B3ABD" w:rsidRDefault="003F2B6A" w:rsidP="005A57CC">
      <w:pPr>
        <w:tabs>
          <w:tab w:val="left" w:pos="567"/>
        </w:tabs>
        <w:autoSpaceDE w:val="0"/>
        <w:autoSpaceDN w:val="0"/>
        <w:adjustRightInd w:val="0"/>
        <w:snapToGrid w:val="0"/>
        <w:ind w:left="567" w:hanging="567"/>
        <w:jc w:val="both"/>
        <w:rPr>
          <w:rFonts w:eastAsia="TimesNewRomanPSMT"/>
          <w:sz w:val="20"/>
          <w:szCs w:val="20"/>
        </w:rPr>
      </w:pPr>
      <w:r>
        <w:rPr>
          <w:sz w:val="20"/>
          <w:szCs w:val="20"/>
        </w:rPr>
        <w:t xml:space="preserve">[7] </w:t>
      </w:r>
      <w:r>
        <w:rPr>
          <w:sz w:val="20"/>
          <w:szCs w:val="20"/>
        </w:rPr>
        <w:tab/>
        <w:t>UNICEF (2009). Tracking progress on child and maternal nutrition. A survival and</w:t>
      </w:r>
      <w:r>
        <w:rPr>
          <w:sz w:val="20"/>
          <w:szCs w:val="20"/>
        </w:rPr>
        <w:t xml:space="preserve"> development priority. New </w:t>
      </w:r>
      <w:r>
        <w:rPr>
          <w:sz w:val="20"/>
          <w:szCs w:val="20"/>
        </w:rPr>
        <w:t>York, NY 10017, USA.</w:t>
      </w:r>
    </w:p>
    <w:p w:rsidR="005B3ABD" w:rsidRDefault="003F2B6A" w:rsidP="005A57CC">
      <w:pPr>
        <w:tabs>
          <w:tab w:val="left" w:pos="567"/>
        </w:tabs>
        <w:autoSpaceDE w:val="0"/>
        <w:autoSpaceDN w:val="0"/>
        <w:adjustRightInd w:val="0"/>
        <w:snapToGrid w:val="0"/>
        <w:ind w:left="567" w:hanging="567"/>
        <w:jc w:val="both"/>
        <w:rPr>
          <w:rFonts w:eastAsia="TimesNewRomanPSMT"/>
          <w:sz w:val="20"/>
          <w:szCs w:val="20"/>
        </w:rPr>
      </w:pPr>
      <w:r>
        <w:rPr>
          <w:sz w:val="20"/>
          <w:szCs w:val="20"/>
        </w:rPr>
        <w:t xml:space="preserve">[8] </w:t>
      </w:r>
      <w:r>
        <w:rPr>
          <w:sz w:val="20"/>
          <w:szCs w:val="20"/>
        </w:rPr>
        <w:tab/>
      </w:r>
      <w:r>
        <w:rPr>
          <w:rFonts w:eastAsia="Calibri"/>
          <w:sz w:val="20"/>
          <w:szCs w:val="20"/>
        </w:rPr>
        <w:t xml:space="preserve">Food and Nutrition, FDN (2014). Guidelines for Pre-School Services. </w:t>
      </w:r>
      <w:hyperlink r:id="rId18" w:history="1">
        <w:r>
          <w:rPr>
            <w:rStyle w:val="Hyperlink"/>
            <w:rFonts w:eastAsia="Calibri"/>
            <w:sz w:val="20"/>
            <w:szCs w:val="20"/>
          </w:rPr>
          <w:t>https://health</w:t>
        </w:r>
        <w:r>
          <w:rPr>
            <w:rStyle w:val="Hyperlink"/>
            <w:rFonts w:eastAsia="Calibri"/>
            <w:sz w:val="20"/>
            <w:szCs w:val="20"/>
          </w:rPr>
          <w:t>.gov.ie/wpcontent/uploads/2014/03/Food-and-Nutrition-Guidelines-for-Pre-School-Services.pdf</w:t>
        </w:r>
      </w:hyperlink>
    </w:p>
    <w:p w:rsidR="005B3ABD" w:rsidRDefault="003F2B6A" w:rsidP="005A57CC">
      <w:pPr>
        <w:tabs>
          <w:tab w:val="left" w:pos="567"/>
        </w:tabs>
        <w:autoSpaceDE w:val="0"/>
        <w:autoSpaceDN w:val="0"/>
        <w:adjustRightInd w:val="0"/>
        <w:snapToGrid w:val="0"/>
        <w:ind w:left="567" w:hanging="567"/>
        <w:jc w:val="both"/>
        <w:rPr>
          <w:rFonts w:eastAsia="TimesNewRomanPSMT"/>
          <w:sz w:val="20"/>
          <w:szCs w:val="20"/>
        </w:rPr>
      </w:pPr>
      <w:r>
        <w:rPr>
          <w:sz w:val="20"/>
          <w:szCs w:val="20"/>
        </w:rPr>
        <w:t xml:space="preserve">[9] </w:t>
      </w:r>
      <w:r>
        <w:rPr>
          <w:sz w:val="20"/>
          <w:szCs w:val="20"/>
        </w:rPr>
        <w:tab/>
      </w:r>
      <w:r>
        <w:rPr>
          <w:rFonts w:eastAsia="Calibri"/>
          <w:color w:val="000000"/>
          <w:sz w:val="20"/>
          <w:szCs w:val="20"/>
        </w:rPr>
        <w:t xml:space="preserve">AOAC. (2012). Official Methods of Analysis of the Association of Official Analytical Chemists. 19th ed. </w:t>
      </w:r>
      <w:r>
        <w:rPr>
          <w:rFonts w:eastAsia="Calibri"/>
          <w:color w:val="000000"/>
          <w:sz w:val="20"/>
          <w:szCs w:val="20"/>
        </w:rPr>
        <w:t>Washington, DC.</w:t>
      </w:r>
    </w:p>
    <w:p w:rsidR="005B3ABD" w:rsidRDefault="003F2B6A" w:rsidP="005A57CC">
      <w:pPr>
        <w:tabs>
          <w:tab w:val="left" w:pos="567"/>
        </w:tabs>
        <w:autoSpaceDE w:val="0"/>
        <w:autoSpaceDN w:val="0"/>
        <w:adjustRightInd w:val="0"/>
        <w:snapToGrid w:val="0"/>
        <w:ind w:left="567" w:hanging="567"/>
        <w:jc w:val="both"/>
        <w:rPr>
          <w:rFonts w:eastAsia="TimesNewRomanPSMT"/>
          <w:sz w:val="20"/>
          <w:szCs w:val="20"/>
        </w:rPr>
      </w:pPr>
      <w:r>
        <w:rPr>
          <w:sz w:val="20"/>
          <w:szCs w:val="20"/>
        </w:rPr>
        <w:t xml:space="preserve">[10] </w:t>
      </w:r>
      <w:r>
        <w:rPr>
          <w:sz w:val="20"/>
          <w:szCs w:val="20"/>
        </w:rPr>
        <w:tab/>
      </w:r>
      <w:proofErr w:type="spellStart"/>
      <w:r>
        <w:rPr>
          <w:rFonts w:eastAsia="Calibri"/>
          <w:color w:val="000000"/>
          <w:sz w:val="20"/>
          <w:szCs w:val="20"/>
        </w:rPr>
        <w:t>Famakin</w:t>
      </w:r>
      <w:proofErr w:type="spellEnd"/>
      <w:r>
        <w:rPr>
          <w:rFonts w:eastAsia="Calibri"/>
          <w:color w:val="000000"/>
          <w:sz w:val="20"/>
          <w:szCs w:val="20"/>
        </w:rPr>
        <w:t xml:space="preserve">, O., </w:t>
      </w:r>
      <w:proofErr w:type="spellStart"/>
      <w:r>
        <w:rPr>
          <w:rFonts w:eastAsia="Calibri"/>
          <w:color w:val="000000"/>
          <w:sz w:val="20"/>
          <w:szCs w:val="20"/>
        </w:rPr>
        <w:t>Fatoyinbo</w:t>
      </w:r>
      <w:proofErr w:type="spellEnd"/>
      <w:r>
        <w:rPr>
          <w:rFonts w:eastAsia="Calibri"/>
          <w:color w:val="000000"/>
          <w:sz w:val="20"/>
          <w:szCs w:val="20"/>
        </w:rPr>
        <w:t xml:space="preserve">, A., </w:t>
      </w:r>
      <w:proofErr w:type="spellStart"/>
      <w:r>
        <w:rPr>
          <w:rFonts w:eastAsia="Calibri"/>
          <w:color w:val="000000"/>
          <w:sz w:val="20"/>
          <w:szCs w:val="20"/>
        </w:rPr>
        <w:t>I</w:t>
      </w:r>
      <w:r>
        <w:rPr>
          <w:rFonts w:eastAsia="Calibri"/>
          <w:color w:val="000000"/>
          <w:sz w:val="20"/>
          <w:szCs w:val="20"/>
        </w:rPr>
        <w:t>jarotimi</w:t>
      </w:r>
      <w:proofErr w:type="spellEnd"/>
      <w:r>
        <w:rPr>
          <w:rFonts w:eastAsia="Calibri"/>
          <w:color w:val="000000"/>
          <w:sz w:val="20"/>
          <w:szCs w:val="20"/>
        </w:rPr>
        <w:t xml:space="preserve">, O.S., </w:t>
      </w:r>
      <w:proofErr w:type="spellStart"/>
      <w:r>
        <w:rPr>
          <w:rFonts w:eastAsia="Calibri"/>
          <w:color w:val="000000"/>
          <w:sz w:val="20"/>
          <w:szCs w:val="20"/>
        </w:rPr>
        <w:t>Badejo</w:t>
      </w:r>
      <w:proofErr w:type="spellEnd"/>
      <w:r>
        <w:rPr>
          <w:rFonts w:eastAsia="Calibri"/>
          <w:color w:val="000000"/>
          <w:sz w:val="20"/>
          <w:szCs w:val="20"/>
        </w:rPr>
        <w:t xml:space="preserve">, A.A. &amp; </w:t>
      </w:r>
      <w:proofErr w:type="spellStart"/>
      <w:r>
        <w:rPr>
          <w:rFonts w:eastAsia="Calibri"/>
          <w:color w:val="000000"/>
          <w:sz w:val="20"/>
          <w:szCs w:val="20"/>
        </w:rPr>
        <w:t>Fagbemi</w:t>
      </w:r>
      <w:proofErr w:type="spellEnd"/>
      <w:r>
        <w:rPr>
          <w:rFonts w:eastAsia="Calibri"/>
          <w:color w:val="000000"/>
          <w:sz w:val="20"/>
          <w:szCs w:val="20"/>
        </w:rPr>
        <w:t xml:space="preserve">, T.N. (2016). Assessment of nutritional </w:t>
      </w:r>
      <w:r>
        <w:rPr>
          <w:rFonts w:eastAsia="Calibri"/>
          <w:color w:val="000000"/>
          <w:sz w:val="20"/>
          <w:szCs w:val="20"/>
        </w:rPr>
        <w:t xml:space="preserve">quality, </w:t>
      </w:r>
      <w:proofErr w:type="spellStart"/>
      <w:r>
        <w:rPr>
          <w:rFonts w:eastAsia="Calibri"/>
          <w:color w:val="000000"/>
          <w:sz w:val="20"/>
          <w:szCs w:val="20"/>
        </w:rPr>
        <w:t>glycaemic</w:t>
      </w:r>
      <w:proofErr w:type="spellEnd"/>
      <w:r>
        <w:rPr>
          <w:rFonts w:eastAsia="Calibri"/>
          <w:color w:val="000000"/>
          <w:sz w:val="20"/>
          <w:szCs w:val="20"/>
        </w:rPr>
        <w:t xml:space="preserve"> index, antidiabetic and sensory properties of plantain (</w:t>
      </w:r>
      <w:r>
        <w:rPr>
          <w:rFonts w:eastAsia="Calibri"/>
          <w:i/>
          <w:iCs/>
          <w:color w:val="000000"/>
          <w:sz w:val="20"/>
          <w:szCs w:val="20"/>
        </w:rPr>
        <w:t xml:space="preserve">Musa </w:t>
      </w:r>
      <w:proofErr w:type="spellStart"/>
      <w:r>
        <w:rPr>
          <w:rFonts w:eastAsia="Calibri"/>
          <w:i/>
          <w:iCs/>
          <w:color w:val="000000"/>
          <w:sz w:val="20"/>
          <w:szCs w:val="20"/>
        </w:rPr>
        <w:t>paradisiaca</w:t>
      </w:r>
      <w:proofErr w:type="spellEnd"/>
      <w:r>
        <w:rPr>
          <w:rFonts w:eastAsia="Calibri"/>
          <w:color w:val="000000"/>
          <w:sz w:val="20"/>
          <w:szCs w:val="20"/>
        </w:rPr>
        <w:t xml:space="preserve">) based functional </w:t>
      </w:r>
      <w:r>
        <w:rPr>
          <w:rFonts w:eastAsia="Calibri"/>
          <w:color w:val="000000"/>
          <w:sz w:val="20"/>
          <w:szCs w:val="20"/>
        </w:rPr>
        <w:tab/>
        <w:t xml:space="preserve">dough meals. </w:t>
      </w:r>
      <w:r>
        <w:rPr>
          <w:rFonts w:eastAsia="Calibri"/>
          <w:i/>
          <w:color w:val="000000"/>
          <w:sz w:val="20"/>
          <w:szCs w:val="20"/>
        </w:rPr>
        <w:t xml:space="preserve">J Food </w:t>
      </w:r>
      <w:proofErr w:type="spellStart"/>
      <w:r>
        <w:rPr>
          <w:rFonts w:eastAsia="Calibri"/>
          <w:i/>
          <w:color w:val="000000"/>
          <w:sz w:val="20"/>
          <w:szCs w:val="20"/>
        </w:rPr>
        <w:t>Sci</w:t>
      </w:r>
      <w:proofErr w:type="spellEnd"/>
      <w:r>
        <w:rPr>
          <w:rFonts w:eastAsia="Calibri"/>
          <w:i/>
          <w:color w:val="000000"/>
          <w:sz w:val="20"/>
          <w:szCs w:val="20"/>
        </w:rPr>
        <w:t xml:space="preserve"> </w:t>
      </w:r>
      <w:proofErr w:type="spellStart"/>
      <w:r>
        <w:rPr>
          <w:rFonts w:eastAsia="Calibri"/>
          <w:i/>
          <w:color w:val="000000"/>
          <w:sz w:val="20"/>
          <w:szCs w:val="20"/>
        </w:rPr>
        <w:t>Technol</w:t>
      </w:r>
      <w:proofErr w:type="spellEnd"/>
      <w:r>
        <w:rPr>
          <w:rFonts w:eastAsia="Calibri"/>
          <w:i/>
          <w:color w:val="000000"/>
          <w:sz w:val="20"/>
          <w:szCs w:val="20"/>
        </w:rPr>
        <w:t>,</w:t>
      </w:r>
      <w:r>
        <w:rPr>
          <w:rFonts w:eastAsia="Calibri"/>
          <w:color w:val="000000"/>
          <w:sz w:val="20"/>
          <w:szCs w:val="20"/>
        </w:rPr>
        <w:t xml:space="preserve"> 53(11), 3865–3875.</w:t>
      </w:r>
    </w:p>
    <w:p w:rsidR="005B3ABD" w:rsidRDefault="003F2B6A" w:rsidP="005A57CC">
      <w:pPr>
        <w:tabs>
          <w:tab w:val="left" w:pos="567"/>
        </w:tabs>
        <w:autoSpaceDE w:val="0"/>
        <w:autoSpaceDN w:val="0"/>
        <w:adjustRightInd w:val="0"/>
        <w:snapToGrid w:val="0"/>
        <w:ind w:left="567" w:hanging="567"/>
        <w:jc w:val="both"/>
        <w:rPr>
          <w:rFonts w:eastAsia="TimesNewRomanPSMT"/>
          <w:sz w:val="20"/>
          <w:szCs w:val="20"/>
        </w:rPr>
      </w:pPr>
      <w:r>
        <w:rPr>
          <w:rFonts w:eastAsia="Calibri"/>
          <w:color w:val="000000"/>
          <w:sz w:val="20"/>
          <w:szCs w:val="20"/>
        </w:rPr>
        <w:t xml:space="preserve">[11] </w:t>
      </w:r>
      <w:r>
        <w:rPr>
          <w:rFonts w:eastAsia="Calibri"/>
          <w:color w:val="000000"/>
          <w:sz w:val="20"/>
          <w:szCs w:val="20"/>
        </w:rPr>
        <w:tab/>
      </w:r>
      <w:r>
        <w:rPr>
          <w:sz w:val="20"/>
          <w:szCs w:val="20"/>
          <w:lang w:val="en-GB"/>
        </w:rPr>
        <w:t xml:space="preserve">IVACG, </w:t>
      </w:r>
      <w:r>
        <w:rPr>
          <w:sz w:val="20"/>
          <w:szCs w:val="20"/>
          <w:lang w:val="en-GB"/>
        </w:rPr>
        <w:t xml:space="preserve">International Vitamin </w:t>
      </w:r>
      <w:proofErr w:type="gramStart"/>
      <w:r>
        <w:rPr>
          <w:sz w:val="20"/>
          <w:szCs w:val="20"/>
          <w:lang w:val="en-GB"/>
        </w:rPr>
        <w:t>A</w:t>
      </w:r>
      <w:proofErr w:type="gramEnd"/>
      <w:r>
        <w:rPr>
          <w:sz w:val="20"/>
          <w:szCs w:val="20"/>
          <w:lang w:val="en-GB"/>
        </w:rPr>
        <w:t xml:space="preserve"> Consultative Group (1992). Reprint of selected methods for the analysis of </w:t>
      </w:r>
      <w:r>
        <w:rPr>
          <w:sz w:val="20"/>
          <w:szCs w:val="20"/>
          <w:lang w:val="en-GB"/>
        </w:rPr>
        <w:t>vitamin A and carotenoids in nutrition surveys. Washington D.C. The Nutrition Foundation, pp. 16-18.</w:t>
      </w:r>
      <w:r>
        <w:rPr>
          <w:sz w:val="20"/>
          <w:szCs w:val="20"/>
        </w:rPr>
        <w:t xml:space="preserve"> </w:t>
      </w:r>
    </w:p>
    <w:p w:rsidR="005B3ABD" w:rsidRDefault="003F2B6A" w:rsidP="005A57CC">
      <w:pPr>
        <w:tabs>
          <w:tab w:val="left" w:pos="567"/>
        </w:tabs>
        <w:autoSpaceDE w:val="0"/>
        <w:autoSpaceDN w:val="0"/>
        <w:adjustRightInd w:val="0"/>
        <w:snapToGrid w:val="0"/>
        <w:ind w:left="567" w:hanging="567"/>
        <w:jc w:val="both"/>
        <w:rPr>
          <w:rFonts w:eastAsia="TimesNewRomanPSMT"/>
          <w:sz w:val="20"/>
          <w:szCs w:val="20"/>
        </w:rPr>
      </w:pPr>
      <w:r>
        <w:rPr>
          <w:rFonts w:eastAsia="Calibri"/>
          <w:sz w:val="20"/>
          <w:szCs w:val="20"/>
        </w:rPr>
        <w:t xml:space="preserve">[12] </w:t>
      </w:r>
      <w:r>
        <w:rPr>
          <w:rFonts w:eastAsia="Calibri"/>
          <w:sz w:val="20"/>
          <w:szCs w:val="20"/>
        </w:rPr>
        <w:tab/>
      </w:r>
      <w:proofErr w:type="spellStart"/>
      <w:r>
        <w:rPr>
          <w:rFonts w:eastAsia="Calibri"/>
          <w:color w:val="000000"/>
          <w:sz w:val="20"/>
          <w:szCs w:val="20"/>
        </w:rPr>
        <w:t>Koua</w:t>
      </w:r>
      <w:proofErr w:type="spellEnd"/>
      <w:r>
        <w:rPr>
          <w:rFonts w:eastAsia="Calibri"/>
          <w:color w:val="000000"/>
          <w:sz w:val="20"/>
          <w:szCs w:val="20"/>
        </w:rPr>
        <w:t xml:space="preserve">, G., </w:t>
      </w:r>
      <w:proofErr w:type="spellStart"/>
      <w:r>
        <w:rPr>
          <w:rFonts w:eastAsia="Calibri"/>
          <w:color w:val="000000"/>
          <w:sz w:val="20"/>
          <w:szCs w:val="20"/>
        </w:rPr>
        <w:t>Zoue</w:t>
      </w:r>
      <w:proofErr w:type="spellEnd"/>
      <w:r>
        <w:rPr>
          <w:rFonts w:eastAsia="Calibri"/>
          <w:color w:val="000000"/>
          <w:sz w:val="20"/>
          <w:szCs w:val="20"/>
        </w:rPr>
        <w:t xml:space="preserve">, T., </w:t>
      </w:r>
      <w:proofErr w:type="spellStart"/>
      <w:r>
        <w:rPr>
          <w:rFonts w:eastAsia="Calibri"/>
          <w:color w:val="000000"/>
          <w:sz w:val="20"/>
          <w:szCs w:val="20"/>
        </w:rPr>
        <w:t>Megnanou</w:t>
      </w:r>
      <w:proofErr w:type="spellEnd"/>
      <w:r>
        <w:rPr>
          <w:rFonts w:eastAsia="Calibri"/>
          <w:color w:val="000000"/>
          <w:sz w:val="20"/>
          <w:szCs w:val="20"/>
        </w:rPr>
        <w:t xml:space="preserve">, R. &amp; </w:t>
      </w:r>
      <w:proofErr w:type="spellStart"/>
      <w:r>
        <w:rPr>
          <w:rFonts w:eastAsia="Calibri"/>
          <w:color w:val="000000"/>
          <w:sz w:val="20"/>
          <w:szCs w:val="20"/>
        </w:rPr>
        <w:t>Niamke</w:t>
      </w:r>
      <w:proofErr w:type="spellEnd"/>
      <w:r>
        <w:rPr>
          <w:rFonts w:eastAsia="Calibri"/>
          <w:color w:val="000000"/>
          <w:sz w:val="20"/>
          <w:szCs w:val="20"/>
        </w:rPr>
        <w:t xml:space="preserve">, S. (2018). Nutritive profile and </w:t>
      </w:r>
      <w:proofErr w:type="spellStart"/>
      <w:r>
        <w:rPr>
          <w:rFonts w:eastAsia="Calibri"/>
          <w:color w:val="000000"/>
          <w:sz w:val="20"/>
          <w:szCs w:val="20"/>
        </w:rPr>
        <w:t>provitamin</w:t>
      </w:r>
      <w:proofErr w:type="spellEnd"/>
      <w:r>
        <w:rPr>
          <w:rFonts w:eastAsia="Calibri"/>
          <w:color w:val="000000"/>
          <w:sz w:val="20"/>
          <w:szCs w:val="20"/>
        </w:rPr>
        <w:t xml:space="preserve"> A value of </w:t>
      </w:r>
      <w:r>
        <w:rPr>
          <w:rFonts w:eastAsia="Calibri"/>
          <w:color w:val="000000"/>
          <w:sz w:val="20"/>
          <w:szCs w:val="20"/>
        </w:rPr>
        <w:t xml:space="preserve">sweet </w:t>
      </w:r>
      <w:r>
        <w:rPr>
          <w:rFonts w:eastAsia="Calibri"/>
          <w:color w:val="000000"/>
          <w:sz w:val="20"/>
          <w:szCs w:val="20"/>
        </w:rPr>
        <w:t>potatoes flours (</w:t>
      </w:r>
      <w:r>
        <w:rPr>
          <w:rFonts w:eastAsia="Calibri"/>
          <w:i/>
          <w:iCs/>
          <w:color w:val="000000"/>
          <w:sz w:val="20"/>
          <w:szCs w:val="20"/>
        </w:rPr>
        <w:t xml:space="preserve">Ipomoea </w:t>
      </w:r>
      <w:proofErr w:type="spellStart"/>
      <w:r>
        <w:rPr>
          <w:rFonts w:eastAsia="Calibri"/>
          <w:i/>
          <w:iCs/>
          <w:color w:val="000000"/>
          <w:sz w:val="20"/>
          <w:szCs w:val="20"/>
        </w:rPr>
        <w:t>batatas</w:t>
      </w:r>
      <w:proofErr w:type="spellEnd"/>
      <w:r>
        <w:rPr>
          <w:rFonts w:eastAsia="Calibri"/>
          <w:i/>
          <w:iCs/>
          <w:color w:val="000000"/>
          <w:sz w:val="20"/>
          <w:szCs w:val="20"/>
        </w:rPr>
        <w:t xml:space="preserve"> </w:t>
      </w:r>
      <w:r>
        <w:rPr>
          <w:rFonts w:eastAsia="Calibri"/>
          <w:color w:val="000000"/>
          <w:sz w:val="20"/>
          <w:szCs w:val="20"/>
        </w:rPr>
        <w:t xml:space="preserve">Lam) consumed in Cote d’ </w:t>
      </w:r>
      <w:proofErr w:type="spellStart"/>
      <w:r>
        <w:rPr>
          <w:rFonts w:eastAsia="Calibri"/>
          <w:color w:val="000000"/>
          <w:sz w:val="20"/>
          <w:szCs w:val="20"/>
        </w:rPr>
        <w:t>Ivoire</w:t>
      </w:r>
      <w:proofErr w:type="spellEnd"/>
      <w:r>
        <w:rPr>
          <w:rFonts w:eastAsia="Calibri"/>
          <w:color w:val="000000"/>
          <w:sz w:val="20"/>
          <w:szCs w:val="20"/>
        </w:rPr>
        <w:t xml:space="preserve">. </w:t>
      </w:r>
      <w:r>
        <w:rPr>
          <w:rFonts w:eastAsia="Calibri"/>
          <w:i/>
          <w:color w:val="000000"/>
          <w:sz w:val="20"/>
          <w:szCs w:val="20"/>
        </w:rPr>
        <w:t>Journal Food Research,</w:t>
      </w:r>
      <w:r>
        <w:rPr>
          <w:rFonts w:eastAsia="Calibri"/>
          <w:color w:val="000000"/>
          <w:sz w:val="20"/>
          <w:szCs w:val="20"/>
        </w:rPr>
        <w:t xml:space="preserve"> 7(5), 36-48.</w:t>
      </w:r>
    </w:p>
    <w:p w:rsidR="005B3ABD" w:rsidRDefault="003F2B6A" w:rsidP="005A57CC">
      <w:pPr>
        <w:tabs>
          <w:tab w:val="left" w:pos="567"/>
        </w:tabs>
        <w:autoSpaceDE w:val="0"/>
        <w:autoSpaceDN w:val="0"/>
        <w:adjustRightInd w:val="0"/>
        <w:snapToGrid w:val="0"/>
        <w:ind w:left="567" w:hanging="567"/>
        <w:jc w:val="both"/>
        <w:rPr>
          <w:rFonts w:eastAsia="TimesNewRomanPSMT"/>
          <w:sz w:val="20"/>
          <w:szCs w:val="20"/>
        </w:rPr>
      </w:pPr>
      <w:r>
        <w:rPr>
          <w:sz w:val="20"/>
          <w:szCs w:val="20"/>
        </w:rPr>
        <w:t xml:space="preserve">[13] </w:t>
      </w:r>
      <w:r>
        <w:rPr>
          <w:sz w:val="20"/>
          <w:szCs w:val="20"/>
        </w:rPr>
        <w:tab/>
      </w:r>
      <w:proofErr w:type="spellStart"/>
      <w:r>
        <w:rPr>
          <w:sz w:val="20"/>
          <w:szCs w:val="20"/>
        </w:rPr>
        <w:t>Zakpaa</w:t>
      </w:r>
      <w:proofErr w:type="spellEnd"/>
      <w:r>
        <w:rPr>
          <w:sz w:val="20"/>
          <w:szCs w:val="20"/>
        </w:rPr>
        <w:t xml:space="preserve">, H.D., </w:t>
      </w:r>
      <w:proofErr w:type="spellStart"/>
      <w:r>
        <w:rPr>
          <w:sz w:val="20"/>
          <w:szCs w:val="20"/>
        </w:rPr>
        <w:t>Mak</w:t>
      </w:r>
      <w:proofErr w:type="spellEnd"/>
      <w:r>
        <w:rPr>
          <w:sz w:val="20"/>
          <w:szCs w:val="20"/>
        </w:rPr>
        <w:t xml:space="preserve">-Mensah, E.E. &amp; </w:t>
      </w:r>
      <w:proofErr w:type="spellStart"/>
      <w:r>
        <w:rPr>
          <w:sz w:val="20"/>
          <w:szCs w:val="20"/>
        </w:rPr>
        <w:t>Adubofour</w:t>
      </w:r>
      <w:proofErr w:type="spellEnd"/>
      <w:r>
        <w:rPr>
          <w:sz w:val="20"/>
          <w:szCs w:val="20"/>
        </w:rPr>
        <w:t xml:space="preserve">, J. (2010). Production and characterization of four produced from </w:t>
      </w:r>
      <w:r>
        <w:rPr>
          <w:sz w:val="20"/>
          <w:szCs w:val="20"/>
        </w:rPr>
        <w:t>ripe “</w:t>
      </w:r>
      <w:proofErr w:type="spellStart"/>
      <w:r>
        <w:rPr>
          <w:sz w:val="20"/>
          <w:szCs w:val="20"/>
        </w:rPr>
        <w:t>apem</w:t>
      </w:r>
      <w:proofErr w:type="spellEnd"/>
      <w:r>
        <w:rPr>
          <w:sz w:val="20"/>
          <w:szCs w:val="20"/>
        </w:rPr>
        <w:t xml:space="preserve">” plantain (Musa </w:t>
      </w:r>
      <w:proofErr w:type="spellStart"/>
      <w:r>
        <w:rPr>
          <w:sz w:val="20"/>
          <w:szCs w:val="20"/>
        </w:rPr>
        <w:t>sapientum</w:t>
      </w:r>
      <w:proofErr w:type="spellEnd"/>
      <w:r>
        <w:rPr>
          <w:sz w:val="20"/>
          <w:szCs w:val="20"/>
        </w:rPr>
        <w:t xml:space="preserve"> L. var. paradisiacal; French horn) grown in Ghana. </w:t>
      </w:r>
      <w:r>
        <w:rPr>
          <w:i/>
          <w:sz w:val="20"/>
          <w:szCs w:val="20"/>
        </w:rPr>
        <w:t xml:space="preserve">J. </w:t>
      </w:r>
      <w:proofErr w:type="spellStart"/>
      <w:r>
        <w:rPr>
          <w:i/>
          <w:sz w:val="20"/>
          <w:szCs w:val="20"/>
        </w:rPr>
        <w:t>Agric</w:t>
      </w:r>
      <w:proofErr w:type="spellEnd"/>
      <w:r>
        <w:rPr>
          <w:i/>
          <w:sz w:val="20"/>
          <w:szCs w:val="20"/>
        </w:rPr>
        <w:t xml:space="preserve"> </w:t>
      </w:r>
      <w:proofErr w:type="spellStart"/>
      <w:r>
        <w:rPr>
          <w:i/>
          <w:sz w:val="20"/>
          <w:szCs w:val="20"/>
        </w:rPr>
        <w:t>Biotec</w:t>
      </w:r>
      <w:proofErr w:type="spellEnd"/>
      <w:r>
        <w:rPr>
          <w:i/>
          <w:sz w:val="20"/>
          <w:szCs w:val="20"/>
        </w:rPr>
        <w:t xml:space="preserve"> and </w:t>
      </w:r>
      <w:proofErr w:type="spellStart"/>
      <w:r>
        <w:rPr>
          <w:i/>
          <w:sz w:val="20"/>
          <w:szCs w:val="20"/>
        </w:rPr>
        <w:t>Sust</w:t>
      </w:r>
      <w:proofErr w:type="spellEnd"/>
      <w:r>
        <w:rPr>
          <w:i/>
          <w:sz w:val="20"/>
          <w:szCs w:val="20"/>
        </w:rPr>
        <w:t xml:space="preserve"> </w:t>
      </w:r>
      <w:r>
        <w:rPr>
          <w:i/>
          <w:sz w:val="20"/>
          <w:szCs w:val="20"/>
        </w:rPr>
        <w:t>Dev</w:t>
      </w:r>
      <w:r>
        <w:rPr>
          <w:sz w:val="20"/>
          <w:szCs w:val="20"/>
        </w:rPr>
        <w:t xml:space="preserve">, </w:t>
      </w:r>
      <w:r>
        <w:rPr>
          <w:i/>
          <w:sz w:val="20"/>
          <w:szCs w:val="20"/>
        </w:rPr>
        <w:t>2</w:t>
      </w:r>
      <w:r>
        <w:rPr>
          <w:sz w:val="20"/>
          <w:szCs w:val="20"/>
        </w:rPr>
        <w:t>(6), 92–99.</w:t>
      </w:r>
    </w:p>
    <w:p w:rsidR="005B3ABD" w:rsidRDefault="003F2B6A" w:rsidP="005A57CC">
      <w:pPr>
        <w:tabs>
          <w:tab w:val="left" w:pos="567"/>
        </w:tabs>
        <w:autoSpaceDE w:val="0"/>
        <w:autoSpaceDN w:val="0"/>
        <w:adjustRightInd w:val="0"/>
        <w:snapToGrid w:val="0"/>
        <w:ind w:left="567" w:hanging="567"/>
        <w:jc w:val="both"/>
        <w:rPr>
          <w:rFonts w:eastAsia="TimesNewRomanPSMT"/>
          <w:sz w:val="20"/>
          <w:szCs w:val="20"/>
        </w:rPr>
      </w:pPr>
      <w:r>
        <w:rPr>
          <w:sz w:val="20"/>
          <w:szCs w:val="20"/>
        </w:rPr>
        <w:t xml:space="preserve">[14] </w:t>
      </w:r>
      <w:r>
        <w:rPr>
          <w:sz w:val="20"/>
          <w:szCs w:val="20"/>
        </w:rPr>
        <w:tab/>
      </w:r>
      <w:proofErr w:type="spellStart"/>
      <w:r>
        <w:rPr>
          <w:sz w:val="20"/>
          <w:szCs w:val="20"/>
        </w:rPr>
        <w:t>Anigo</w:t>
      </w:r>
      <w:proofErr w:type="spellEnd"/>
      <w:r>
        <w:rPr>
          <w:sz w:val="20"/>
          <w:szCs w:val="20"/>
        </w:rPr>
        <w:t xml:space="preserve">, K.M., </w:t>
      </w:r>
      <w:proofErr w:type="spellStart"/>
      <w:r>
        <w:rPr>
          <w:sz w:val="20"/>
          <w:szCs w:val="20"/>
        </w:rPr>
        <w:t>Ameh</w:t>
      </w:r>
      <w:proofErr w:type="spellEnd"/>
      <w:r>
        <w:rPr>
          <w:sz w:val="20"/>
          <w:szCs w:val="20"/>
        </w:rPr>
        <w:t xml:space="preserve">, D.A., Ibrahim, S. &amp; </w:t>
      </w:r>
      <w:proofErr w:type="spellStart"/>
      <w:r>
        <w:rPr>
          <w:sz w:val="20"/>
          <w:szCs w:val="20"/>
        </w:rPr>
        <w:t>Danbauchi</w:t>
      </w:r>
      <w:proofErr w:type="spellEnd"/>
      <w:r>
        <w:rPr>
          <w:sz w:val="20"/>
          <w:szCs w:val="20"/>
        </w:rPr>
        <w:t xml:space="preserve">, </w:t>
      </w:r>
      <w:r>
        <w:rPr>
          <w:sz w:val="20"/>
          <w:szCs w:val="20"/>
        </w:rPr>
        <w:t xml:space="preserve">S.K. (2009). Nutrient composition of commonly used </w:t>
      </w:r>
      <w:r>
        <w:rPr>
          <w:sz w:val="20"/>
          <w:szCs w:val="20"/>
        </w:rPr>
        <w:t xml:space="preserve">complementary foods in North Western Nigeria. </w:t>
      </w:r>
      <w:proofErr w:type="spellStart"/>
      <w:r>
        <w:rPr>
          <w:i/>
          <w:sz w:val="20"/>
          <w:szCs w:val="20"/>
        </w:rPr>
        <w:t>Afr</w:t>
      </w:r>
      <w:proofErr w:type="spellEnd"/>
      <w:r>
        <w:rPr>
          <w:i/>
          <w:sz w:val="20"/>
          <w:szCs w:val="20"/>
        </w:rPr>
        <w:t xml:space="preserve"> J. </w:t>
      </w:r>
      <w:proofErr w:type="spellStart"/>
      <w:r>
        <w:rPr>
          <w:i/>
          <w:sz w:val="20"/>
          <w:szCs w:val="20"/>
        </w:rPr>
        <w:t>Biotec</w:t>
      </w:r>
      <w:proofErr w:type="spellEnd"/>
      <w:r>
        <w:rPr>
          <w:sz w:val="20"/>
          <w:szCs w:val="20"/>
        </w:rPr>
        <w:t xml:space="preserve">, </w:t>
      </w:r>
      <w:r>
        <w:rPr>
          <w:i/>
          <w:sz w:val="20"/>
          <w:szCs w:val="20"/>
        </w:rPr>
        <w:t>8</w:t>
      </w:r>
      <w:r>
        <w:rPr>
          <w:sz w:val="20"/>
          <w:szCs w:val="20"/>
        </w:rPr>
        <w:t>(18), 4211 – 4216.</w:t>
      </w:r>
    </w:p>
    <w:p w:rsidR="005B3ABD" w:rsidRDefault="003F2B6A" w:rsidP="005A57CC">
      <w:pPr>
        <w:tabs>
          <w:tab w:val="left" w:pos="567"/>
        </w:tabs>
        <w:autoSpaceDE w:val="0"/>
        <w:autoSpaceDN w:val="0"/>
        <w:adjustRightInd w:val="0"/>
        <w:snapToGrid w:val="0"/>
        <w:ind w:left="567" w:hanging="567"/>
        <w:jc w:val="both"/>
        <w:rPr>
          <w:rFonts w:eastAsia="TimesNewRomanPSMT"/>
          <w:sz w:val="20"/>
          <w:szCs w:val="20"/>
        </w:rPr>
      </w:pPr>
      <w:r>
        <w:rPr>
          <w:sz w:val="20"/>
          <w:szCs w:val="20"/>
        </w:rPr>
        <w:t xml:space="preserve">[15] FAO/WHO. (2012). Energy and protein requirements: Report of joint FAO/WHO Expert </w:t>
      </w:r>
      <w:r>
        <w:rPr>
          <w:sz w:val="20"/>
          <w:szCs w:val="20"/>
        </w:rPr>
        <w:lastRenderedPageBreak/>
        <w:t xml:space="preserve">Consultation. FAO Food </w:t>
      </w:r>
      <w:bookmarkStart w:id="0" w:name="_GoBack"/>
      <w:bookmarkEnd w:id="0"/>
      <w:r>
        <w:rPr>
          <w:sz w:val="20"/>
          <w:szCs w:val="20"/>
        </w:rPr>
        <w:t>and Nutrition</w:t>
      </w:r>
      <w:r>
        <w:rPr>
          <w:sz w:val="20"/>
          <w:szCs w:val="20"/>
        </w:rPr>
        <w:t xml:space="preserve"> paper 51, FAO/WHO, Rome, Italy.</w:t>
      </w:r>
    </w:p>
    <w:p w:rsidR="005B3ABD" w:rsidRDefault="003F2B6A" w:rsidP="005A57CC">
      <w:pPr>
        <w:tabs>
          <w:tab w:val="left" w:pos="567"/>
        </w:tabs>
        <w:autoSpaceDE w:val="0"/>
        <w:autoSpaceDN w:val="0"/>
        <w:adjustRightInd w:val="0"/>
        <w:snapToGrid w:val="0"/>
        <w:ind w:left="567" w:hanging="567"/>
        <w:jc w:val="both"/>
        <w:rPr>
          <w:rFonts w:eastAsia="TimesNewRomanPSMT"/>
          <w:sz w:val="20"/>
          <w:szCs w:val="20"/>
        </w:rPr>
      </w:pPr>
      <w:r>
        <w:rPr>
          <w:sz w:val="20"/>
          <w:szCs w:val="20"/>
        </w:rPr>
        <w:t xml:space="preserve">[16] </w:t>
      </w:r>
      <w:r>
        <w:rPr>
          <w:sz w:val="20"/>
          <w:szCs w:val="20"/>
        </w:rPr>
        <w:tab/>
      </w:r>
      <w:proofErr w:type="spellStart"/>
      <w:r>
        <w:rPr>
          <w:sz w:val="20"/>
          <w:szCs w:val="20"/>
        </w:rPr>
        <w:t>Akinyemi</w:t>
      </w:r>
      <w:proofErr w:type="spellEnd"/>
      <w:r>
        <w:rPr>
          <w:sz w:val="20"/>
          <w:szCs w:val="20"/>
        </w:rPr>
        <w:t xml:space="preserve">, T.A., </w:t>
      </w:r>
      <w:proofErr w:type="spellStart"/>
      <w:r>
        <w:rPr>
          <w:sz w:val="20"/>
          <w:szCs w:val="20"/>
        </w:rPr>
        <w:t>Akinsola</w:t>
      </w:r>
      <w:proofErr w:type="spellEnd"/>
      <w:r>
        <w:rPr>
          <w:sz w:val="20"/>
          <w:szCs w:val="20"/>
        </w:rPr>
        <w:t xml:space="preserve">, A.O., </w:t>
      </w:r>
      <w:proofErr w:type="spellStart"/>
      <w:r>
        <w:rPr>
          <w:sz w:val="20"/>
          <w:szCs w:val="20"/>
        </w:rPr>
        <w:t>Adedokun</w:t>
      </w:r>
      <w:proofErr w:type="spellEnd"/>
      <w:r>
        <w:rPr>
          <w:sz w:val="20"/>
          <w:szCs w:val="20"/>
        </w:rPr>
        <w:t xml:space="preserve">, A.F., </w:t>
      </w:r>
      <w:proofErr w:type="spellStart"/>
      <w:r>
        <w:rPr>
          <w:sz w:val="20"/>
          <w:szCs w:val="20"/>
        </w:rPr>
        <w:t>Segilola</w:t>
      </w:r>
      <w:proofErr w:type="spellEnd"/>
      <w:r>
        <w:rPr>
          <w:sz w:val="20"/>
          <w:szCs w:val="20"/>
        </w:rPr>
        <w:t xml:space="preserve">, V.O., </w:t>
      </w:r>
      <w:proofErr w:type="spellStart"/>
      <w:r>
        <w:rPr>
          <w:sz w:val="20"/>
          <w:szCs w:val="20"/>
        </w:rPr>
        <w:t>Obisesan</w:t>
      </w:r>
      <w:proofErr w:type="spellEnd"/>
      <w:r>
        <w:rPr>
          <w:sz w:val="20"/>
          <w:szCs w:val="20"/>
        </w:rPr>
        <w:t xml:space="preserve">, D.O., </w:t>
      </w:r>
      <w:proofErr w:type="spellStart"/>
      <w:r>
        <w:rPr>
          <w:sz w:val="20"/>
          <w:szCs w:val="20"/>
        </w:rPr>
        <w:t>Afonja</w:t>
      </w:r>
      <w:proofErr w:type="spellEnd"/>
      <w:r>
        <w:rPr>
          <w:sz w:val="20"/>
          <w:szCs w:val="20"/>
        </w:rPr>
        <w:t xml:space="preserve">, T.E. (2020). Evaluation </w:t>
      </w:r>
      <w:r>
        <w:rPr>
          <w:sz w:val="20"/>
          <w:szCs w:val="20"/>
        </w:rPr>
        <w:t xml:space="preserve">of Quality and Sensory Characteristics of Spaghetti made from Plantain and Wheat Flour blends. </w:t>
      </w:r>
      <w:r>
        <w:rPr>
          <w:i/>
          <w:sz w:val="20"/>
          <w:szCs w:val="20"/>
        </w:rPr>
        <w:t xml:space="preserve">Food </w:t>
      </w:r>
      <w:proofErr w:type="spellStart"/>
      <w:r>
        <w:rPr>
          <w:i/>
          <w:sz w:val="20"/>
          <w:szCs w:val="20"/>
        </w:rPr>
        <w:t>Proc</w:t>
      </w:r>
      <w:proofErr w:type="spellEnd"/>
      <w:r>
        <w:rPr>
          <w:i/>
          <w:sz w:val="20"/>
          <w:szCs w:val="20"/>
        </w:rPr>
        <w:t xml:space="preserve"> </w:t>
      </w:r>
      <w:proofErr w:type="spellStart"/>
      <w:r>
        <w:rPr>
          <w:i/>
          <w:sz w:val="20"/>
          <w:szCs w:val="20"/>
        </w:rPr>
        <w:t>Nutr</w:t>
      </w:r>
      <w:proofErr w:type="spellEnd"/>
      <w:r>
        <w:rPr>
          <w:i/>
          <w:sz w:val="20"/>
          <w:szCs w:val="20"/>
        </w:rPr>
        <w:t xml:space="preserve">. </w:t>
      </w:r>
      <w:r>
        <w:rPr>
          <w:i/>
          <w:sz w:val="20"/>
          <w:szCs w:val="20"/>
        </w:rPr>
        <w:t>Sci</w:t>
      </w:r>
      <w:r>
        <w:rPr>
          <w:sz w:val="20"/>
          <w:szCs w:val="20"/>
        </w:rPr>
        <w:t>., 1(1), 93-104.</w:t>
      </w:r>
    </w:p>
    <w:p w:rsidR="005B3ABD" w:rsidRDefault="003F2B6A" w:rsidP="005A57CC">
      <w:pPr>
        <w:tabs>
          <w:tab w:val="left" w:pos="567"/>
        </w:tabs>
        <w:autoSpaceDE w:val="0"/>
        <w:autoSpaceDN w:val="0"/>
        <w:adjustRightInd w:val="0"/>
        <w:snapToGrid w:val="0"/>
        <w:ind w:left="567" w:hanging="567"/>
        <w:jc w:val="both"/>
        <w:rPr>
          <w:rFonts w:eastAsia="TimesNewRomanPSMT"/>
          <w:sz w:val="20"/>
          <w:szCs w:val="20"/>
        </w:rPr>
      </w:pPr>
      <w:r>
        <w:rPr>
          <w:sz w:val="20"/>
          <w:szCs w:val="20"/>
        </w:rPr>
        <w:t xml:space="preserve">[17] </w:t>
      </w:r>
      <w:r>
        <w:rPr>
          <w:sz w:val="20"/>
          <w:szCs w:val="20"/>
        </w:rPr>
        <w:tab/>
      </w:r>
      <w:proofErr w:type="spellStart"/>
      <w:r>
        <w:rPr>
          <w:rFonts w:eastAsia="Calibri"/>
          <w:color w:val="000000"/>
          <w:sz w:val="20"/>
          <w:szCs w:val="20"/>
        </w:rPr>
        <w:t>Soetan</w:t>
      </w:r>
      <w:proofErr w:type="spellEnd"/>
      <w:r>
        <w:rPr>
          <w:rFonts w:eastAsia="Calibri"/>
          <w:color w:val="000000"/>
          <w:sz w:val="20"/>
          <w:szCs w:val="20"/>
        </w:rPr>
        <w:t xml:space="preserve">, K.O. &amp; </w:t>
      </w:r>
      <w:proofErr w:type="spellStart"/>
      <w:r>
        <w:rPr>
          <w:rFonts w:eastAsia="Calibri"/>
          <w:color w:val="000000"/>
          <w:sz w:val="20"/>
          <w:szCs w:val="20"/>
        </w:rPr>
        <w:t>Olaiya</w:t>
      </w:r>
      <w:proofErr w:type="spellEnd"/>
      <w:r>
        <w:rPr>
          <w:rFonts w:eastAsia="Calibri"/>
          <w:color w:val="000000"/>
          <w:sz w:val="20"/>
          <w:szCs w:val="20"/>
        </w:rPr>
        <w:t xml:space="preserve">, C.O. (2013). Summarizing evidence based information on the medical importance of </w:t>
      </w:r>
      <w:r>
        <w:rPr>
          <w:rFonts w:eastAsia="Calibri"/>
          <w:color w:val="000000"/>
          <w:sz w:val="20"/>
          <w:szCs w:val="20"/>
        </w:rPr>
        <w:t xml:space="preserve">dietary </w:t>
      </w:r>
      <w:proofErr w:type="spellStart"/>
      <w:r>
        <w:rPr>
          <w:rFonts w:eastAsia="Calibri"/>
          <w:color w:val="000000"/>
          <w:sz w:val="20"/>
          <w:szCs w:val="20"/>
        </w:rPr>
        <w:t>fibre</w:t>
      </w:r>
      <w:proofErr w:type="spellEnd"/>
      <w:r>
        <w:rPr>
          <w:rFonts w:eastAsia="Calibri"/>
          <w:color w:val="000000"/>
          <w:sz w:val="20"/>
          <w:szCs w:val="20"/>
        </w:rPr>
        <w:t xml:space="preserve">. </w:t>
      </w:r>
      <w:r>
        <w:rPr>
          <w:rFonts w:eastAsia="Calibri"/>
          <w:i/>
          <w:color w:val="000000"/>
          <w:sz w:val="20"/>
          <w:szCs w:val="20"/>
        </w:rPr>
        <w:t>Annals of Food Science and Technology</w:t>
      </w:r>
      <w:r>
        <w:rPr>
          <w:rFonts w:eastAsia="Calibri"/>
          <w:color w:val="000000"/>
          <w:sz w:val="20"/>
          <w:szCs w:val="20"/>
        </w:rPr>
        <w:t>, 14(2), 393-399.</w:t>
      </w:r>
    </w:p>
    <w:p w:rsidR="005B3ABD" w:rsidRDefault="003F2B6A" w:rsidP="005A57CC">
      <w:pPr>
        <w:tabs>
          <w:tab w:val="left" w:pos="567"/>
        </w:tabs>
        <w:autoSpaceDE w:val="0"/>
        <w:autoSpaceDN w:val="0"/>
        <w:adjustRightInd w:val="0"/>
        <w:snapToGrid w:val="0"/>
        <w:ind w:left="567" w:hanging="567"/>
        <w:jc w:val="both"/>
        <w:rPr>
          <w:rFonts w:eastAsia="Calibri"/>
          <w:color w:val="000000"/>
          <w:sz w:val="20"/>
          <w:szCs w:val="20"/>
        </w:rPr>
      </w:pPr>
      <w:r>
        <w:rPr>
          <w:sz w:val="20"/>
          <w:szCs w:val="20"/>
        </w:rPr>
        <w:t xml:space="preserve">[18] </w:t>
      </w:r>
      <w:r>
        <w:rPr>
          <w:sz w:val="20"/>
          <w:szCs w:val="20"/>
        </w:rPr>
        <w:tab/>
      </w:r>
      <w:proofErr w:type="spellStart"/>
      <w:r>
        <w:rPr>
          <w:rFonts w:eastAsia="Calibri"/>
          <w:color w:val="000000"/>
          <w:sz w:val="20"/>
          <w:szCs w:val="20"/>
        </w:rPr>
        <w:t>Ibeanu</w:t>
      </w:r>
      <w:proofErr w:type="spellEnd"/>
      <w:r>
        <w:rPr>
          <w:rFonts w:eastAsia="Calibri"/>
          <w:color w:val="000000"/>
          <w:sz w:val="20"/>
          <w:szCs w:val="20"/>
        </w:rPr>
        <w:t xml:space="preserve">, V., </w:t>
      </w:r>
      <w:proofErr w:type="spellStart"/>
      <w:r>
        <w:rPr>
          <w:rFonts w:eastAsia="Calibri"/>
          <w:color w:val="000000"/>
          <w:sz w:val="20"/>
          <w:szCs w:val="20"/>
        </w:rPr>
        <w:t>Onyechi</w:t>
      </w:r>
      <w:proofErr w:type="spellEnd"/>
      <w:r>
        <w:rPr>
          <w:rFonts w:eastAsia="Calibri"/>
          <w:color w:val="000000"/>
          <w:sz w:val="20"/>
          <w:szCs w:val="20"/>
        </w:rPr>
        <w:t xml:space="preserve">, U., Ani, P., &amp; </w:t>
      </w:r>
      <w:proofErr w:type="spellStart"/>
      <w:r>
        <w:rPr>
          <w:rFonts w:eastAsia="Calibri"/>
          <w:color w:val="000000"/>
          <w:sz w:val="20"/>
          <w:szCs w:val="20"/>
        </w:rPr>
        <w:t>Ohia</w:t>
      </w:r>
      <w:proofErr w:type="spellEnd"/>
      <w:r>
        <w:rPr>
          <w:rFonts w:eastAsia="Calibri"/>
          <w:color w:val="000000"/>
          <w:sz w:val="20"/>
          <w:szCs w:val="20"/>
        </w:rPr>
        <w:t>,</w:t>
      </w:r>
      <w:r>
        <w:rPr>
          <w:rFonts w:eastAsia="Calibri"/>
          <w:color w:val="000000"/>
          <w:sz w:val="20"/>
          <w:szCs w:val="20"/>
        </w:rPr>
        <w:t xml:space="preserve"> C. (2016). Composition and sensory properties of plantain </w:t>
      </w:r>
      <w:r>
        <w:rPr>
          <w:rFonts w:eastAsia="Calibri"/>
          <w:color w:val="000000"/>
          <w:sz w:val="20"/>
          <w:szCs w:val="20"/>
        </w:rPr>
        <w:t xml:space="preserve">cake. </w:t>
      </w:r>
      <w:r>
        <w:rPr>
          <w:rFonts w:eastAsia="Calibri"/>
          <w:i/>
          <w:color w:val="000000"/>
          <w:sz w:val="20"/>
          <w:szCs w:val="20"/>
        </w:rPr>
        <w:t xml:space="preserve">African </w:t>
      </w:r>
      <w:r>
        <w:rPr>
          <w:rFonts w:eastAsia="Calibri"/>
          <w:i/>
          <w:color w:val="000000"/>
          <w:sz w:val="20"/>
          <w:szCs w:val="20"/>
        </w:rPr>
        <w:t>Journal of Food Science</w:t>
      </w:r>
      <w:r>
        <w:rPr>
          <w:rFonts w:eastAsia="Calibri"/>
          <w:color w:val="000000"/>
          <w:sz w:val="20"/>
          <w:szCs w:val="20"/>
        </w:rPr>
        <w:t>, 10(2), 25-32.</w:t>
      </w:r>
    </w:p>
    <w:p w:rsidR="005B3ABD" w:rsidRDefault="003F2B6A" w:rsidP="005A57CC">
      <w:pPr>
        <w:tabs>
          <w:tab w:val="left" w:pos="567"/>
        </w:tabs>
        <w:autoSpaceDE w:val="0"/>
        <w:autoSpaceDN w:val="0"/>
        <w:adjustRightInd w:val="0"/>
        <w:snapToGrid w:val="0"/>
        <w:ind w:left="567" w:hanging="567"/>
        <w:jc w:val="both"/>
        <w:rPr>
          <w:rFonts w:eastAsia="TimesNewRomanPSMT"/>
          <w:sz w:val="20"/>
          <w:szCs w:val="20"/>
        </w:rPr>
      </w:pPr>
      <w:r>
        <w:rPr>
          <w:sz w:val="20"/>
          <w:szCs w:val="20"/>
        </w:rPr>
        <w:t xml:space="preserve">[19] </w:t>
      </w:r>
      <w:r>
        <w:rPr>
          <w:sz w:val="20"/>
          <w:szCs w:val="20"/>
        </w:rPr>
        <w:tab/>
      </w:r>
      <w:proofErr w:type="spellStart"/>
      <w:r>
        <w:rPr>
          <w:rFonts w:eastAsia="SimSun"/>
          <w:color w:val="000000"/>
          <w:sz w:val="20"/>
          <w:szCs w:val="20"/>
        </w:rPr>
        <w:t>Sushma</w:t>
      </w:r>
      <w:proofErr w:type="spellEnd"/>
      <w:r>
        <w:rPr>
          <w:rFonts w:eastAsia="SimSun"/>
          <w:color w:val="000000"/>
          <w:sz w:val="20"/>
          <w:szCs w:val="20"/>
        </w:rPr>
        <w:t xml:space="preserve">, T., </w:t>
      </w:r>
      <w:proofErr w:type="spellStart"/>
      <w:r>
        <w:rPr>
          <w:rFonts w:eastAsia="SimSun"/>
          <w:color w:val="000000"/>
          <w:sz w:val="20"/>
          <w:szCs w:val="20"/>
        </w:rPr>
        <w:t>Beenu</w:t>
      </w:r>
      <w:proofErr w:type="spellEnd"/>
      <w:r>
        <w:rPr>
          <w:rFonts w:eastAsia="SimSun"/>
          <w:color w:val="000000"/>
          <w:sz w:val="20"/>
          <w:szCs w:val="20"/>
        </w:rPr>
        <w:t xml:space="preserve">, T., </w:t>
      </w:r>
      <w:proofErr w:type="spellStart"/>
      <w:r>
        <w:rPr>
          <w:rFonts w:eastAsia="SimSun"/>
          <w:color w:val="000000"/>
          <w:sz w:val="20"/>
          <w:szCs w:val="20"/>
        </w:rPr>
        <w:t>Ambike</w:t>
      </w:r>
      <w:proofErr w:type="spellEnd"/>
      <w:r>
        <w:rPr>
          <w:rFonts w:eastAsia="SimSun"/>
          <w:color w:val="000000"/>
          <w:sz w:val="20"/>
          <w:szCs w:val="20"/>
        </w:rPr>
        <w:t xml:space="preserve">, C., </w:t>
      </w:r>
      <w:proofErr w:type="spellStart"/>
      <w:r>
        <w:rPr>
          <w:rFonts w:eastAsia="SimSun"/>
          <w:color w:val="000000"/>
          <w:sz w:val="20"/>
          <w:szCs w:val="20"/>
        </w:rPr>
        <w:t>Vikas</w:t>
      </w:r>
      <w:proofErr w:type="spellEnd"/>
      <w:r>
        <w:rPr>
          <w:rFonts w:eastAsia="SimSun"/>
          <w:color w:val="000000"/>
          <w:sz w:val="20"/>
          <w:szCs w:val="20"/>
        </w:rPr>
        <w:t xml:space="preserve">, K. (2016). Physicochemical and organoleptic properties of cookies </w:t>
      </w:r>
      <w:r>
        <w:rPr>
          <w:rFonts w:eastAsia="SimSun"/>
          <w:color w:val="000000"/>
          <w:sz w:val="20"/>
          <w:szCs w:val="20"/>
        </w:rPr>
        <w:t>incorporated with legumes f</w:t>
      </w:r>
      <w:r>
        <w:rPr>
          <w:rFonts w:eastAsia="SimSun"/>
          <w:color w:val="000000"/>
          <w:sz w:val="20"/>
          <w:szCs w:val="20"/>
        </w:rPr>
        <w:t xml:space="preserve">lours. </w:t>
      </w:r>
      <w:proofErr w:type="spellStart"/>
      <w:r>
        <w:rPr>
          <w:rFonts w:eastAsia="SimSun"/>
          <w:i/>
          <w:color w:val="000000"/>
          <w:sz w:val="20"/>
          <w:szCs w:val="20"/>
        </w:rPr>
        <w:t>Congent</w:t>
      </w:r>
      <w:proofErr w:type="spellEnd"/>
      <w:r>
        <w:rPr>
          <w:rFonts w:eastAsia="SimSun"/>
          <w:i/>
          <w:color w:val="000000"/>
          <w:sz w:val="20"/>
          <w:szCs w:val="20"/>
        </w:rPr>
        <w:t xml:space="preserve"> and Agriculture</w:t>
      </w:r>
      <w:r>
        <w:rPr>
          <w:rFonts w:eastAsia="SimSun"/>
          <w:color w:val="000000"/>
          <w:sz w:val="20"/>
          <w:szCs w:val="20"/>
        </w:rPr>
        <w:t xml:space="preserve">, 2(1):10-16. </w:t>
      </w:r>
    </w:p>
    <w:p w:rsidR="005B3ABD" w:rsidRDefault="003F2B6A" w:rsidP="005A57CC">
      <w:pPr>
        <w:tabs>
          <w:tab w:val="left" w:pos="567"/>
        </w:tabs>
        <w:autoSpaceDE w:val="0"/>
        <w:autoSpaceDN w:val="0"/>
        <w:adjustRightInd w:val="0"/>
        <w:snapToGrid w:val="0"/>
        <w:ind w:left="567" w:hanging="567"/>
        <w:jc w:val="both"/>
        <w:rPr>
          <w:rFonts w:eastAsia="TimesNewRomanPSMT"/>
          <w:sz w:val="20"/>
          <w:szCs w:val="20"/>
        </w:rPr>
      </w:pPr>
      <w:r>
        <w:rPr>
          <w:sz w:val="20"/>
          <w:szCs w:val="20"/>
        </w:rPr>
        <w:t xml:space="preserve">[20] </w:t>
      </w:r>
      <w:r>
        <w:rPr>
          <w:sz w:val="20"/>
          <w:szCs w:val="20"/>
        </w:rPr>
        <w:tab/>
      </w:r>
      <w:proofErr w:type="spellStart"/>
      <w:r>
        <w:rPr>
          <w:rFonts w:eastAsia="Calibri"/>
          <w:color w:val="000000"/>
          <w:sz w:val="20"/>
          <w:szCs w:val="20"/>
        </w:rPr>
        <w:t>Pharmics</w:t>
      </w:r>
      <w:proofErr w:type="spellEnd"/>
      <w:r>
        <w:rPr>
          <w:rFonts w:eastAsia="Calibri"/>
          <w:color w:val="000000"/>
          <w:sz w:val="20"/>
          <w:szCs w:val="20"/>
        </w:rPr>
        <w:t xml:space="preserve">. </w:t>
      </w:r>
      <w:proofErr w:type="spellStart"/>
      <w:r>
        <w:rPr>
          <w:rFonts w:eastAsia="Calibri"/>
          <w:color w:val="000000"/>
          <w:sz w:val="20"/>
          <w:szCs w:val="20"/>
        </w:rPr>
        <w:t>Pharmics</w:t>
      </w:r>
      <w:proofErr w:type="spellEnd"/>
      <w:r>
        <w:rPr>
          <w:rFonts w:eastAsia="Calibri"/>
          <w:color w:val="000000"/>
          <w:sz w:val="20"/>
          <w:szCs w:val="20"/>
        </w:rPr>
        <w:t xml:space="preserve"> Inc. </w:t>
      </w:r>
      <w:hyperlink r:id="rId19" w:history="1">
        <w:r>
          <w:rPr>
            <w:rStyle w:val="Hyperlink"/>
            <w:rFonts w:eastAsia="Calibri"/>
            <w:sz w:val="20"/>
            <w:szCs w:val="20"/>
          </w:rPr>
          <w:t>https://www.pharmicsvitamins.com</w:t>
        </w:r>
      </w:hyperlink>
      <w:r>
        <w:rPr>
          <w:rFonts w:eastAsia="Calibri"/>
          <w:color w:val="000000"/>
          <w:sz w:val="20"/>
          <w:szCs w:val="20"/>
        </w:rPr>
        <w:t>. Accessed December 18, 2019.</w:t>
      </w:r>
    </w:p>
    <w:p w:rsidR="005B3ABD" w:rsidRDefault="003F2B6A" w:rsidP="005A57CC">
      <w:pPr>
        <w:tabs>
          <w:tab w:val="left" w:pos="567"/>
        </w:tabs>
        <w:autoSpaceDE w:val="0"/>
        <w:autoSpaceDN w:val="0"/>
        <w:adjustRightInd w:val="0"/>
        <w:snapToGrid w:val="0"/>
        <w:ind w:left="567" w:hanging="567"/>
        <w:jc w:val="both"/>
        <w:rPr>
          <w:rFonts w:eastAsia="TimesNewRomanPSMT"/>
          <w:sz w:val="20"/>
          <w:szCs w:val="20"/>
        </w:rPr>
      </w:pPr>
      <w:r>
        <w:rPr>
          <w:sz w:val="20"/>
          <w:szCs w:val="20"/>
        </w:rPr>
        <w:t xml:space="preserve">[21] </w:t>
      </w:r>
      <w:r>
        <w:rPr>
          <w:sz w:val="20"/>
          <w:szCs w:val="20"/>
        </w:rPr>
        <w:tab/>
      </w:r>
      <w:proofErr w:type="spellStart"/>
      <w:r>
        <w:rPr>
          <w:rFonts w:eastAsia="Calibri"/>
          <w:color w:val="000000"/>
          <w:sz w:val="20"/>
          <w:szCs w:val="20"/>
        </w:rPr>
        <w:t>Penido</w:t>
      </w:r>
      <w:proofErr w:type="spellEnd"/>
      <w:r>
        <w:rPr>
          <w:rFonts w:eastAsia="Calibri"/>
          <w:color w:val="000000"/>
          <w:sz w:val="20"/>
          <w:szCs w:val="20"/>
        </w:rPr>
        <w:t xml:space="preserve">, M.G., </w:t>
      </w:r>
      <w:proofErr w:type="spellStart"/>
      <w:r>
        <w:rPr>
          <w:rFonts w:eastAsia="Calibri"/>
          <w:color w:val="000000"/>
          <w:sz w:val="20"/>
          <w:szCs w:val="20"/>
        </w:rPr>
        <w:t>Alon</w:t>
      </w:r>
      <w:proofErr w:type="spellEnd"/>
      <w:r>
        <w:rPr>
          <w:rFonts w:eastAsia="Calibri"/>
          <w:color w:val="000000"/>
          <w:sz w:val="20"/>
          <w:szCs w:val="20"/>
        </w:rPr>
        <w:t xml:space="preserve">, U.S. (2012). Phosphate homeostasis and its role in bone health. </w:t>
      </w:r>
      <w:r>
        <w:rPr>
          <w:rFonts w:eastAsia="Calibri"/>
          <w:i/>
          <w:color w:val="000000"/>
          <w:sz w:val="20"/>
          <w:szCs w:val="20"/>
        </w:rPr>
        <w:t>Pediatric nephrology</w:t>
      </w:r>
      <w:r>
        <w:rPr>
          <w:rFonts w:eastAsia="Calibri"/>
          <w:color w:val="000000"/>
          <w:sz w:val="20"/>
          <w:szCs w:val="20"/>
        </w:rPr>
        <w:t xml:space="preserve">, 27, 2039 </w:t>
      </w:r>
      <w:r>
        <w:rPr>
          <w:rFonts w:eastAsia="Calibri"/>
          <w:color w:val="000000"/>
          <w:sz w:val="20"/>
          <w:szCs w:val="20"/>
        </w:rPr>
        <w:t>- 2048.</w:t>
      </w:r>
    </w:p>
    <w:p w:rsidR="005B3ABD" w:rsidRDefault="003F2B6A" w:rsidP="005A57CC">
      <w:pPr>
        <w:tabs>
          <w:tab w:val="left" w:pos="567"/>
        </w:tabs>
        <w:autoSpaceDE w:val="0"/>
        <w:autoSpaceDN w:val="0"/>
        <w:adjustRightInd w:val="0"/>
        <w:snapToGrid w:val="0"/>
        <w:ind w:left="567" w:hanging="567"/>
        <w:jc w:val="both"/>
        <w:rPr>
          <w:rFonts w:eastAsia="TimesNewRomanPSMT"/>
          <w:sz w:val="20"/>
          <w:szCs w:val="20"/>
        </w:rPr>
      </w:pPr>
      <w:r>
        <w:rPr>
          <w:sz w:val="20"/>
          <w:szCs w:val="20"/>
        </w:rPr>
        <w:t xml:space="preserve">[22] </w:t>
      </w:r>
      <w:r>
        <w:rPr>
          <w:sz w:val="20"/>
          <w:szCs w:val="20"/>
        </w:rPr>
        <w:tab/>
        <w:t xml:space="preserve">Chen, X.H., Xia, L.X., Zhou, H.B. &amp; </w:t>
      </w:r>
      <w:proofErr w:type="spellStart"/>
      <w:r>
        <w:rPr>
          <w:sz w:val="20"/>
          <w:szCs w:val="20"/>
        </w:rPr>
        <w:t>Qiu</w:t>
      </w:r>
      <w:proofErr w:type="spellEnd"/>
      <w:r>
        <w:rPr>
          <w:sz w:val="20"/>
          <w:szCs w:val="20"/>
        </w:rPr>
        <w:t xml:space="preserve">, G.Z. (2010). Chemical composition and antioxidant activities of </w:t>
      </w:r>
      <w:proofErr w:type="spellStart"/>
      <w:r>
        <w:rPr>
          <w:i/>
          <w:iCs/>
          <w:sz w:val="20"/>
          <w:szCs w:val="20"/>
        </w:rPr>
        <w:t>Russula</w:t>
      </w:r>
      <w:proofErr w:type="spellEnd"/>
      <w:r>
        <w:rPr>
          <w:i/>
          <w:iCs/>
          <w:sz w:val="20"/>
          <w:szCs w:val="20"/>
        </w:rPr>
        <w:t xml:space="preserve"> </w:t>
      </w:r>
      <w:proofErr w:type="spellStart"/>
      <w:r>
        <w:rPr>
          <w:i/>
          <w:iCs/>
          <w:sz w:val="20"/>
          <w:szCs w:val="20"/>
        </w:rPr>
        <w:t>griseocarnos</w:t>
      </w:r>
      <w:r>
        <w:rPr>
          <w:i/>
          <w:iCs/>
          <w:sz w:val="20"/>
          <w:szCs w:val="20"/>
        </w:rPr>
        <w:t>a</w:t>
      </w:r>
      <w:proofErr w:type="spellEnd"/>
      <w:r>
        <w:rPr>
          <w:i/>
          <w:iCs/>
          <w:sz w:val="20"/>
          <w:szCs w:val="20"/>
        </w:rPr>
        <w:t xml:space="preserve"> </w:t>
      </w:r>
      <w:r>
        <w:rPr>
          <w:sz w:val="20"/>
          <w:szCs w:val="20"/>
        </w:rPr>
        <w:t xml:space="preserve">sp. </w:t>
      </w:r>
      <w:proofErr w:type="spellStart"/>
      <w:r>
        <w:rPr>
          <w:sz w:val="20"/>
          <w:szCs w:val="20"/>
        </w:rPr>
        <w:t>nov.</w:t>
      </w:r>
      <w:proofErr w:type="spellEnd"/>
      <w:r>
        <w:rPr>
          <w:sz w:val="20"/>
          <w:szCs w:val="20"/>
        </w:rPr>
        <w:t xml:space="preserve"> </w:t>
      </w:r>
      <w:r>
        <w:rPr>
          <w:i/>
          <w:sz w:val="20"/>
          <w:szCs w:val="20"/>
        </w:rPr>
        <w:t>Journal of Agricultural and Food Chemistry</w:t>
      </w:r>
      <w:r>
        <w:rPr>
          <w:sz w:val="20"/>
          <w:szCs w:val="20"/>
        </w:rPr>
        <w:t>, 58, 6966-6971.</w:t>
      </w:r>
    </w:p>
    <w:p w:rsidR="005B3ABD" w:rsidRDefault="003F2B6A" w:rsidP="005A57CC">
      <w:pPr>
        <w:tabs>
          <w:tab w:val="left" w:pos="567"/>
        </w:tabs>
        <w:autoSpaceDE w:val="0"/>
        <w:autoSpaceDN w:val="0"/>
        <w:adjustRightInd w:val="0"/>
        <w:snapToGrid w:val="0"/>
        <w:ind w:left="567" w:hanging="567"/>
        <w:jc w:val="both"/>
        <w:rPr>
          <w:rFonts w:eastAsia="TimesNewRomanPSMT"/>
          <w:sz w:val="20"/>
          <w:szCs w:val="20"/>
        </w:rPr>
      </w:pPr>
      <w:r>
        <w:rPr>
          <w:sz w:val="20"/>
          <w:szCs w:val="20"/>
        </w:rPr>
        <w:t xml:space="preserve">[23] </w:t>
      </w:r>
      <w:r>
        <w:rPr>
          <w:sz w:val="20"/>
          <w:szCs w:val="20"/>
        </w:rPr>
        <w:tab/>
      </w:r>
      <w:proofErr w:type="spellStart"/>
      <w:r>
        <w:rPr>
          <w:sz w:val="20"/>
          <w:szCs w:val="20"/>
        </w:rPr>
        <w:t>Bibiana</w:t>
      </w:r>
      <w:proofErr w:type="spellEnd"/>
      <w:r>
        <w:rPr>
          <w:sz w:val="20"/>
          <w:szCs w:val="20"/>
        </w:rPr>
        <w:t xml:space="preserve">, I., Grace, N. &amp; Julius, A. (2014). Quality Evaluation of composite Bread produced from wheat, maize and </w:t>
      </w:r>
      <w:r>
        <w:rPr>
          <w:sz w:val="20"/>
          <w:szCs w:val="20"/>
        </w:rPr>
        <w:t xml:space="preserve">orange fleshed sweet potatoes. </w:t>
      </w:r>
      <w:r>
        <w:rPr>
          <w:i/>
          <w:sz w:val="20"/>
          <w:szCs w:val="20"/>
        </w:rPr>
        <w:t>American Journal of Food Science an</w:t>
      </w:r>
      <w:r>
        <w:rPr>
          <w:i/>
          <w:sz w:val="20"/>
          <w:szCs w:val="20"/>
        </w:rPr>
        <w:t xml:space="preserve">d Technology, </w:t>
      </w:r>
      <w:r>
        <w:rPr>
          <w:sz w:val="20"/>
          <w:szCs w:val="20"/>
        </w:rPr>
        <w:t>2, 109-115.</w:t>
      </w:r>
    </w:p>
    <w:p w:rsidR="005B3ABD" w:rsidRDefault="003F2B6A" w:rsidP="005A57CC">
      <w:pPr>
        <w:tabs>
          <w:tab w:val="left" w:pos="567"/>
        </w:tabs>
        <w:autoSpaceDE w:val="0"/>
        <w:autoSpaceDN w:val="0"/>
        <w:adjustRightInd w:val="0"/>
        <w:snapToGrid w:val="0"/>
        <w:ind w:left="567" w:hanging="567"/>
        <w:jc w:val="both"/>
        <w:rPr>
          <w:rFonts w:eastAsia="TimesNewRomanPSMT"/>
          <w:sz w:val="20"/>
          <w:szCs w:val="20"/>
        </w:rPr>
      </w:pPr>
      <w:r>
        <w:rPr>
          <w:sz w:val="20"/>
          <w:szCs w:val="20"/>
        </w:rPr>
        <w:t xml:space="preserve">[24] </w:t>
      </w:r>
      <w:r>
        <w:rPr>
          <w:sz w:val="20"/>
          <w:szCs w:val="20"/>
        </w:rPr>
        <w:tab/>
      </w:r>
      <w:proofErr w:type="spellStart"/>
      <w:r>
        <w:rPr>
          <w:sz w:val="20"/>
          <w:szCs w:val="20"/>
        </w:rPr>
        <w:t>Elemo</w:t>
      </w:r>
      <w:proofErr w:type="spellEnd"/>
      <w:r>
        <w:rPr>
          <w:sz w:val="20"/>
          <w:szCs w:val="20"/>
        </w:rPr>
        <w:t xml:space="preserve">, G.N., </w:t>
      </w:r>
      <w:proofErr w:type="spellStart"/>
      <w:r>
        <w:rPr>
          <w:sz w:val="20"/>
          <w:szCs w:val="20"/>
        </w:rPr>
        <w:t>Elemo</w:t>
      </w:r>
      <w:proofErr w:type="spellEnd"/>
      <w:r>
        <w:rPr>
          <w:sz w:val="20"/>
          <w:szCs w:val="20"/>
        </w:rPr>
        <w:t xml:space="preserve">, B.O. &amp; Okafor, J.N.C. (2011) Preparation and nutritional composition of a complementary </w:t>
      </w:r>
      <w:r>
        <w:rPr>
          <w:sz w:val="20"/>
          <w:szCs w:val="20"/>
        </w:rPr>
        <w:t>food formulated from germinated sorghum (</w:t>
      </w:r>
      <w:r>
        <w:rPr>
          <w:i/>
          <w:iCs/>
          <w:sz w:val="20"/>
          <w:szCs w:val="20"/>
        </w:rPr>
        <w:t>Sorghum bicolor</w:t>
      </w:r>
      <w:r>
        <w:rPr>
          <w:sz w:val="20"/>
          <w:szCs w:val="20"/>
        </w:rPr>
        <w:t>) and steam cooked cowpea (</w:t>
      </w:r>
      <w:proofErr w:type="spellStart"/>
      <w:r>
        <w:rPr>
          <w:i/>
          <w:iCs/>
          <w:sz w:val="20"/>
          <w:szCs w:val="20"/>
        </w:rPr>
        <w:t>Vigna</w:t>
      </w:r>
      <w:proofErr w:type="spellEnd"/>
      <w:r>
        <w:rPr>
          <w:i/>
          <w:iCs/>
          <w:sz w:val="20"/>
          <w:szCs w:val="20"/>
        </w:rPr>
        <w:t xml:space="preserve"> </w:t>
      </w:r>
      <w:proofErr w:type="spellStart"/>
      <w:r>
        <w:rPr>
          <w:i/>
          <w:iCs/>
          <w:sz w:val="20"/>
          <w:szCs w:val="20"/>
        </w:rPr>
        <w:t>unguiculata</w:t>
      </w:r>
      <w:proofErr w:type="spellEnd"/>
      <w:r>
        <w:rPr>
          <w:i/>
          <w:iCs/>
          <w:sz w:val="20"/>
          <w:szCs w:val="20"/>
        </w:rPr>
        <w:t xml:space="preserve"> </w:t>
      </w:r>
      <w:proofErr w:type="spellStart"/>
      <w:r>
        <w:rPr>
          <w:sz w:val="20"/>
          <w:szCs w:val="20"/>
        </w:rPr>
        <w:t>Walp</w:t>
      </w:r>
      <w:proofErr w:type="spellEnd"/>
      <w:r>
        <w:rPr>
          <w:sz w:val="20"/>
          <w:szCs w:val="20"/>
        </w:rPr>
        <w:t xml:space="preserve">). </w:t>
      </w:r>
      <w:r>
        <w:rPr>
          <w:i/>
          <w:sz w:val="20"/>
          <w:szCs w:val="20"/>
        </w:rPr>
        <w:t>Americ</w:t>
      </w:r>
      <w:r>
        <w:rPr>
          <w:i/>
          <w:sz w:val="20"/>
          <w:szCs w:val="20"/>
        </w:rPr>
        <w:t>an Journal of Food Technology</w:t>
      </w:r>
      <w:r>
        <w:rPr>
          <w:sz w:val="20"/>
          <w:szCs w:val="20"/>
        </w:rPr>
        <w:t xml:space="preserve">, </w:t>
      </w:r>
      <w:r>
        <w:rPr>
          <w:iCs/>
          <w:sz w:val="20"/>
          <w:szCs w:val="20"/>
        </w:rPr>
        <w:t xml:space="preserve">6, </w:t>
      </w:r>
      <w:r>
        <w:rPr>
          <w:sz w:val="20"/>
          <w:szCs w:val="20"/>
        </w:rPr>
        <w:t>413-421.</w:t>
      </w:r>
    </w:p>
    <w:p w:rsidR="005B3ABD" w:rsidRDefault="003F2B6A" w:rsidP="005A57CC">
      <w:pPr>
        <w:tabs>
          <w:tab w:val="left" w:pos="567"/>
        </w:tabs>
        <w:autoSpaceDE w:val="0"/>
        <w:autoSpaceDN w:val="0"/>
        <w:adjustRightInd w:val="0"/>
        <w:snapToGrid w:val="0"/>
        <w:ind w:left="567" w:hanging="567"/>
        <w:jc w:val="both"/>
        <w:rPr>
          <w:rFonts w:eastAsia="TimesNewRomanPSMT"/>
          <w:sz w:val="20"/>
          <w:szCs w:val="20"/>
        </w:rPr>
      </w:pPr>
      <w:r>
        <w:rPr>
          <w:sz w:val="20"/>
          <w:szCs w:val="20"/>
        </w:rPr>
        <w:t xml:space="preserve">[25] </w:t>
      </w:r>
      <w:r>
        <w:rPr>
          <w:sz w:val="20"/>
          <w:szCs w:val="20"/>
        </w:rPr>
        <w:tab/>
      </w:r>
      <w:proofErr w:type="spellStart"/>
      <w:r>
        <w:rPr>
          <w:sz w:val="20"/>
          <w:szCs w:val="20"/>
        </w:rPr>
        <w:t>Ajanaku</w:t>
      </w:r>
      <w:proofErr w:type="spellEnd"/>
      <w:r>
        <w:rPr>
          <w:sz w:val="20"/>
          <w:szCs w:val="20"/>
        </w:rPr>
        <w:t xml:space="preserve">, K.O., Ajani, O., </w:t>
      </w:r>
      <w:proofErr w:type="spellStart"/>
      <w:r>
        <w:rPr>
          <w:sz w:val="20"/>
          <w:szCs w:val="20"/>
        </w:rPr>
        <w:t>Siyanbola</w:t>
      </w:r>
      <w:proofErr w:type="spellEnd"/>
      <w:r>
        <w:rPr>
          <w:sz w:val="20"/>
          <w:szCs w:val="20"/>
        </w:rPr>
        <w:t xml:space="preserve">, T.O., </w:t>
      </w:r>
      <w:proofErr w:type="spellStart"/>
      <w:r>
        <w:rPr>
          <w:sz w:val="20"/>
          <w:szCs w:val="20"/>
        </w:rPr>
        <w:t>Akinsiku</w:t>
      </w:r>
      <w:proofErr w:type="spellEnd"/>
      <w:r>
        <w:rPr>
          <w:sz w:val="20"/>
          <w:szCs w:val="20"/>
        </w:rPr>
        <w:t xml:space="preserve">, A.A., </w:t>
      </w:r>
      <w:proofErr w:type="spellStart"/>
      <w:r>
        <w:rPr>
          <w:sz w:val="20"/>
          <w:szCs w:val="20"/>
        </w:rPr>
        <w:t>Ajanaku</w:t>
      </w:r>
      <w:proofErr w:type="spellEnd"/>
      <w:r>
        <w:rPr>
          <w:sz w:val="20"/>
          <w:szCs w:val="20"/>
        </w:rPr>
        <w:t xml:space="preserve">, C.O. &amp; </w:t>
      </w:r>
      <w:proofErr w:type="spellStart"/>
      <w:r>
        <w:rPr>
          <w:sz w:val="20"/>
          <w:szCs w:val="20"/>
        </w:rPr>
        <w:t>Oluwole</w:t>
      </w:r>
      <w:proofErr w:type="spellEnd"/>
      <w:r>
        <w:rPr>
          <w:sz w:val="20"/>
          <w:szCs w:val="20"/>
        </w:rPr>
        <w:t xml:space="preserve">, O. (2013). Dietary </w:t>
      </w:r>
      <w:r>
        <w:rPr>
          <w:sz w:val="20"/>
          <w:szCs w:val="20"/>
        </w:rPr>
        <w:t>Fortification of Sorghum-</w:t>
      </w:r>
      <w:proofErr w:type="spellStart"/>
      <w:r>
        <w:rPr>
          <w:sz w:val="20"/>
          <w:szCs w:val="20"/>
        </w:rPr>
        <w:t>Ogi</w:t>
      </w:r>
      <w:proofErr w:type="spellEnd"/>
      <w:r>
        <w:rPr>
          <w:sz w:val="20"/>
          <w:szCs w:val="20"/>
        </w:rPr>
        <w:t xml:space="preserve"> using Crayfish (</w:t>
      </w:r>
      <w:proofErr w:type="spellStart"/>
      <w:r>
        <w:rPr>
          <w:i/>
          <w:iCs/>
          <w:sz w:val="20"/>
          <w:szCs w:val="20"/>
        </w:rPr>
        <w:t>Paranephrops</w:t>
      </w:r>
      <w:proofErr w:type="spellEnd"/>
      <w:r>
        <w:rPr>
          <w:i/>
          <w:iCs/>
          <w:sz w:val="20"/>
          <w:szCs w:val="20"/>
        </w:rPr>
        <w:t xml:space="preserve"> </w:t>
      </w:r>
      <w:proofErr w:type="spellStart"/>
      <w:r>
        <w:rPr>
          <w:i/>
          <w:iCs/>
          <w:sz w:val="20"/>
          <w:szCs w:val="20"/>
        </w:rPr>
        <w:t>planifrons</w:t>
      </w:r>
      <w:proofErr w:type="spellEnd"/>
      <w:r>
        <w:rPr>
          <w:i/>
          <w:iCs/>
          <w:sz w:val="20"/>
          <w:szCs w:val="20"/>
        </w:rPr>
        <w:t xml:space="preserve">) </w:t>
      </w:r>
      <w:r>
        <w:rPr>
          <w:sz w:val="20"/>
          <w:szCs w:val="20"/>
        </w:rPr>
        <w:t xml:space="preserve">as Supplements in Infancy. </w:t>
      </w:r>
      <w:r>
        <w:rPr>
          <w:i/>
          <w:sz w:val="20"/>
          <w:szCs w:val="20"/>
        </w:rPr>
        <w:t xml:space="preserve">Food Science </w:t>
      </w:r>
      <w:r>
        <w:rPr>
          <w:i/>
          <w:sz w:val="20"/>
          <w:szCs w:val="20"/>
        </w:rPr>
        <w:t>and Quality Management</w:t>
      </w:r>
      <w:r>
        <w:rPr>
          <w:sz w:val="20"/>
          <w:szCs w:val="20"/>
        </w:rPr>
        <w:t xml:space="preserve">, </w:t>
      </w:r>
      <w:r>
        <w:rPr>
          <w:sz w:val="20"/>
          <w:szCs w:val="20"/>
        </w:rPr>
        <w:t>15, 1-9.</w:t>
      </w:r>
    </w:p>
    <w:p w:rsidR="005B3ABD" w:rsidRDefault="003F2B6A" w:rsidP="005A57CC">
      <w:pPr>
        <w:tabs>
          <w:tab w:val="left" w:pos="567"/>
        </w:tabs>
        <w:autoSpaceDE w:val="0"/>
        <w:autoSpaceDN w:val="0"/>
        <w:adjustRightInd w:val="0"/>
        <w:snapToGrid w:val="0"/>
        <w:ind w:left="567" w:hanging="567"/>
        <w:jc w:val="both"/>
        <w:rPr>
          <w:rFonts w:eastAsia="TimesNewRomanPSMT"/>
          <w:sz w:val="20"/>
          <w:szCs w:val="20"/>
        </w:rPr>
      </w:pPr>
      <w:r>
        <w:rPr>
          <w:sz w:val="20"/>
          <w:szCs w:val="20"/>
        </w:rPr>
        <w:t xml:space="preserve">[26] </w:t>
      </w:r>
      <w:r>
        <w:rPr>
          <w:sz w:val="20"/>
          <w:szCs w:val="20"/>
        </w:rPr>
        <w:tab/>
      </w:r>
      <w:proofErr w:type="spellStart"/>
      <w:r>
        <w:rPr>
          <w:sz w:val="20"/>
          <w:szCs w:val="20"/>
        </w:rPr>
        <w:t>Idowu</w:t>
      </w:r>
      <w:proofErr w:type="spellEnd"/>
      <w:r>
        <w:rPr>
          <w:sz w:val="20"/>
          <w:szCs w:val="20"/>
        </w:rPr>
        <w:t xml:space="preserve">, O.A., </w:t>
      </w:r>
      <w:proofErr w:type="spellStart"/>
      <w:r>
        <w:rPr>
          <w:sz w:val="20"/>
          <w:szCs w:val="20"/>
        </w:rPr>
        <w:t>Akinsola</w:t>
      </w:r>
      <w:proofErr w:type="spellEnd"/>
      <w:r>
        <w:rPr>
          <w:sz w:val="20"/>
          <w:szCs w:val="20"/>
        </w:rPr>
        <w:t xml:space="preserve">, A.O., </w:t>
      </w:r>
      <w:proofErr w:type="spellStart"/>
      <w:r>
        <w:rPr>
          <w:sz w:val="20"/>
          <w:szCs w:val="20"/>
        </w:rPr>
        <w:t>Akinyemi</w:t>
      </w:r>
      <w:proofErr w:type="spellEnd"/>
      <w:r>
        <w:rPr>
          <w:sz w:val="20"/>
          <w:szCs w:val="20"/>
        </w:rPr>
        <w:t xml:space="preserve">, T.A. &amp; </w:t>
      </w:r>
      <w:proofErr w:type="spellStart"/>
      <w:r>
        <w:rPr>
          <w:sz w:val="20"/>
          <w:szCs w:val="20"/>
        </w:rPr>
        <w:t>Obisesan</w:t>
      </w:r>
      <w:proofErr w:type="spellEnd"/>
      <w:r>
        <w:rPr>
          <w:sz w:val="20"/>
          <w:szCs w:val="20"/>
        </w:rPr>
        <w:t>, D.O.</w:t>
      </w:r>
      <w:r>
        <w:rPr>
          <w:bCs/>
          <w:sz w:val="20"/>
          <w:szCs w:val="20"/>
          <w:lang w:bidi="fa-IR"/>
        </w:rPr>
        <w:t xml:space="preserve"> (2019). </w:t>
      </w:r>
      <w:r>
        <w:rPr>
          <w:sz w:val="20"/>
          <w:szCs w:val="20"/>
          <w:lang w:val="en-GB"/>
        </w:rPr>
        <w:t xml:space="preserve">Production and characterization of </w:t>
      </w:r>
      <w:r>
        <w:rPr>
          <w:sz w:val="20"/>
          <w:szCs w:val="20"/>
          <w:lang w:val="en-GB"/>
        </w:rPr>
        <w:tab/>
        <w:t>complementary food produced from orange fleshed sweet potato, soybean and sorghum flour</w:t>
      </w:r>
      <w:r>
        <w:rPr>
          <w:bCs/>
          <w:sz w:val="20"/>
          <w:szCs w:val="20"/>
          <w:lang w:bidi="fa-IR"/>
        </w:rPr>
        <w:t>.</w:t>
      </w:r>
      <w:r>
        <w:rPr>
          <w:bCs/>
          <w:i/>
          <w:sz w:val="20"/>
          <w:szCs w:val="20"/>
        </w:rPr>
        <w:t xml:space="preserve"> Research</w:t>
      </w:r>
      <w:r>
        <w:rPr>
          <w:bCs/>
          <w:i/>
          <w:sz w:val="20"/>
          <w:szCs w:val="20"/>
        </w:rPr>
        <w:t>er</w:t>
      </w:r>
      <w:r>
        <w:rPr>
          <w:bCs/>
          <w:sz w:val="20"/>
          <w:szCs w:val="20"/>
        </w:rPr>
        <w:t xml:space="preserve">, </w:t>
      </w:r>
      <w:r>
        <w:rPr>
          <w:bCs/>
          <w:sz w:val="20"/>
          <w:szCs w:val="20"/>
        </w:rPr>
        <w:t>11(10),</w:t>
      </w:r>
      <w:r>
        <w:rPr>
          <w:color w:val="000000"/>
          <w:sz w:val="20"/>
          <w:szCs w:val="20"/>
        </w:rPr>
        <w:t>1</w:t>
      </w:r>
      <w:r>
        <w:rPr>
          <w:color w:val="000000"/>
          <w:sz w:val="20"/>
          <w:szCs w:val="20"/>
          <w:lang w:eastAsia="zh-CN"/>
        </w:rPr>
        <w:t>8</w:t>
      </w:r>
      <w:r>
        <w:rPr>
          <w:color w:val="000000"/>
          <w:sz w:val="20"/>
          <w:szCs w:val="20"/>
        </w:rPr>
        <w:t>-2</w:t>
      </w:r>
      <w:r>
        <w:rPr>
          <w:color w:val="000000"/>
          <w:sz w:val="20"/>
          <w:szCs w:val="20"/>
          <w:lang w:eastAsia="zh-CN"/>
        </w:rPr>
        <w:t>4</w:t>
      </w:r>
      <w:r>
        <w:rPr>
          <w:bCs/>
          <w:sz w:val="20"/>
          <w:szCs w:val="20"/>
        </w:rPr>
        <w:t xml:space="preserve">. </w:t>
      </w:r>
    </w:p>
    <w:p w:rsidR="005B3ABD" w:rsidRDefault="003F2B6A" w:rsidP="005A57CC">
      <w:pPr>
        <w:tabs>
          <w:tab w:val="left" w:pos="567"/>
        </w:tabs>
        <w:autoSpaceDE w:val="0"/>
        <w:autoSpaceDN w:val="0"/>
        <w:adjustRightInd w:val="0"/>
        <w:snapToGrid w:val="0"/>
        <w:ind w:left="567" w:hanging="567"/>
        <w:jc w:val="both"/>
        <w:rPr>
          <w:rFonts w:eastAsia="TimesNewRomanPSMT"/>
          <w:sz w:val="20"/>
          <w:szCs w:val="20"/>
        </w:rPr>
      </w:pPr>
      <w:r>
        <w:rPr>
          <w:sz w:val="20"/>
          <w:szCs w:val="20"/>
        </w:rPr>
        <w:lastRenderedPageBreak/>
        <w:t xml:space="preserve">[27] </w:t>
      </w:r>
      <w:r>
        <w:rPr>
          <w:sz w:val="20"/>
          <w:szCs w:val="20"/>
        </w:rPr>
        <w:tab/>
      </w:r>
      <w:proofErr w:type="spellStart"/>
      <w:r>
        <w:rPr>
          <w:sz w:val="20"/>
          <w:szCs w:val="20"/>
        </w:rPr>
        <w:t>Onabanjo</w:t>
      </w:r>
      <w:proofErr w:type="spellEnd"/>
      <w:r>
        <w:rPr>
          <w:sz w:val="20"/>
          <w:szCs w:val="20"/>
        </w:rPr>
        <w:t xml:space="preserve">, O.O., </w:t>
      </w:r>
      <w:proofErr w:type="spellStart"/>
      <w:r>
        <w:rPr>
          <w:sz w:val="20"/>
          <w:szCs w:val="20"/>
        </w:rPr>
        <w:t>Oguntona</w:t>
      </w:r>
      <w:proofErr w:type="spellEnd"/>
      <w:r>
        <w:rPr>
          <w:sz w:val="20"/>
          <w:szCs w:val="20"/>
        </w:rPr>
        <w:t xml:space="preserve">, C.R.B., </w:t>
      </w:r>
      <w:proofErr w:type="spellStart"/>
      <w:r>
        <w:rPr>
          <w:sz w:val="20"/>
          <w:szCs w:val="20"/>
        </w:rPr>
        <w:t>Maziya</w:t>
      </w:r>
      <w:proofErr w:type="spellEnd"/>
      <w:r>
        <w:rPr>
          <w:sz w:val="20"/>
          <w:szCs w:val="20"/>
        </w:rPr>
        <w:t xml:space="preserve">-Dixon, B., </w:t>
      </w:r>
      <w:proofErr w:type="spellStart"/>
      <w:r>
        <w:rPr>
          <w:sz w:val="20"/>
          <w:szCs w:val="20"/>
        </w:rPr>
        <w:t>Olayiwola</w:t>
      </w:r>
      <w:proofErr w:type="spellEnd"/>
      <w:r>
        <w:rPr>
          <w:sz w:val="20"/>
          <w:szCs w:val="20"/>
        </w:rPr>
        <w:t xml:space="preserve">, I.O., </w:t>
      </w:r>
      <w:proofErr w:type="spellStart"/>
      <w:r>
        <w:rPr>
          <w:sz w:val="20"/>
          <w:szCs w:val="20"/>
        </w:rPr>
        <w:t>Oguntona</w:t>
      </w:r>
      <w:proofErr w:type="spellEnd"/>
      <w:r>
        <w:rPr>
          <w:sz w:val="20"/>
          <w:szCs w:val="20"/>
        </w:rPr>
        <w:t xml:space="preserve">, E.B., </w:t>
      </w:r>
      <w:proofErr w:type="gramStart"/>
      <w:r>
        <w:rPr>
          <w:sz w:val="20"/>
          <w:szCs w:val="20"/>
        </w:rPr>
        <w:t>Dixon,  A.G.O.</w:t>
      </w:r>
      <w:proofErr w:type="gramEnd"/>
      <w:r>
        <w:rPr>
          <w:sz w:val="20"/>
          <w:szCs w:val="20"/>
        </w:rPr>
        <w:t xml:space="preserve"> (2008). </w:t>
      </w:r>
      <w:r>
        <w:rPr>
          <w:sz w:val="20"/>
          <w:szCs w:val="20"/>
        </w:rPr>
        <w:t xml:space="preserve">Nutritional Evaluation of four Optimized Cassava-Based Complementary </w:t>
      </w:r>
      <w:r>
        <w:rPr>
          <w:sz w:val="20"/>
          <w:szCs w:val="20"/>
        </w:rPr>
        <w:t xml:space="preserve">Foods. </w:t>
      </w:r>
      <w:proofErr w:type="spellStart"/>
      <w:r>
        <w:rPr>
          <w:i/>
          <w:sz w:val="20"/>
          <w:szCs w:val="20"/>
        </w:rPr>
        <w:t>Afr</w:t>
      </w:r>
      <w:proofErr w:type="spellEnd"/>
      <w:r>
        <w:rPr>
          <w:i/>
          <w:sz w:val="20"/>
          <w:szCs w:val="20"/>
        </w:rPr>
        <w:t xml:space="preserve"> J. </w:t>
      </w:r>
      <w:proofErr w:type="spellStart"/>
      <w:r>
        <w:rPr>
          <w:i/>
          <w:sz w:val="20"/>
          <w:szCs w:val="20"/>
        </w:rPr>
        <w:t>Fd</w:t>
      </w:r>
      <w:proofErr w:type="spellEnd"/>
      <w:r>
        <w:rPr>
          <w:i/>
          <w:sz w:val="20"/>
          <w:szCs w:val="20"/>
        </w:rPr>
        <w:t xml:space="preserve"> </w:t>
      </w:r>
      <w:proofErr w:type="spellStart"/>
      <w:r>
        <w:rPr>
          <w:i/>
          <w:sz w:val="20"/>
          <w:szCs w:val="20"/>
        </w:rPr>
        <w:t>Sci</w:t>
      </w:r>
      <w:proofErr w:type="spellEnd"/>
      <w:r>
        <w:rPr>
          <w:i/>
          <w:sz w:val="20"/>
          <w:szCs w:val="20"/>
        </w:rPr>
        <w:t>,</w:t>
      </w:r>
      <w:r>
        <w:rPr>
          <w:sz w:val="20"/>
          <w:szCs w:val="20"/>
        </w:rPr>
        <w:t xml:space="preserve"> 2,136–142.</w:t>
      </w:r>
    </w:p>
    <w:p w:rsidR="005B3ABD" w:rsidRDefault="003F2B6A" w:rsidP="005A57CC">
      <w:pPr>
        <w:tabs>
          <w:tab w:val="left" w:pos="567"/>
        </w:tabs>
        <w:autoSpaceDE w:val="0"/>
        <w:autoSpaceDN w:val="0"/>
        <w:adjustRightInd w:val="0"/>
        <w:snapToGrid w:val="0"/>
        <w:ind w:left="567" w:hanging="567"/>
        <w:jc w:val="both"/>
        <w:rPr>
          <w:rFonts w:eastAsia="TimesNewRomanPSMT"/>
          <w:sz w:val="20"/>
          <w:szCs w:val="20"/>
        </w:rPr>
      </w:pPr>
      <w:r>
        <w:rPr>
          <w:sz w:val="20"/>
          <w:szCs w:val="20"/>
        </w:rPr>
        <w:t xml:space="preserve">[28] </w:t>
      </w:r>
      <w:r>
        <w:rPr>
          <w:sz w:val="20"/>
          <w:szCs w:val="20"/>
        </w:rPr>
        <w:tab/>
      </w:r>
      <w:proofErr w:type="spellStart"/>
      <w:r>
        <w:rPr>
          <w:rFonts w:eastAsia="Calibri"/>
          <w:bCs/>
          <w:sz w:val="20"/>
          <w:szCs w:val="20"/>
        </w:rPr>
        <w:t>Cuong</w:t>
      </w:r>
      <w:proofErr w:type="spellEnd"/>
      <w:r>
        <w:rPr>
          <w:rFonts w:eastAsia="Calibri"/>
          <w:bCs/>
          <w:sz w:val="20"/>
          <w:szCs w:val="20"/>
        </w:rPr>
        <w:t>, D.H.,</w:t>
      </w:r>
      <w:r>
        <w:rPr>
          <w:rFonts w:eastAsia="Calibri"/>
          <w:bCs/>
          <w:sz w:val="20"/>
          <w:szCs w:val="20"/>
        </w:rPr>
        <w:t xml:space="preserve"> Tam, V., </w:t>
      </w:r>
      <w:proofErr w:type="spellStart"/>
      <w:r>
        <w:rPr>
          <w:rFonts w:eastAsia="Calibri"/>
          <w:bCs/>
          <w:sz w:val="20"/>
          <w:szCs w:val="20"/>
        </w:rPr>
        <w:t>Tinh</w:t>
      </w:r>
      <w:proofErr w:type="spellEnd"/>
      <w:r>
        <w:rPr>
          <w:rFonts w:eastAsia="Calibri"/>
          <w:bCs/>
          <w:sz w:val="20"/>
          <w:szCs w:val="20"/>
        </w:rPr>
        <w:t xml:space="preserve">, H.Q., Do, L.T., </w:t>
      </w:r>
      <w:proofErr w:type="spellStart"/>
      <w:r>
        <w:rPr>
          <w:rFonts w:eastAsia="Calibri"/>
          <w:bCs/>
          <w:sz w:val="20"/>
          <w:szCs w:val="20"/>
        </w:rPr>
        <w:t>Nghia</w:t>
      </w:r>
      <w:proofErr w:type="spellEnd"/>
      <w:r>
        <w:rPr>
          <w:rFonts w:eastAsia="Calibri"/>
          <w:bCs/>
          <w:sz w:val="20"/>
          <w:szCs w:val="20"/>
        </w:rPr>
        <w:t xml:space="preserve">, N.T., &amp; </w:t>
      </w:r>
      <w:proofErr w:type="spellStart"/>
      <w:r>
        <w:rPr>
          <w:rFonts w:eastAsia="Calibri"/>
          <w:bCs/>
          <w:sz w:val="20"/>
          <w:szCs w:val="20"/>
        </w:rPr>
        <w:t>Anh</w:t>
      </w:r>
      <w:proofErr w:type="spellEnd"/>
      <w:r>
        <w:rPr>
          <w:rFonts w:eastAsia="Calibri"/>
          <w:bCs/>
          <w:sz w:val="20"/>
          <w:szCs w:val="20"/>
        </w:rPr>
        <w:t xml:space="preserve">, H.C. (2022). Research on </w:t>
      </w:r>
      <w:r>
        <w:rPr>
          <w:rFonts w:eastAsia="Calibri"/>
          <w:bCs/>
          <w:sz w:val="20"/>
          <w:szCs w:val="20"/>
        </w:rPr>
        <w:t xml:space="preserve">Nutrition, Dental </w:t>
      </w:r>
      <w:r>
        <w:rPr>
          <w:rFonts w:eastAsia="Calibri"/>
          <w:bCs/>
          <w:sz w:val="20"/>
          <w:szCs w:val="20"/>
        </w:rPr>
        <w:tab/>
        <w:t xml:space="preserve">Caries Status Using Novel Methods, and Related Factors to Preschool Children in Rural Areas of Vietnam. </w:t>
      </w:r>
      <w:proofErr w:type="spellStart"/>
      <w:r>
        <w:rPr>
          <w:rFonts w:eastAsia="Calibri"/>
          <w:i/>
          <w:sz w:val="20"/>
          <w:szCs w:val="20"/>
        </w:rPr>
        <w:t>Hindawi</w:t>
      </w:r>
      <w:proofErr w:type="spellEnd"/>
      <w:r>
        <w:rPr>
          <w:rFonts w:eastAsia="Calibri"/>
          <w:i/>
          <w:sz w:val="20"/>
          <w:szCs w:val="20"/>
        </w:rPr>
        <w:t xml:space="preserve"> Journal of Analytical Methods in Chemistry</w:t>
      </w:r>
      <w:r>
        <w:rPr>
          <w:rFonts w:eastAsia="Calibri"/>
          <w:sz w:val="20"/>
          <w:szCs w:val="20"/>
        </w:rPr>
        <w:t xml:space="preserve">, 1-6. </w:t>
      </w:r>
      <w:hyperlink r:id="rId20" w:history="1">
        <w:r>
          <w:rPr>
            <w:rStyle w:val="Hyperlink"/>
            <w:rFonts w:eastAsia="Calibri"/>
            <w:sz w:val="20"/>
            <w:szCs w:val="20"/>
          </w:rPr>
          <w:t>https://doi.org/10.1155/2022/7363163</w:t>
        </w:r>
      </w:hyperlink>
    </w:p>
    <w:p w:rsidR="005B3ABD" w:rsidRDefault="003F2B6A" w:rsidP="005A57CC">
      <w:pPr>
        <w:tabs>
          <w:tab w:val="left" w:pos="567"/>
        </w:tabs>
        <w:autoSpaceDE w:val="0"/>
        <w:autoSpaceDN w:val="0"/>
        <w:adjustRightInd w:val="0"/>
        <w:snapToGrid w:val="0"/>
        <w:ind w:left="567" w:hanging="567"/>
        <w:jc w:val="both"/>
        <w:rPr>
          <w:rFonts w:eastAsia="TimesNewRomanPSMT"/>
          <w:sz w:val="20"/>
          <w:szCs w:val="20"/>
        </w:rPr>
      </w:pPr>
      <w:r>
        <w:rPr>
          <w:sz w:val="20"/>
          <w:szCs w:val="20"/>
        </w:rPr>
        <w:t xml:space="preserve">[29] </w:t>
      </w:r>
      <w:r>
        <w:rPr>
          <w:sz w:val="20"/>
          <w:szCs w:val="20"/>
        </w:rPr>
        <w:tab/>
      </w:r>
      <w:proofErr w:type="spellStart"/>
      <w:r>
        <w:rPr>
          <w:bCs/>
          <w:sz w:val="20"/>
          <w:szCs w:val="20"/>
        </w:rPr>
        <w:t>Panova</w:t>
      </w:r>
      <w:proofErr w:type="spellEnd"/>
      <w:r>
        <w:rPr>
          <w:bCs/>
          <w:sz w:val="20"/>
          <w:szCs w:val="20"/>
        </w:rPr>
        <w:t xml:space="preserve">, G., </w:t>
      </w:r>
      <w:proofErr w:type="spellStart"/>
      <w:r>
        <w:rPr>
          <w:bCs/>
          <w:sz w:val="20"/>
          <w:szCs w:val="20"/>
        </w:rPr>
        <w:t>Dzidrova</w:t>
      </w:r>
      <w:proofErr w:type="spellEnd"/>
      <w:r>
        <w:rPr>
          <w:bCs/>
          <w:sz w:val="20"/>
          <w:szCs w:val="20"/>
        </w:rPr>
        <w:t xml:space="preserve">, V., </w:t>
      </w:r>
      <w:proofErr w:type="spellStart"/>
      <w:r>
        <w:rPr>
          <w:bCs/>
          <w:sz w:val="20"/>
          <w:szCs w:val="20"/>
        </w:rPr>
        <w:t>Nikolovska</w:t>
      </w:r>
      <w:proofErr w:type="spellEnd"/>
      <w:r>
        <w:rPr>
          <w:bCs/>
          <w:sz w:val="20"/>
          <w:szCs w:val="20"/>
        </w:rPr>
        <w:t xml:space="preserve">, L., </w:t>
      </w:r>
      <w:proofErr w:type="spellStart"/>
      <w:r>
        <w:rPr>
          <w:bCs/>
          <w:sz w:val="20"/>
          <w:szCs w:val="20"/>
        </w:rPr>
        <w:t>Gjorgji</w:t>
      </w:r>
      <w:proofErr w:type="spellEnd"/>
      <w:r>
        <w:rPr>
          <w:bCs/>
          <w:sz w:val="20"/>
          <w:szCs w:val="20"/>
        </w:rPr>
        <w:t xml:space="preserve"> </w:t>
      </w:r>
      <w:proofErr w:type="spellStart"/>
      <w:r>
        <w:rPr>
          <w:bCs/>
          <w:sz w:val="20"/>
          <w:szCs w:val="20"/>
        </w:rPr>
        <w:t>Shumanov</w:t>
      </w:r>
      <w:proofErr w:type="spellEnd"/>
      <w:r>
        <w:rPr>
          <w:bCs/>
          <w:sz w:val="20"/>
          <w:szCs w:val="20"/>
        </w:rPr>
        <w:t xml:space="preserve">, G., Svetlana </w:t>
      </w:r>
      <w:proofErr w:type="spellStart"/>
      <w:r>
        <w:rPr>
          <w:bCs/>
          <w:sz w:val="20"/>
          <w:szCs w:val="20"/>
        </w:rPr>
        <w:t>Jovevska</w:t>
      </w:r>
      <w:proofErr w:type="spellEnd"/>
      <w:r>
        <w:rPr>
          <w:bCs/>
          <w:sz w:val="20"/>
          <w:szCs w:val="20"/>
        </w:rPr>
        <w:t xml:space="preserve">, S., </w:t>
      </w:r>
      <w:proofErr w:type="spellStart"/>
      <w:r>
        <w:rPr>
          <w:bCs/>
          <w:sz w:val="20"/>
          <w:szCs w:val="20"/>
        </w:rPr>
        <w:t>Panova</w:t>
      </w:r>
      <w:proofErr w:type="spellEnd"/>
      <w:r>
        <w:rPr>
          <w:bCs/>
          <w:sz w:val="20"/>
          <w:szCs w:val="20"/>
        </w:rPr>
        <w:t xml:space="preserve">, B. </w:t>
      </w:r>
      <w:r>
        <w:rPr>
          <w:bCs/>
          <w:sz w:val="20"/>
          <w:szCs w:val="20"/>
        </w:rPr>
        <w:t xml:space="preserve">&amp; </w:t>
      </w:r>
      <w:proofErr w:type="spellStart"/>
      <w:r>
        <w:rPr>
          <w:bCs/>
          <w:sz w:val="20"/>
          <w:szCs w:val="20"/>
        </w:rPr>
        <w:t>Panov</w:t>
      </w:r>
      <w:proofErr w:type="spellEnd"/>
      <w:r>
        <w:rPr>
          <w:bCs/>
          <w:sz w:val="20"/>
          <w:szCs w:val="20"/>
        </w:rPr>
        <w:t xml:space="preserve">, N. </w:t>
      </w:r>
      <w:r>
        <w:rPr>
          <w:bCs/>
          <w:sz w:val="20"/>
          <w:szCs w:val="20"/>
        </w:rPr>
        <w:t>(2015)</w:t>
      </w:r>
      <w:r>
        <w:rPr>
          <w:sz w:val="20"/>
          <w:szCs w:val="20"/>
        </w:rPr>
        <w:t>. D</w:t>
      </w:r>
      <w:r>
        <w:rPr>
          <w:bCs/>
          <w:sz w:val="20"/>
          <w:szCs w:val="20"/>
        </w:rPr>
        <w:t>ietary habits and nutritional st</w:t>
      </w:r>
      <w:r>
        <w:rPr>
          <w:bCs/>
          <w:sz w:val="20"/>
          <w:szCs w:val="20"/>
        </w:rPr>
        <w:t xml:space="preserve">atus of children in preschool age, </w:t>
      </w:r>
      <w:r>
        <w:rPr>
          <w:i/>
          <w:sz w:val="20"/>
          <w:szCs w:val="20"/>
        </w:rPr>
        <w:t xml:space="preserve">Journal of Hygienic Engineering and </w:t>
      </w:r>
      <w:r>
        <w:rPr>
          <w:i/>
          <w:sz w:val="20"/>
          <w:szCs w:val="20"/>
        </w:rPr>
        <w:t>Design,</w:t>
      </w:r>
      <w:r>
        <w:rPr>
          <w:sz w:val="20"/>
          <w:szCs w:val="20"/>
        </w:rPr>
        <w:t xml:space="preserve"> 32 – 36.</w:t>
      </w:r>
    </w:p>
    <w:p w:rsidR="005B3ABD" w:rsidRDefault="003F2B6A" w:rsidP="005A57CC">
      <w:pPr>
        <w:tabs>
          <w:tab w:val="left" w:pos="567"/>
        </w:tabs>
        <w:autoSpaceDE w:val="0"/>
        <w:autoSpaceDN w:val="0"/>
        <w:adjustRightInd w:val="0"/>
        <w:snapToGrid w:val="0"/>
        <w:ind w:left="567" w:hanging="567"/>
        <w:jc w:val="both"/>
        <w:rPr>
          <w:rFonts w:eastAsia="TimesNewRomanPSMT"/>
          <w:sz w:val="20"/>
          <w:szCs w:val="20"/>
        </w:rPr>
      </w:pPr>
      <w:r>
        <w:rPr>
          <w:sz w:val="20"/>
          <w:szCs w:val="20"/>
        </w:rPr>
        <w:t xml:space="preserve">[30] </w:t>
      </w:r>
      <w:r>
        <w:rPr>
          <w:sz w:val="20"/>
          <w:szCs w:val="20"/>
        </w:rPr>
        <w:tab/>
      </w:r>
      <w:r>
        <w:rPr>
          <w:rFonts w:eastAsia="Calibri"/>
          <w:sz w:val="20"/>
          <w:szCs w:val="20"/>
        </w:rPr>
        <w:t xml:space="preserve">Early, D.M., Maxwell, K.L. Ponder BB et al. (2017). Improving teacher-child interactions: a randomized control </w:t>
      </w:r>
      <w:r>
        <w:rPr>
          <w:rFonts w:eastAsia="Calibri"/>
          <w:sz w:val="20"/>
          <w:szCs w:val="20"/>
        </w:rPr>
        <w:t>trial of making the most of classroom interaction</w:t>
      </w:r>
      <w:r>
        <w:rPr>
          <w:rFonts w:eastAsia="Calibri"/>
          <w:sz w:val="20"/>
          <w:szCs w:val="20"/>
        </w:rPr>
        <w:t xml:space="preserve">s and my teaching partner professional development models. </w:t>
      </w:r>
      <w:r>
        <w:rPr>
          <w:rFonts w:eastAsia="Calibri"/>
          <w:i/>
          <w:sz w:val="20"/>
          <w:szCs w:val="20"/>
        </w:rPr>
        <w:t xml:space="preserve">Early </w:t>
      </w:r>
      <w:r>
        <w:rPr>
          <w:rFonts w:eastAsia="Calibri"/>
          <w:i/>
          <w:sz w:val="20"/>
          <w:szCs w:val="20"/>
        </w:rPr>
        <w:t>Child Res Q</w:t>
      </w:r>
      <w:r>
        <w:rPr>
          <w:rFonts w:eastAsia="Calibri"/>
          <w:sz w:val="20"/>
          <w:szCs w:val="20"/>
        </w:rPr>
        <w:t>, 38, 57–70.</w:t>
      </w:r>
    </w:p>
    <w:p w:rsidR="005B3ABD" w:rsidRDefault="003F2B6A" w:rsidP="005A57CC">
      <w:pPr>
        <w:tabs>
          <w:tab w:val="left" w:pos="567"/>
        </w:tabs>
        <w:autoSpaceDE w:val="0"/>
        <w:autoSpaceDN w:val="0"/>
        <w:adjustRightInd w:val="0"/>
        <w:snapToGrid w:val="0"/>
        <w:ind w:left="567" w:hanging="567"/>
        <w:jc w:val="both"/>
        <w:rPr>
          <w:rFonts w:eastAsia="TimesNewRomanPSMT"/>
          <w:sz w:val="20"/>
          <w:szCs w:val="20"/>
        </w:rPr>
      </w:pPr>
      <w:r>
        <w:rPr>
          <w:rFonts w:eastAsia="Calibri"/>
          <w:sz w:val="20"/>
          <w:szCs w:val="20"/>
        </w:rPr>
        <w:t xml:space="preserve">[31] </w:t>
      </w:r>
      <w:r>
        <w:rPr>
          <w:rFonts w:eastAsia="Calibri"/>
          <w:sz w:val="20"/>
          <w:szCs w:val="20"/>
        </w:rPr>
        <w:tab/>
      </w:r>
      <w:r>
        <w:rPr>
          <w:rFonts w:eastAsia="Calibri"/>
          <w:bCs/>
          <w:sz w:val="20"/>
          <w:szCs w:val="20"/>
        </w:rPr>
        <w:t>Anton-</w:t>
      </w:r>
      <w:proofErr w:type="spellStart"/>
      <w:r>
        <w:rPr>
          <w:rFonts w:eastAsia="Calibri"/>
          <w:bCs/>
          <w:sz w:val="20"/>
          <w:szCs w:val="20"/>
        </w:rPr>
        <w:t>Păduraru</w:t>
      </w:r>
      <w:proofErr w:type="spellEnd"/>
      <w:r>
        <w:rPr>
          <w:rFonts w:eastAsia="Calibri"/>
          <w:bCs/>
          <w:sz w:val="20"/>
          <w:szCs w:val="20"/>
        </w:rPr>
        <w:t xml:space="preserve">, D.T., Marin, A., </w:t>
      </w:r>
      <w:proofErr w:type="spellStart"/>
      <w:r>
        <w:rPr>
          <w:rFonts w:eastAsia="Calibri"/>
          <w:bCs/>
          <w:sz w:val="20"/>
          <w:szCs w:val="20"/>
        </w:rPr>
        <w:t>Dupas</w:t>
      </w:r>
      <w:proofErr w:type="spellEnd"/>
      <w:r>
        <w:rPr>
          <w:rFonts w:eastAsia="Calibri"/>
          <w:bCs/>
          <w:sz w:val="20"/>
          <w:szCs w:val="20"/>
        </w:rPr>
        <w:t xml:space="preserve">, S. &amp; </w:t>
      </w:r>
      <w:proofErr w:type="spellStart"/>
      <w:r>
        <w:rPr>
          <w:rFonts w:eastAsia="Calibri"/>
          <w:bCs/>
          <w:sz w:val="20"/>
          <w:szCs w:val="20"/>
        </w:rPr>
        <w:t>Drochioi</w:t>
      </w:r>
      <w:proofErr w:type="spellEnd"/>
      <w:r>
        <w:rPr>
          <w:rFonts w:eastAsia="Calibri"/>
          <w:bCs/>
          <w:sz w:val="20"/>
          <w:szCs w:val="20"/>
        </w:rPr>
        <w:t>, A.S.</w:t>
      </w:r>
      <w:r>
        <w:rPr>
          <w:rFonts w:eastAsia="Calibri"/>
          <w:sz w:val="20"/>
          <w:szCs w:val="20"/>
        </w:rPr>
        <w:t xml:space="preserve"> (2018). R</w:t>
      </w:r>
      <w:r>
        <w:rPr>
          <w:rFonts w:eastAsia="Calibri"/>
          <w:bCs/>
          <w:sz w:val="20"/>
          <w:szCs w:val="20"/>
        </w:rPr>
        <w:t>ecommendations regarding the nutrition</w:t>
      </w:r>
      <w:r>
        <w:rPr>
          <w:rFonts w:eastAsia="Calibri"/>
          <w:sz w:val="20"/>
          <w:szCs w:val="20"/>
        </w:rPr>
        <w:t xml:space="preserve"> </w:t>
      </w:r>
      <w:r>
        <w:rPr>
          <w:rFonts w:eastAsia="Calibri"/>
          <w:bCs/>
          <w:sz w:val="20"/>
          <w:szCs w:val="20"/>
        </w:rPr>
        <w:t xml:space="preserve">of </w:t>
      </w:r>
      <w:r>
        <w:rPr>
          <w:rFonts w:eastAsia="Calibri"/>
          <w:bCs/>
          <w:sz w:val="20"/>
          <w:szCs w:val="20"/>
        </w:rPr>
        <w:t xml:space="preserve">preschoolers, </w:t>
      </w:r>
      <w:proofErr w:type="spellStart"/>
      <w:r>
        <w:rPr>
          <w:rFonts w:eastAsia="Calibri"/>
          <w:bCs/>
          <w:i/>
          <w:sz w:val="20"/>
          <w:szCs w:val="20"/>
        </w:rPr>
        <w:t>Jurnalul</w:t>
      </w:r>
      <w:proofErr w:type="spellEnd"/>
      <w:r>
        <w:rPr>
          <w:rFonts w:eastAsia="Calibri"/>
          <w:bCs/>
          <w:i/>
          <w:sz w:val="20"/>
          <w:szCs w:val="20"/>
        </w:rPr>
        <w:t xml:space="preserve"> </w:t>
      </w:r>
      <w:proofErr w:type="spellStart"/>
      <w:r>
        <w:rPr>
          <w:rFonts w:eastAsia="Calibri"/>
          <w:bCs/>
          <w:i/>
          <w:sz w:val="20"/>
          <w:szCs w:val="20"/>
        </w:rPr>
        <w:t>Pediatrului</w:t>
      </w:r>
      <w:proofErr w:type="spellEnd"/>
      <w:r>
        <w:rPr>
          <w:rFonts w:eastAsia="Calibri"/>
          <w:bCs/>
          <w:sz w:val="20"/>
          <w:szCs w:val="20"/>
        </w:rPr>
        <w:t>,</w:t>
      </w:r>
      <w:r>
        <w:rPr>
          <w:rFonts w:eastAsia="Calibri"/>
          <w:bCs/>
          <w:sz w:val="20"/>
          <w:szCs w:val="20"/>
        </w:rPr>
        <w:t xml:space="preserve"> 26-30.</w:t>
      </w:r>
    </w:p>
    <w:p w:rsidR="005B3ABD" w:rsidRDefault="003F2B6A" w:rsidP="005A57CC">
      <w:pPr>
        <w:tabs>
          <w:tab w:val="left" w:pos="567"/>
        </w:tabs>
        <w:autoSpaceDE w:val="0"/>
        <w:autoSpaceDN w:val="0"/>
        <w:adjustRightInd w:val="0"/>
        <w:snapToGrid w:val="0"/>
        <w:ind w:left="567" w:hanging="567"/>
        <w:jc w:val="both"/>
        <w:rPr>
          <w:rFonts w:eastAsia="TimesNewRomanPSMT"/>
          <w:sz w:val="20"/>
          <w:szCs w:val="20"/>
        </w:rPr>
      </w:pPr>
      <w:r>
        <w:rPr>
          <w:sz w:val="20"/>
          <w:szCs w:val="20"/>
        </w:rPr>
        <w:t>[32]</w:t>
      </w:r>
      <w:r>
        <w:rPr>
          <w:sz w:val="20"/>
          <w:szCs w:val="20"/>
        </w:rPr>
        <w:t xml:space="preserve"> </w:t>
      </w:r>
      <w:r>
        <w:rPr>
          <w:sz w:val="20"/>
          <w:szCs w:val="20"/>
        </w:rPr>
        <w:tab/>
      </w:r>
      <w:proofErr w:type="spellStart"/>
      <w:r>
        <w:rPr>
          <w:rFonts w:eastAsia="Calibri"/>
          <w:sz w:val="20"/>
          <w:szCs w:val="20"/>
        </w:rPr>
        <w:t>Wieczorek</w:t>
      </w:r>
      <w:proofErr w:type="spellEnd"/>
      <w:r>
        <w:rPr>
          <w:rFonts w:eastAsia="Calibri"/>
          <w:sz w:val="20"/>
          <w:szCs w:val="20"/>
        </w:rPr>
        <w:t xml:space="preserve"> MN, </w:t>
      </w:r>
      <w:proofErr w:type="spellStart"/>
      <w:r>
        <w:rPr>
          <w:rFonts w:eastAsia="Calibri"/>
          <w:sz w:val="20"/>
          <w:szCs w:val="20"/>
        </w:rPr>
        <w:t>Walczak</w:t>
      </w:r>
      <w:proofErr w:type="spellEnd"/>
      <w:r>
        <w:rPr>
          <w:rFonts w:eastAsia="Calibri"/>
          <w:sz w:val="20"/>
          <w:szCs w:val="20"/>
        </w:rPr>
        <w:t xml:space="preserve"> M, </w:t>
      </w:r>
      <w:proofErr w:type="spellStart"/>
      <w:r>
        <w:rPr>
          <w:rFonts w:eastAsia="Calibri"/>
          <w:sz w:val="20"/>
          <w:szCs w:val="20"/>
        </w:rPr>
        <w:t>Skrzypczak-Zieli</w:t>
      </w:r>
      <w:proofErr w:type="spellEnd"/>
      <w:r>
        <w:rPr>
          <w:rFonts w:eastAsia="Calibri"/>
          <w:sz w:val="20"/>
          <w:szCs w:val="20"/>
        </w:rPr>
        <w:t xml:space="preserve"> </w:t>
      </w:r>
      <w:r>
        <w:rPr>
          <w:rFonts w:eastAsia="AdvOT8608a8d1+02"/>
          <w:sz w:val="20"/>
          <w:szCs w:val="20"/>
        </w:rPr>
        <w:t>ˊ</w:t>
      </w:r>
      <w:proofErr w:type="spellStart"/>
      <w:r>
        <w:rPr>
          <w:rFonts w:eastAsia="Calibri"/>
          <w:sz w:val="20"/>
          <w:szCs w:val="20"/>
        </w:rPr>
        <w:t>nska</w:t>
      </w:r>
      <w:proofErr w:type="spellEnd"/>
      <w:r>
        <w:rPr>
          <w:rFonts w:eastAsia="Calibri"/>
          <w:sz w:val="20"/>
          <w:szCs w:val="20"/>
        </w:rPr>
        <w:t xml:space="preserve"> M et al. (2018). Bitter taste of Brassica vegetables: the role of </w:t>
      </w:r>
      <w:r>
        <w:rPr>
          <w:rFonts w:eastAsia="Calibri"/>
          <w:sz w:val="20"/>
          <w:szCs w:val="20"/>
        </w:rPr>
        <w:t xml:space="preserve">genetic factors, receptors, </w:t>
      </w:r>
      <w:proofErr w:type="spellStart"/>
      <w:r>
        <w:rPr>
          <w:rFonts w:eastAsia="Calibri"/>
          <w:sz w:val="20"/>
          <w:szCs w:val="20"/>
        </w:rPr>
        <w:t>isothiocyanates</w:t>
      </w:r>
      <w:proofErr w:type="spellEnd"/>
      <w:r>
        <w:rPr>
          <w:rFonts w:eastAsia="Calibri"/>
          <w:sz w:val="20"/>
          <w:szCs w:val="20"/>
        </w:rPr>
        <w:t xml:space="preserve">, </w:t>
      </w:r>
      <w:proofErr w:type="spellStart"/>
      <w:r>
        <w:rPr>
          <w:rFonts w:eastAsia="Calibri"/>
          <w:sz w:val="20"/>
          <w:szCs w:val="20"/>
        </w:rPr>
        <w:t>glucosinolates</w:t>
      </w:r>
      <w:proofErr w:type="spellEnd"/>
      <w:r>
        <w:rPr>
          <w:rFonts w:eastAsia="Calibri"/>
          <w:sz w:val="20"/>
          <w:szCs w:val="20"/>
        </w:rPr>
        <w:t xml:space="preserve">, and flavor context. </w:t>
      </w:r>
      <w:proofErr w:type="spellStart"/>
      <w:r>
        <w:rPr>
          <w:rFonts w:eastAsia="Calibri"/>
          <w:i/>
          <w:sz w:val="20"/>
          <w:szCs w:val="20"/>
        </w:rPr>
        <w:t>Crit</w:t>
      </w:r>
      <w:proofErr w:type="spellEnd"/>
      <w:r>
        <w:rPr>
          <w:rFonts w:eastAsia="Calibri"/>
          <w:i/>
          <w:sz w:val="20"/>
          <w:szCs w:val="20"/>
        </w:rPr>
        <w:t xml:space="preserve"> Rev Food </w:t>
      </w:r>
      <w:proofErr w:type="spellStart"/>
      <w:r>
        <w:rPr>
          <w:rFonts w:eastAsia="Calibri"/>
          <w:i/>
          <w:sz w:val="20"/>
          <w:szCs w:val="20"/>
        </w:rPr>
        <w:t>Sci</w:t>
      </w:r>
      <w:proofErr w:type="spellEnd"/>
      <w:r>
        <w:rPr>
          <w:rFonts w:eastAsia="Calibri"/>
          <w:i/>
          <w:sz w:val="20"/>
          <w:szCs w:val="20"/>
        </w:rPr>
        <w:t xml:space="preserve"> </w:t>
      </w:r>
      <w:proofErr w:type="spellStart"/>
      <w:r>
        <w:rPr>
          <w:rFonts w:eastAsia="Calibri"/>
          <w:i/>
          <w:sz w:val="20"/>
          <w:szCs w:val="20"/>
        </w:rPr>
        <w:t>Nutr</w:t>
      </w:r>
      <w:proofErr w:type="spellEnd"/>
      <w:r>
        <w:rPr>
          <w:rFonts w:eastAsia="Calibri"/>
          <w:sz w:val="20"/>
          <w:szCs w:val="20"/>
        </w:rPr>
        <w:t>., 58, 3130–</w:t>
      </w:r>
      <w:r>
        <w:rPr>
          <w:rFonts w:eastAsia="Calibri"/>
          <w:sz w:val="20"/>
          <w:szCs w:val="20"/>
        </w:rPr>
        <w:t>3140.</w:t>
      </w:r>
    </w:p>
    <w:p w:rsidR="005B3ABD" w:rsidRDefault="003F2B6A" w:rsidP="005A57CC">
      <w:pPr>
        <w:tabs>
          <w:tab w:val="left" w:pos="567"/>
        </w:tabs>
        <w:autoSpaceDE w:val="0"/>
        <w:autoSpaceDN w:val="0"/>
        <w:adjustRightInd w:val="0"/>
        <w:snapToGrid w:val="0"/>
        <w:ind w:left="567" w:hanging="567"/>
        <w:jc w:val="both"/>
        <w:rPr>
          <w:rFonts w:eastAsia="TimesNewRomanPSMT"/>
          <w:sz w:val="20"/>
          <w:szCs w:val="20"/>
        </w:rPr>
      </w:pPr>
      <w:r>
        <w:rPr>
          <w:sz w:val="20"/>
          <w:szCs w:val="20"/>
        </w:rPr>
        <w:t xml:space="preserve">[33] </w:t>
      </w:r>
      <w:r>
        <w:rPr>
          <w:sz w:val="20"/>
          <w:szCs w:val="20"/>
        </w:rPr>
        <w:tab/>
      </w:r>
      <w:proofErr w:type="spellStart"/>
      <w:r>
        <w:rPr>
          <w:sz w:val="20"/>
          <w:szCs w:val="20"/>
        </w:rPr>
        <w:t>Adesemowo</w:t>
      </w:r>
      <w:proofErr w:type="spellEnd"/>
      <w:r>
        <w:rPr>
          <w:sz w:val="20"/>
          <w:szCs w:val="20"/>
        </w:rPr>
        <w:t xml:space="preserve">, P.O. &amp; </w:t>
      </w:r>
      <w:proofErr w:type="spellStart"/>
      <w:r>
        <w:rPr>
          <w:sz w:val="20"/>
          <w:szCs w:val="20"/>
        </w:rPr>
        <w:t>Adenuga</w:t>
      </w:r>
      <w:proofErr w:type="spellEnd"/>
      <w:r>
        <w:rPr>
          <w:sz w:val="20"/>
          <w:szCs w:val="20"/>
        </w:rPr>
        <w:t xml:space="preserve">, A.R. (2018). Focuses of parental Anxiety attending to the special need for </w:t>
      </w:r>
      <w:r>
        <w:rPr>
          <w:sz w:val="20"/>
          <w:szCs w:val="20"/>
        </w:rPr>
        <w:t>counsel</w:t>
      </w:r>
      <w:r w:rsidR="005A57CC">
        <w:rPr>
          <w:sz w:val="20"/>
          <w:szCs w:val="20"/>
        </w:rPr>
        <w:t xml:space="preserve">ing the parents. The counselor: </w:t>
      </w:r>
      <w:r>
        <w:rPr>
          <w:i/>
          <w:iCs/>
          <w:sz w:val="20"/>
          <w:szCs w:val="20"/>
        </w:rPr>
        <w:t>Journal of Counseling Association of Nigeria, 1</w:t>
      </w:r>
      <w:r>
        <w:rPr>
          <w:sz w:val="20"/>
          <w:szCs w:val="20"/>
        </w:rPr>
        <w:t>(16).</w:t>
      </w:r>
    </w:p>
    <w:p w:rsidR="005B3ABD" w:rsidRDefault="003F2B6A" w:rsidP="005A57CC">
      <w:pPr>
        <w:tabs>
          <w:tab w:val="left" w:pos="567"/>
        </w:tabs>
        <w:autoSpaceDE w:val="0"/>
        <w:autoSpaceDN w:val="0"/>
        <w:adjustRightInd w:val="0"/>
        <w:snapToGrid w:val="0"/>
        <w:ind w:left="567" w:hanging="567"/>
        <w:jc w:val="both"/>
        <w:rPr>
          <w:rFonts w:eastAsia="TimesNewRomanPSMT"/>
          <w:sz w:val="20"/>
          <w:szCs w:val="20"/>
        </w:rPr>
      </w:pPr>
      <w:r>
        <w:rPr>
          <w:sz w:val="20"/>
          <w:szCs w:val="20"/>
        </w:rPr>
        <w:t xml:space="preserve">[34] </w:t>
      </w:r>
      <w:r>
        <w:rPr>
          <w:sz w:val="20"/>
          <w:szCs w:val="20"/>
        </w:rPr>
        <w:tab/>
      </w:r>
      <w:proofErr w:type="spellStart"/>
      <w:r>
        <w:rPr>
          <w:sz w:val="20"/>
          <w:szCs w:val="20"/>
        </w:rPr>
        <w:t>Ilo</w:t>
      </w:r>
      <w:proofErr w:type="spellEnd"/>
      <w:r>
        <w:rPr>
          <w:sz w:val="20"/>
          <w:szCs w:val="20"/>
        </w:rPr>
        <w:t xml:space="preserve">, C.I., </w:t>
      </w:r>
      <w:proofErr w:type="spellStart"/>
      <w:r>
        <w:rPr>
          <w:sz w:val="20"/>
          <w:szCs w:val="20"/>
        </w:rPr>
        <w:t>Agbapuonwu</w:t>
      </w:r>
      <w:proofErr w:type="spellEnd"/>
      <w:r>
        <w:rPr>
          <w:sz w:val="20"/>
          <w:szCs w:val="20"/>
        </w:rPr>
        <w:t xml:space="preserve">, N.E., </w:t>
      </w:r>
      <w:proofErr w:type="spellStart"/>
      <w:r>
        <w:rPr>
          <w:sz w:val="20"/>
          <w:szCs w:val="20"/>
        </w:rPr>
        <w:t>Ogbonnaya</w:t>
      </w:r>
      <w:proofErr w:type="spellEnd"/>
      <w:r>
        <w:rPr>
          <w:sz w:val="20"/>
          <w:szCs w:val="20"/>
        </w:rPr>
        <w:t xml:space="preserve">, N., </w:t>
      </w:r>
      <w:proofErr w:type="spellStart"/>
      <w:r>
        <w:rPr>
          <w:sz w:val="20"/>
          <w:szCs w:val="20"/>
        </w:rPr>
        <w:t>Obasi</w:t>
      </w:r>
      <w:proofErr w:type="spellEnd"/>
      <w:r>
        <w:rPr>
          <w:sz w:val="20"/>
          <w:szCs w:val="20"/>
        </w:rPr>
        <w:t xml:space="preserve">, S.C., </w:t>
      </w:r>
      <w:proofErr w:type="spellStart"/>
      <w:r>
        <w:rPr>
          <w:sz w:val="20"/>
          <w:szCs w:val="20"/>
        </w:rPr>
        <w:t>Makata</w:t>
      </w:r>
      <w:proofErr w:type="spellEnd"/>
      <w:r>
        <w:rPr>
          <w:sz w:val="20"/>
          <w:szCs w:val="20"/>
        </w:rPr>
        <w:t xml:space="preserve">, N.E., </w:t>
      </w:r>
      <w:proofErr w:type="spellStart"/>
      <w:r>
        <w:rPr>
          <w:sz w:val="20"/>
          <w:szCs w:val="20"/>
        </w:rPr>
        <w:t>Chinweuba</w:t>
      </w:r>
      <w:proofErr w:type="spellEnd"/>
      <w:r>
        <w:rPr>
          <w:sz w:val="20"/>
          <w:szCs w:val="20"/>
        </w:rPr>
        <w:t xml:space="preserve">, A.U. &amp; </w:t>
      </w:r>
      <w:proofErr w:type="spellStart"/>
      <w:r>
        <w:rPr>
          <w:sz w:val="20"/>
          <w:szCs w:val="20"/>
        </w:rPr>
        <w:t>Iheanacho</w:t>
      </w:r>
      <w:proofErr w:type="spellEnd"/>
      <w:r>
        <w:rPr>
          <w:sz w:val="20"/>
          <w:szCs w:val="20"/>
        </w:rPr>
        <w:t xml:space="preserve">, P. (2014). </w:t>
      </w:r>
      <w:r>
        <w:rPr>
          <w:bCs/>
          <w:sz w:val="20"/>
          <w:szCs w:val="20"/>
        </w:rPr>
        <w:t xml:space="preserve">Anthropometrically Determined Nutritional Status of Preschool Children in Anambra State, Nigeria. </w:t>
      </w:r>
      <w:r>
        <w:rPr>
          <w:i/>
          <w:iCs/>
          <w:sz w:val="20"/>
          <w:szCs w:val="20"/>
        </w:rPr>
        <w:t xml:space="preserve">IOSR Journal </w:t>
      </w:r>
      <w:r>
        <w:rPr>
          <w:i/>
          <w:iCs/>
          <w:sz w:val="20"/>
          <w:szCs w:val="20"/>
        </w:rPr>
        <w:t xml:space="preserve">of Nursing and Health Science, </w:t>
      </w:r>
      <w:r>
        <w:rPr>
          <w:iCs/>
          <w:sz w:val="20"/>
          <w:szCs w:val="20"/>
        </w:rPr>
        <w:t>3</w:t>
      </w:r>
      <w:r>
        <w:rPr>
          <w:iCs/>
          <w:sz w:val="20"/>
          <w:szCs w:val="20"/>
        </w:rPr>
        <w:t xml:space="preserve">(3), 1-7. </w:t>
      </w:r>
    </w:p>
    <w:p w:rsidR="005B3ABD" w:rsidRDefault="003F2B6A" w:rsidP="005A57CC">
      <w:pPr>
        <w:tabs>
          <w:tab w:val="left" w:pos="567"/>
        </w:tabs>
        <w:autoSpaceDE w:val="0"/>
        <w:autoSpaceDN w:val="0"/>
        <w:adjustRightInd w:val="0"/>
        <w:snapToGrid w:val="0"/>
        <w:ind w:left="567" w:hanging="567"/>
        <w:jc w:val="both"/>
        <w:rPr>
          <w:rFonts w:eastAsia="TimesNewRomanPSMT"/>
          <w:sz w:val="20"/>
          <w:szCs w:val="20"/>
        </w:rPr>
      </w:pPr>
      <w:r>
        <w:rPr>
          <w:sz w:val="20"/>
          <w:szCs w:val="20"/>
        </w:rPr>
        <w:t xml:space="preserve">[35] </w:t>
      </w:r>
      <w:r>
        <w:rPr>
          <w:sz w:val="20"/>
          <w:szCs w:val="20"/>
        </w:rPr>
        <w:tab/>
      </w:r>
      <w:r>
        <w:rPr>
          <w:rFonts w:eastAsia="Calibri"/>
          <w:color w:val="000000"/>
          <w:sz w:val="20"/>
          <w:szCs w:val="20"/>
        </w:rPr>
        <w:t xml:space="preserve">Nikolic M. (2013). </w:t>
      </w:r>
      <w:r>
        <w:rPr>
          <w:rFonts w:eastAsia="Calibri"/>
          <w:iCs/>
          <w:color w:val="000000"/>
          <w:sz w:val="20"/>
          <w:szCs w:val="20"/>
        </w:rPr>
        <w:t>Feeding children as a pillar of public health</w:t>
      </w:r>
      <w:r>
        <w:rPr>
          <w:rFonts w:eastAsia="Calibri"/>
          <w:i/>
          <w:iCs/>
          <w:color w:val="000000"/>
          <w:sz w:val="20"/>
          <w:szCs w:val="20"/>
        </w:rPr>
        <w:t xml:space="preserve"> </w:t>
      </w:r>
      <w:r>
        <w:rPr>
          <w:rFonts w:eastAsia="Calibri"/>
          <w:color w:val="000000"/>
          <w:sz w:val="20"/>
          <w:szCs w:val="20"/>
        </w:rPr>
        <w:t xml:space="preserve">(in Serbian). </w:t>
      </w:r>
      <w:r>
        <w:rPr>
          <w:rFonts w:eastAsia="Calibri"/>
          <w:i/>
          <w:color w:val="000000"/>
          <w:sz w:val="20"/>
          <w:szCs w:val="20"/>
        </w:rPr>
        <w:t>First International Congress for hy</w:t>
      </w:r>
      <w:r>
        <w:rPr>
          <w:rFonts w:eastAsia="Calibri"/>
          <w:i/>
          <w:color w:val="000000"/>
          <w:sz w:val="20"/>
          <w:szCs w:val="20"/>
        </w:rPr>
        <w:softHyphen/>
      </w:r>
      <w:r>
        <w:rPr>
          <w:rFonts w:eastAsia="Calibri"/>
          <w:i/>
          <w:color w:val="000000"/>
          <w:sz w:val="20"/>
          <w:szCs w:val="20"/>
        </w:rPr>
        <w:t>giene and preventive medicine Proceedings, Belgrade, Serbia</w:t>
      </w:r>
      <w:r>
        <w:rPr>
          <w:rFonts w:eastAsia="Calibri"/>
          <w:color w:val="000000"/>
          <w:sz w:val="20"/>
          <w:szCs w:val="20"/>
        </w:rPr>
        <w:t>, pp. 436-441.</w:t>
      </w:r>
    </w:p>
    <w:p w:rsidR="005B3ABD" w:rsidRDefault="005B3ABD">
      <w:pPr>
        <w:autoSpaceDE w:val="0"/>
        <w:autoSpaceDN w:val="0"/>
        <w:adjustRightInd w:val="0"/>
        <w:snapToGrid w:val="0"/>
        <w:jc w:val="both"/>
        <w:rPr>
          <w:sz w:val="20"/>
          <w:szCs w:val="20"/>
        </w:rPr>
      </w:pPr>
    </w:p>
    <w:p w:rsidR="005B3ABD" w:rsidRDefault="005B3ABD">
      <w:pPr>
        <w:autoSpaceDE w:val="0"/>
        <w:autoSpaceDN w:val="0"/>
        <w:adjustRightInd w:val="0"/>
        <w:snapToGrid w:val="0"/>
        <w:jc w:val="both"/>
        <w:rPr>
          <w:rFonts w:eastAsia="Calibri"/>
          <w:color w:val="000000"/>
          <w:sz w:val="20"/>
          <w:szCs w:val="20"/>
        </w:rPr>
      </w:pPr>
    </w:p>
    <w:p w:rsidR="005B3ABD" w:rsidRDefault="003F2B6A">
      <w:pPr>
        <w:autoSpaceDE w:val="0"/>
        <w:autoSpaceDN w:val="0"/>
        <w:adjustRightInd w:val="0"/>
        <w:snapToGrid w:val="0"/>
        <w:jc w:val="right"/>
        <w:rPr>
          <w:rFonts w:eastAsia="Calibri"/>
          <w:bCs/>
          <w:sz w:val="20"/>
          <w:szCs w:val="20"/>
        </w:rPr>
      </w:pPr>
      <w:r>
        <w:rPr>
          <w:rFonts w:eastAsia="Calibri"/>
          <w:bCs/>
          <w:sz w:val="20"/>
          <w:szCs w:val="20"/>
        </w:rPr>
        <w:t>5/22/2024</w:t>
      </w:r>
    </w:p>
    <w:p w:rsidR="005B3ABD" w:rsidRDefault="005B3ABD">
      <w:pPr>
        <w:snapToGrid w:val="0"/>
        <w:rPr>
          <w:sz w:val="20"/>
          <w:szCs w:val="20"/>
        </w:rPr>
      </w:pPr>
    </w:p>
    <w:sectPr w:rsidR="005B3ABD">
      <w:type w:val="continuous"/>
      <w:pgSz w:w="12240" w:h="15839"/>
      <w:pgMar w:top="1440" w:right="1440" w:bottom="1440" w:left="1440" w:header="720" w:footer="720" w:gutter="0"/>
      <w:cols w:num="2" w:space="720" w:equalWidth="0">
        <w:col w:w="4467" w:space="425"/>
        <w:col w:w="4467"/>
      </w:cols>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2B6A" w:rsidRDefault="003F2B6A">
      <w:r>
        <w:separator/>
      </w:r>
    </w:p>
  </w:endnote>
  <w:endnote w:type="continuationSeparator" w:id="0">
    <w:p w:rsidR="003F2B6A" w:rsidRDefault="003F2B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Myriad Pro">
    <w:altName w:val="Segoe Print"/>
    <w:charset w:val="00"/>
    <w:family w:val="swiss"/>
    <w:pitch w:val="default"/>
    <w:sig w:usb0="00000000"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Arial Unicode MS">
    <w:panose1 w:val="020B0604020202020204"/>
    <w:charset w:val="00"/>
    <w:family w:val="roman"/>
    <w:pitch w:val="default"/>
    <w:sig w:usb0="00000000" w:usb1="00000000" w:usb2="00000000" w:usb3="00000000" w:csb0="00000001" w:csb1="00000000"/>
  </w:font>
  <w:font w:name="TimesNewRomanPSMT">
    <w:altName w:val="Times New Roman"/>
    <w:charset w:val="80"/>
    <w:family w:val="auto"/>
    <w:pitch w:val="default"/>
    <w:sig w:usb0="00000000" w:usb1="00000000" w:usb2="00000010" w:usb3="00000000" w:csb0="00020001" w:csb1="00000000"/>
  </w:font>
  <w:font w:name="AdvOT8608a8d1+02">
    <w:altName w:val="宋体"/>
    <w:charset w:val="86"/>
    <w:family w:val="auto"/>
    <w:pitch w:val="default"/>
    <w:sig w:usb0="00000000" w:usb1="00000000" w:usb2="00000010" w:usb3="00000000" w:csb0="00040000"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3ABD" w:rsidRDefault="003F2B6A">
    <w:pPr>
      <w:pStyle w:val="Footer"/>
      <w:ind w:firstLineChars="300" w:firstLine="600"/>
      <w:rPr>
        <w:rStyle w:val="Hyperlink"/>
        <w:bCs/>
        <w:sz w:val="20"/>
        <w:szCs w:val="20"/>
      </w:rPr>
    </w:pPr>
    <w:r>
      <w:rPr>
        <w:noProof/>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5B3ABD" w:rsidRDefault="003F2B6A">
                          <w:pPr>
                            <w:pStyle w:val="Footer"/>
                          </w:pPr>
                          <w:r>
                            <w:rPr>
                              <w:sz w:val="20"/>
                              <w:szCs w:val="20"/>
                            </w:rPr>
                            <w:fldChar w:fldCharType="begin"/>
                          </w:r>
                          <w:r>
                            <w:rPr>
                              <w:sz w:val="20"/>
                              <w:szCs w:val="20"/>
                            </w:rPr>
                            <w:instrText xml:space="preserve"> PAGE  \* MERGEFORMAT </w:instrText>
                          </w:r>
                          <w:r>
                            <w:rPr>
                              <w:sz w:val="20"/>
                              <w:szCs w:val="20"/>
                            </w:rPr>
                            <w:fldChar w:fldCharType="separate"/>
                          </w:r>
                          <w:r w:rsidR="00DC7036">
                            <w:rPr>
                              <w:noProof/>
                              <w:sz w:val="20"/>
                              <w:szCs w:val="20"/>
                            </w:rPr>
                            <w:t>129</w:t>
                          </w:r>
                          <w:r>
                            <w:rPr>
                              <w:sz w:val="20"/>
                              <w:szCs w:val="2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40FAwMAAMwGAAAOAAAAZHJzL2Uyb0RvYy54bWysVc1uEzEQviPxDpbv2/3pNt1E3VRptouQ&#10;KlpREGfH621WeG3LdvMD4gpvwIkLd56rz8HYyW7SUiQKXJxZe2Y8883nLyenq5ajBdOmkSLH8UGE&#10;ERNUVo24yfHbN2WQYWQsERXhUrAcr5nBp+Pnz06WasQSOZe8YhpBEmFGS5XjubVqFIaGzllLzIFU&#10;TMBhLXVLLHzqm7DSZAnZWx4mUTQIl1JXSkvKjIHdYnOIxz5/XTNqL+vaMIt4jqE261ft15lbw/EJ&#10;Gd1oouYN3ZZB/qKKljQCLu1TFcQSdKubX1K1DdXSyNoeUNmGsq4bynwP0E0cPejmek4U870AOEb1&#10;MJn/l5a+Wlxp1FQ5TjASpIUR3X39cvftx933zyhx8CyVGYHXtQI/uzqTKxhzt29g03W9qnXrfqEf&#10;BOcA9LoHl60soi4oS7IsgiMKZ90H5A934Uob+4LJFjkjxxqm50EliwtjN66di7tNyLLh3E+QC7TM&#10;8eDwKPIB/Qkk58L5QhWQY2ttJvNxGA3Ps/MsDdJkcB6kUVEEk3KaBoMyPj4qDovptIg/uXxxOpo3&#10;VcWEu69jSZz+2RS2fN3Mt+eJkbypXDpXkmc7m3KNFgR4yq0HGGrf8wrvV+Fxg6YedBQnaXSWDINy&#10;kB0HaZkeBcPjKAuieHg2HETpMC3K+x1dNIL9e0f3wN8rmozcvPrGZpzQ9447v23NlbNrDdy6uYWO&#10;hhu6ecuuOTi66b5mNfDXs+4RLAmlTPR4em/nVQPyTwnc+nu0vao8JZh1Ef5mKWwf3DZCas/YBxSo&#10;3ncUqDf+AMpe3860q9kKoHTmTFZreJ1awqOBB2YULRvA/YIYe0U06BlsgkbbS1hqLuGlyK2F0Vzq&#10;D4/tO38gOJxitAR9zLEAAceIvxQgP5DQdobujFlniNt2KoHIsa/FmxCgLe/MWsv2HQj3xN0BR0RQ&#10;uCnHtjOndqPRIPyUTSbeCQRTEXshrhV1qf2w1eTWggp4cdghsQULJNNzaSvvTpP3v73X7k9o/BMA&#10;AP//AwBQSwMEFAAGAAgAAAAhAOcqirzWAAAABQEAAA8AAABkcnMvZG93bnJldi54bWxMj0FLw0AQ&#10;he9C/8MyBW92Yw+SxGyKlnrpRVoFr9PsmAR3Z0N2m8Z/7yiCXoZ5vOG9b6rN7J2aaIx9YAO3qwwU&#10;cRNsz62B15enmxxUTMgWXWAy8EkRNvXiqsLShgsfaDqmVkkIxxINdCkNpdax6chjXIWBWLz3MHpM&#10;IsdW2xEvEu6dXmfZnfbYszR0ONC2o+bjePbSu3dvUyjSodHTzj7OecHP+8KY6+X8cA8q0Zz+juEb&#10;X9ChFqZTOLONyhmQR9LPFG+d5yJPv4uuK/2fvv4CAAD//wMAUEsBAi0AFAAGAAgAAAAhALaDOJL+&#10;AAAA4QEAABMAAAAAAAAAAAAAAAAAAAAAAFtDb250ZW50X1R5cGVzXS54bWxQSwECLQAUAAYACAAA&#10;ACEAOP0h/9YAAACUAQAACwAAAAAAAAAAAAAAAAAvAQAAX3JlbHMvLnJlbHNQSwECLQAUAAYACAAA&#10;ACEAK+uNBQMDAADMBgAADgAAAAAAAAAAAAAAAAAuAgAAZHJzL2Uyb0RvYy54bWxQSwECLQAUAAYA&#10;CAAAACEA5yqKvNYAAAAFAQAADwAAAAAAAAAAAAAAAABdBQAAZHJzL2Rvd25yZXYueG1sUEsFBgAA&#10;AAAEAAQA8wAAAGAGAAAAAA==&#10;" filled="f" fillcolor="white [3201]" stroked="f" strokeweight=".5pt">
              <v:textbox style="mso-fit-shape-to-text:t" inset="0,0,0,0">
                <w:txbxContent>
                  <w:p w:rsidR="005B3ABD" w:rsidRDefault="003F2B6A">
                    <w:pPr>
                      <w:pStyle w:val="Footer"/>
                    </w:pPr>
                    <w:r>
                      <w:rPr>
                        <w:sz w:val="20"/>
                        <w:szCs w:val="20"/>
                      </w:rPr>
                      <w:fldChar w:fldCharType="begin"/>
                    </w:r>
                    <w:r>
                      <w:rPr>
                        <w:sz w:val="20"/>
                        <w:szCs w:val="20"/>
                      </w:rPr>
                      <w:instrText xml:space="preserve"> PAGE  \* MERGEFORMAT </w:instrText>
                    </w:r>
                    <w:r>
                      <w:rPr>
                        <w:sz w:val="20"/>
                        <w:szCs w:val="20"/>
                      </w:rPr>
                      <w:fldChar w:fldCharType="separate"/>
                    </w:r>
                    <w:r w:rsidR="00DC7036">
                      <w:rPr>
                        <w:noProof/>
                        <w:sz w:val="20"/>
                        <w:szCs w:val="20"/>
                      </w:rPr>
                      <w:t>129</w:t>
                    </w:r>
                    <w:r>
                      <w:rPr>
                        <w:sz w:val="20"/>
                        <w:szCs w:val="20"/>
                      </w:rPr>
                      <w:fldChar w:fldCharType="end"/>
                    </w:r>
                  </w:p>
                </w:txbxContent>
              </v:textbox>
              <w10:wrap anchorx="margin"/>
            </v:shape>
          </w:pict>
        </mc:Fallback>
      </mc:AlternateContent>
    </w:r>
    <w:hyperlink r:id="rId1" w:history="1">
      <w:r>
        <w:rPr>
          <w:rStyle w:val="Hyperlink"/>
          <w:sz w:val="20"/>
          <w:szCs w:val="20"/>
        </w:rPr>
        <w:t>http://www.sciencepub.net/researcher</w:t>
      </w:r>
    </w:hyperlink>
    <w:r>
      <w:rPr>
        <w:bCs/>
        <w:sz w:val="20"/>
        <w:szCs w:val="20"/>
      </w:rPr>
      <w:t xml:space="preserve">            </w:t>
    </w:r>
    <w:r>
      <w:rPr>
        <w:rFonts w:hint="eastAsia"/>
        <w:bCs/>
        <w:sz w:val="20"/>
        <w:szCs w:val="20"/>
      </w:rPr>
      <w:t xml:space="preserve">                      </w:t>
    </w:r>
    <w:r>
      <w:rPr>
        <w:bCs/>
        <w:sz w:val="20"/>
        <w:szCs w:val="20"/>
      </w:rPr>
      <w:t xml:space="preserve">     </w:t>
    </w:r>
    <w:r>
      <w:rPr>
        <w:rFonts w:hint="eastAsia"/>
        <w:bCs/>
        <w:sz w:val="20"/>
        <w:szCs w:val="20"/>
      </w:rPr>
      <w:t xml:space="preserve">      </w:t>
    </w:r>
    <w:r>
      <w:rPr>
        <w:bCs/>
        <w:sz w:val="20"/>
        <w:szCs w:val="20"/>
      </w:rPr>
      <w:t xml:space="preserve">     </w:t>
    </w:r>
    <w:r>
      <w:rPr>
        <w:rFonts w:eastAsia="SimSun" w:hint="eastAsia"/>
        <w:bCs/>
        <w:sz w:val="20"/>
        <w:szCs w:val="20"/>
      </w:rPr>
      <w:t xml:space="preserve"> </w:t>
    </w:r>
    <w:r>
      <w:rPr>
        <w:bCs/>
        <w:sz w:val="20"/>
        <w:szCs w:val="20"/>
      </w:rPr>
      <w:t xml:space="preserve">      </w:t>
    </w:r>
    <w:hyperlink r:id="rId2" w:history="1">
      <w:r>
        <w:rPr>
          <w:rStyle w:val="Hyperlink"/>
          <w:bCs/>
          <w:sz w:val="20"/>
          <w:szCs w:val="20"/>
        </w:rPr>
        <w:t>researcher135@gmail.com</w:t>
      </w:r>
    </w:hyperlink>
  </w:p>
  <w:p w:rsidR="005B3ABD" w:rsidRDefault="005B3AB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3ABD" w:rsidRDefault="003F2B6A">
    <w:pPr>
      <w:pStyle w:val="Footer"/>
      <w:ind w:firstLineChars="300" w:firstLine="600"/>
      <w:rPr>
        <w:rStyle w:val="Hyperlink"/>
        <w:bCs/>
        <w:sz w:val="20"/>
        <w:szCs w:val="20"/>
      </w:rPr>
    </w:pPr>
    <w:r>
      <w:rPr>
        <w:noProof/>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5B3ABD" w:rsidRDefault="003F2B6A">
                          <w:pPr>
                            <w:pStyle w:val="Footer"/>
                          </w:pPr>
                          <w:r>
                            <w:rPr>
                              <w:sz w:val="20"/>
                              <w:szCs w:val="20"/>
                            </w:rPr>
                            <w:fldChar w:fldCharType="begin"/>
                          </w:r>
                          <w:r>
                            <w:rPr>
                              <w:sz w:val="20"/>
                              <w:szCs w:val="20"/>
                            </w:rPr>
                            <w:instrText xml:space="preserve"> PAGE  \* MERGEFORMAT </w:instrText>
                          </w:r>
                          <w:r>
                            <w:rPr>
                              <w:sz w:val="20"/>
                              <w:szCs w:val="20"/>
                            </w:rPr>
                            <w:fldChar w:fldCharType="separate"/>
                          </w:r>
                          <w:r w:rsidR="00DC7036">
                            <w:rPr>
                              <w:noProof/>
                              <w:sz w:val="20"/>
                              <w:szCs w:val="20"/>
                            </w:rPr>
                            <w:t>130</w:t>
                          </w:r>
                          <w:r>
                            <w:rPr>
                              <w:sz w:val="20"/>
                              <w:szCs w:val="2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7"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J//BwMAANMGAAAOAAAAZHJzL2Uyb0RvYy54bWysVc1u1DAQviPxDpbvaZLddJtdNVttNw1C&#10;qmhFQZy9jtONcGzLdvcHxBXegBMX7jxXn4Oxs0m3pUgUuHgn9sx45pvP3x6fbBqOVkybWooMxwcR&#10;RkxQWdbiOsNv3xRBipGxRJSES8EyvGUGn0yfPzteqwkbyKXkJdMIkggzWasML61VkzA0dMkaYg6k&#10;YgIOK6kbYuFTX4elJmvI3vBwEEWjcC11qbSkzBjYzdtDPPX5q4pRe1FVhlnEMwy1Wb9qvy7cGk6P&#10;yeRaE7Ws6a4M8hdVNKQWcGmfKieWoBtd/5KqqamWRlb2gMomlFVVU+Z7gG7i6EE3V0uimO8FwDGq&#10;h8n8v7T01epSo7rM8BAjQRoY0e3XL7ffftx+/4yGDp61MhPwulLgZzencgNj7vYNbLquN5Vu3C/0&#10;g+AcgN724LKNRdQFpYM0jeCIwln3AfnDu3CljX3BZIOckWEN0/OgktW5sa1r5+JuE7KoOfcT5AKt&#10;MzwaHkY+oD+B5Fw4X6gCcuysdjIfx9H4LD1LkyAZjM6CJMrzYFbMk2BUxEeH+TCfz/P4k8sXJ5Nl&#10;XZZMuPs6lsTJn01hx9d2vj1PjOR16dK5kjzb2ZxrtCLAU249wFD7nld4vwqPGzT1oKN4kESng3FQ&#10;jNKjICmSw2B8FKVBFI9Px6MoGSd5cb+j81qwf+/oHvh7RZOJm1ff2IIT+t5x57etuXLuWgO3bm6h&#10;o2FLN2/ZLQdHN93XrAL+etY9giWhlIkeT+/tvCpA/imBO3+PtleVpwSzLsLfLIXtg5taSO0Z+4AC&#10;5fuOAlXrD6Ds9e1Mu1ls/MPtX+NCllt4pFrC24F3ZhQtaoD/nBh7STTIGmyCVNsLWCou4cHInYXR&#10;UuoPj+07f+A5nGK0BpnMsAAdx4i/FKBCkNB2hu6MRWeIm2Yugc+xr8WbEKAt78xKy+Yd6PfM3QFH&#10;RFC4KcO2M+e2lWrQf8pmM+8EuqmIPRdXirrUfuZqdmNBDLxGOGxaJHaYgXJ6Su1U3knz/rf3uvsv&#10;mv4EAAD//wMAUEsDBBQABgAIAAAAIQDnKoq81gAAAAUBAAAPAAAAZHJzL2Rvd25yZXYueG1sTI9B&#10;S8NAEIXvQv/DMgVvdmMPksRsipZ66UVaBa/T7JgEd2dDdpvGf+8ogl6GebzhvW+qzeydmmiMfWAD&#10;t6sMFHETbM+tgdeXp5scVEzIFl1gMvBJETb14qrC0oYLH2g6plZJCMcSDXQpDaXWsenIY1yFgVi8&#10;9zB6TCLHVtsRLxLunV5n2Z322LM0dDjQtqPm43j20rt3b1Mo0qHR084+znnBz/vCmOvl/HAPKtGc&#10;/o7hG1/QoRamUzizjcoZkEfSzxRvneciT7+Lriv9n77+AgAA//8DAFBLAQItABQABgAIAAAAIQC2&#10;gziS/gAAAOEBAAATAAAAAAAAAAAAAAAAAAAAAABbQ29udGVudF9UeXBlc10ueG1sUEsBAi0AFAAG&#10;AAgAAAAhADj9If/WAAAAlAEAAAsAAAAAAAAAAAAAAAAALwEAAF9yZWxzLy5yZWxzUEsBAi0AFAAG&#10;AAgAAAAhAKeAn/8HAwAA0wYAAA4AAAAAAAAAAAAAAAAALgIAAGRycy9lMm9Eb2MueG1sUEsBAi0A&#10;FAAGAAgAAAAhAOcqirzWAAAABQEAAA8AAAAAAAAAAAAAAAAAYQUAAGRycy9kb3ducmV2LnhtbFBL&#10;BQYAAAAABAAEAPMAAABkBgAAAAA=&#10;" filled="f" fillcolor="white [3201]" stroked="f" strokeweight=".5pt">
              <v:textbox style="mso-fit-shape-to-text:t" inset="0,0,0,0">
                <w:txbxContent>
                  <w:p w:rsidR="005B3ABD" w:rsidRDefault="003F2B6A">
                    <w:pPr>
                      <w:pStyle w:val="Footer"/>
                    </w:pPr>
                    <w:r>
                      <w:rPr>
                        <w:sz w:val="20"/>
                        <w:szCs w:val="20"/>
                      </w:rPr>
                      <w:fldChar w:fldCharType="begin"/>
                    </w:r>
                    <w:r>
                      <w:rPr>
                        <w:sz w:val="20"/>
                        <w:szCs w:val="20"/>
                      </w:rPr>
                      <w:instrText xml:space="preserve"> PAGE  \* MERGEFORMAT </w:instrText>
                    </w:r>
                    <w:r>
                      <w:rPr>
                        <w:sz w:val="20"/>
                        <w:szCs w:val="20"/>
                      </w:rPr>
                      <w:fldChar w:fldCharType="separate"/>
                    </w:r>
                    <w:r w:rsidR="00DC7036">
                      <w:rPr>
                        <w:noProof/>
                        <w:sz w:val="20"/>
                        <w:szCs w:val="20"/>
                      </w:rPr>
                      <w:t>130</w:t>
                    </w:r>
                    <w:r>
                      <w:rPr>
                        <w:sz w:val="20"/>
                        <w:szCs w:val="20"/>
                      </w:rPr>
                      <w:fldChar w:fldCharType="end"/>
                    </w:r>
                  </w:p>
                </w:txbxContent>
              </v:textbox>
              <w10:wrap anchorx="margin"/>
            </v:shape>
          </w:pict>
        </mc:Fallback>
      </mc:AlternateContent>
    </w:r>
    <w:hyperlink r:id="rId1" w:history="1">
      <w:r>
        <w:rPr>
          <w:rStyle w:val="Hyperlink"/>
          <w:sz w:val="20"/>
          <w:szCs w:val="20"/>
        </w:rPr>
        <w:t>http://www.sciencepub.net/researcher</w:t>
      </w:r>
    </w:hyperlink>
    <w:r>
      <w:rPr>
        <w:bCs/>
        <w:sz w:val="20"/>
        <w:szCs w:val="20"/>
      </w:rPr>
      <w:t xml:space="preserve">            </w:t>
    </w:r>
    <w:r>
      <w:rPr>
        <w:rFonts w:hint="eastAsia"/>
        <w:bCs/>
        <w:sz w:val="20"/>
        <w:szCs w:val="20"/>
      </w:rPr>
      <w:t xml:space="preserve">                      </w:t>
    </w:r>
    <w:r>
      <w:rPr>
        <w:bCs/>
        <w:sz w:val="20"/>
        <w:szCs w:val="20"/>
      </w:rPr>
      <w:t xml:space="preserve">     </w:t>
    </w:r>
    <w:r>
      <w:rPr>
        <w:rFonts w:hint="eastAsia"/>
        <w:bCs/>
        <w:sz w:val="20"/>
        <w:szCs w:val="20"/>
      </w:rPr>
      <w:t xml:space="preserve">      </w:t>
    </w:r>
    <w:r>
      <w:rPr>
        <w:bCs/>
        <w:sz w:val="20"/>
        <w:szCs w:val="20"/>
      </w:rPr>
      <w:t xml:space="preserve">     </w:t>
    </w:r>
    <w:r>
      <w:rPr>
        <w:rFonts w:eastAsia="SimSun" w:hint="eastAsia"/>
        <w:bCs/>
        <w:sz w:val="20"/>
        <w:szCs w:val="20"/>
      </w:rPr>
      <w:t xml:space="preserve"> </w:t>
    </w:r>
    <w:r>
      <w:rPr>
        <w:bCs/>
        <w:sz w:val="20"/>
        <w:szCs w:val="20"/>
      </w:rPr>
      <w:t xml:space="preserve">      </w:t>
    </w:r>
    <w:hyperlink r:id="rId2" w:history="1">
      <w:r>
        <w:rPr>
          <w:rStyle w:val="Hyperlink"/>
          <w:bCs/>
          <w:sz w:val="20"/>
          <w:szCs w:val="20"/>
        </w:rPr>
        <w:t>researcher135@gmail.com</w:t>
      </w:r>
    </w:hyperlink>
  </w:p>
  <w:p w:rsidR="005B3ABD" w:rsidRDefault="005B3ABD">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3ABD" w:rsidRDefault="003F2B6A">
    <w:pPr>
      <w:pStyle w:val="Footer"/>
      <w:ind w:firstLineChars="300" w:firstLine="720"/>
      <w:rPr>
        <w:rStyle w:val="Hyperlink"/>
        <w:bCs/>
        <w:sz w:val="20"/>
        <w:szCs w:val="20"/>
      </w:rPr>
    </w:pPr>
    <w:r>
      <w:rPr>
        <w:noProof/>
      </w:rPr>
      <mc:AlternateContent>
        <mc:Choice Requires="wps">
          <w:drawing>
            <wp:anchor distT="0" distB="0" distL="114300" distR="114300" simplePos="0" relativeHeight="251661312" behindDoc="0" locked="0" layoutInCell="1" allowOverlap="1">
              <wp:simplePos x="0" y="0"/>
              <wp:positionH relativeFrom="margin">
                <wp:posOffset>2930525</wp:posOffset>
              </wp:positionH>
              <wp:positionV relativeFrom="paragraph">
                <wp:posOffset>40640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5B3ABD" w:rsidRDefault="003F2B6A">
                          <w:pPr>
                            <w:pStyle w:val="Footer"/>
                            <w:jc w:val="right"/>
                            <w:rPr>
                              <w:sz w:val="20"/>
                              <w:szCs w:val="20"/>
                            </w:rPr>
                          </w:pPr>
                          <w:r>
                            <w:rPr>
                              <w:sz w:val="20"/>
                              <w:szCs w:val="20"/>
                            </w:rPr>
                            <w:fldChar w:fldCharType="begin"/>
                          </w:r>
                          <w:r>
                            <w:rPr>
                              <w:sz w:val="20"/>
                              <w:szCs w:val="20"/>
                            </w:rPr>
                            <w:instrText xml:space="preserve"> PAGE   \* MERGEFORMAT </w:instrText>
                          </w:r>
                          <w:r>
                            <w:rPr>
                              <w:sz w:val="20"/>
                              <w:szCs w:val="20"/>
                            </w:rPr>
                            <w:fldChar w:fldCharType="separate"/>
                          </w:r>
                          <w:r w:rsidR="00DC7036">
                            <w:rPr>
                              <w:noProof/>
                              <w:sz w:val="20"/>
                              <w:szCs w:val="20"/>
                            </w:rPr>
                            <w:t>132</w:t>
                          </w:r>
                          <w:r>
                            <w:rPr>
                              <w:sz w:val="20"/>
                              <w:szCs w:val="2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8" type="#_x0000_t202" style="position:absolute;left:0;text-align:left;margin-left:230.75pt;margin-top:3.2pt;width:2in;height:2in;z-index:251661312;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wb2CAMAANMGAAAOAAAAZHJzL2Uyb0RvYy54bWysVc1u1DAQviPxDpbvaZJtus2umq22mwYh&#10;rWhFQZy9jtONcGzLdvcHxBXegBMX7jxXn4Oxs0m3pUgUuHgn9sx45pvP356cbhqOVkybWooMxwcR&#10;RkxQWdbiOsNv3xRBipGxRJSES8EyvGUGn06ePztZqzEbyKXkJdMIkggzXqsML61V4zA0dMkaYg6k&#10;YgIOK6kbYuFTX4elJmvI3vBwEEXDcC11qbSkzBjYzdtDPPH5q4pRe1FVhlnEMwy1Wb9qvy7cGk5O&#10;yPhaE7Ws6a4M8hdVNKQWcGmfKieWoBtd/5KqqamWRlb2gMomlFVVU+Z7gG7i6EE3V0uimO8FwDGq&#10;h8n8v7T01epSo7rMcIKRIA2M6Pbrl9tvP26/f0aJg2etzBi8rhT42c2Z3MCYu30Dm67rTaUb9wv9&#10;IDgHoLc9uGxjEXVB6SBNIziicNZ9QP7wLlxpY18w2SBnZFjD9DyoZDU3tnXtXNxtQhY1536CXKB1&#10;hoeHR5EP6E8gORfOF6qAHDurnczHUTQ6T8/TJEgGw/MgifI8mBazJBgW8fFRfpjPZnn8yeWLk/Gy&#10;Lksm3H0dS+Lkz6aw42s7354nRvK6dOlcSZ7tbMY1WhHgKbceYKh9zyu8X4XHDZp60FE8SKKzwSgo&#10;hulxkBTJUTA6jtIgikdno2GUjJK8uN/RvBbs3zu6B/5e0WTs5tU3tuCEvnfc+W1rrpy71sCtm1vo&#10;aNjSzVt2y8HRTfc1q4C/nnWPYEkoZaLH03s7rwqQf0rgzt+j7VXlKcGsi/A3S2H74KYWUnvGPqBA&#10;+b6jQNX6Ayh7fTvTbhYb/3AH3WtcyHILj1RLeDvwzoyiRQ3wz4mxl0SDrMEmSLW9gKXiEh6M3FkY&#10;LaX+8Ni+8weewylGa5DJDAvQcYz4SwEqBAltZ+jOWHSGuGlmEvgc+1q8CQHa8s6stGzegX5P3R1w&#10;RASFmzJsO3NmW6kG/adsOvVOoJuK2Lm4UtSl9jNX0xsLYuA1wmHTIrHDDJTTU2qn8k6a97+9191/&#10;0eQnAAAA//8DAFBLAwQUAAYACAAAACEANCM/8d0AAAAJAQAADwAAAGRycy9kb3ducmV2LnhtbEyP&#10;wU7DMBBE70j8g7VI3KjTyoQ6jVMBgksvqAWpVzdekoh4HcVuGv6e5QTH0Yxm3pTb2fdiwjF2gQws&#10;FxkIpDq4jhoDH++vd2sQMVlytg+EBr4xwra6vipt4cKF9jgdUiO4hGJhDbQpDYWUsW7R27gIAxJ7&#10;n2H0NrEcG+lGe+Fy38tVluXS2454obUDPrdYfx3Onnd3/XEKOu1rOb24p3mt6W2njbm9mR83IBLO&#10;6S8Mv/iMDhUzncKZXBS9AZUv7zlqIFcg2H9QmvXJwEorBbIq5f8H1Q8AAAD//wMAUEsBAi0AFAAG&#10;AAgAAAAhALaDOJL+AAAA4QEAABMAAAAAAAAAAAAAAAAAAAAAAFtDb250ZW50X1R5cGVzXS54bWxQ&#10;SwECLQAUAAYACAAAACEAOP0h/9YAAACUAQAACwAAAAAAAAAAAAAAAAAvAQAAX3JlbHMvLnJlbHNQ&#10;SwECLQAUAAYACAAAACEAYE8G9ggDAADTBgAADgAAAAAAAAAAAAAAAAAuAgAAZHJzL2Uyb0RvYy54&#10;bWxQSwECLQAUAAYACAAAACEANCM/8d0AAAAJAQAADwAAAAAAAAAAAAAAAABiBQAAZHJzL2Rvd25y&#10;ZXYueG1sUEsFBgAAAAAEAAQA8wAAAGwGAAAAAA==&#10;" filled="f" fillcolor="white [3201]" stroked="f" strokeweight=".5pt">
              <v:textbox style="mso-fit-shape-to-text:t" inset="0,0,0,0">
                <w:txbxContent>
                  <w:p w:rsidR="005B3ABD" w:rsidRDefault="003F2B6A">
                    <w:pPr>
                      <w:pStyle w:val="Footer"/>
                      <w:jc w:val="right"/>
                      <w:rPr>
                        <w:sz w:val="20"/>
                        <w:szCs w:val="20"/>
                      </w:rPr>
                    </w:pPr>
                    <w:r>
                      <w:rPr>
                        <w:sz w:val="20"/>
                        <w:szCs w:val="20"/>
                      </w:rPr>
                      <w:fldChar w:fldCharType="begin"/>
                    </w:r>
                    <w:r>
                      <w:rPr>
                        <w:sz w:val="20"/>
                        <w:szCs w:val="20"/>
                      </w:rPr>
                      <w:instrText xml:space="preserve"> PAGE   \* MERGEFORMAT </w:instrText>
                    </w:r>
                    <w:r>
                      <w:rPr>
                        <w:sz w:val="20"/>
                        <w:szCs w:val="20"/>
                      </w:rPr>
                      <w:fldChar w:fldCharType="separate"/>
                    </w:r>
                    <w:r w:rsidR="00DC7036">
                      <w:rPr>
                        <w:noProof/>
                        <w:sz w:val="20"/>
                        <w:szCs w:val="20"/>
                      </w:rPr>
                      <w:t>132</w:t>
                    </w:r>
                    <w:r>
                      <w:rPr>
                        <w:sz w:val="20"/>
                        <w:szCs w:val="20"/>
                      </w:rPr>
                      <w:fldChar w:fldCharType="end"/>
                    </w:r>
                  </w:p>
                </w:txbxContent>
              </v:textbox>
              <w10:wrap anchorx="margin"/>
            </v:shape>
          </w:pict>
        </mc:Fallback>
      </mc:AlternateContent>
    </w:r>
    <w:hyperlink r:id="rId1" w:history="1">
      <w:r>
        <w:rPr>
          <w:rStyle w:val="Hyperlink"/>
          <w:sz w:val="20"/>
          <w:szCs w:val="20"/>
        </w:rPr>
        <w:t>http://www.sciencepub.net/researcher</w:t>
      </w:r>
    </w:hyperlink>
    <w:r>
      <w:rPr>
        <w:bCs/>
        <w:sz w:val="20"/>
        <w:szCs w:val="20"/>
      </w:rPr>
      <w:t xml:space="preserve">            </w:t>
    </w:r>
    <w:r>
      <w:rPr>
        <w:rFonts w:hint="eastAsia"/>
        <w:bCs/>
        <w:sz w:val="20"/>
        <w:szCs w:val="20"/>
      </w:rPr>
      <w:t xml:space="preserve">                      </w:t>
    </w:r>
    <w:r>
      <w:rPr>
        <w:bCs/>
        <w:sz w:val="20"/>
        <w:szCs w:val="20"/>
      </w:rPr>
      <w:t xml:space="preserve">     </w:t>
    </w:r>
    <w:r>
      <w:rPr>
        <w:rFonts w:hint="eastAsia"/>
        <w:bCs/>
        <w:sz w:val="20"/>
        <w:szCs w:val="20"/>
      </w:rPr>
      <w:t xml:space="preserve">      </w:t>
    </w:r>
    <w:r>
      <w:rPr>
        <w:bCs/>
        <w:sz w:val="20"/>
        <w:szCs w:val="20"/>
      </w:rPr>
      <w:t xml:space="preserve">     </w:t>
    </w:r>
    <w:r>
      <w:rPr>
        <w:rFonts w:eastAsia="SimSun" w:hint="eastAsia"/>
        <w:bCs/>
        <w:sz w:val="20"/>
        <w:szCs w:val="20"/>
      </w:rPr>
      <w:t xml:space="preserve"> </w:t>
    </w:r>
    <w:r>
      <w:rPr>
        <w:bCs/>
        <w:sz w:val="20"/>
        <w:szCs w:val="20"/>
      </w:rPr>
      <w:t xml:space="preserve">      </w:t>
    </w:r>
    <w:hyperlink r:id="rId2" w:history="1">
      <w:r>
        <w:rPr>
          <w:rStyle w:val="Hyperlink"/>
          <w:bCs/>
          <w:sz w:val="20"/>
          <w:szCs w:val="20"/>
        </w:rPr>
        <w:t>researcher135@gmail.com</w:t>
      </w:r>
    </w:hyperlink>
  </w:p>
  <w:p w:rsidR="005B3ABD" w:rsidRDefault="005B3ABD">
    <w:pPr>
      <w:pStyle w:val="Footer"/>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2B6A" w:rsidRDefault="003F2B6A">
      <w:r>
        <w:separator/>
      </w:r>
    </w:p>
  </w:footnote>
  <w:footnote w:type="continuationSeparator" w:id="0">
    <w:p w:rsidR="003F2B6A" w:rsidRDefault="003F2B6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3ABD" w:rsidRDefault="003F2B6A">
    <w:pPr>
      <w:widowControl w:val="0"/>
      <w:pBdr>
        <w:bottom w:val="thinThickMediumGap" w:sz="12" w:space="1" w:color="auto"/>
      </w:pBdr>
      <w:autoSpaceDE w:val="0"/>
      <w:autoSpaceDN w:val="0"/>
      <w:snapToGrid w:val="0"/>
      <w:jc w:val="both"/>
      <w:rPr>
        <w:sz w:val="20"/>
        <w:szCs w:val="20"/>
      </w:rPr>
    </w:pPr>
    <w:r>
      <w:rPr>
        <w:rFonts w:eastAsia="SimSun"/>
        <w:iCs/>
        <w:color w:val="000000"/>
        <w:sz w:val="20"/>
        <w:szCs w:val="20"/>
        <w:lang w:eastAsia="zh-CN"/>
      </w:rPr>
      <w:t xml:space="preserve">         </w:t>
    </w:r>
    <w:r>
      <w:rPr>
        <w:iCs/>
        <w:color w:val="000000"/>
        <w:sz w:val="20"/>
        <w:szCs w:val="20"/>
      </w:rPr>
      <w:t>Researcher</w:t>
    </w:r>
    <w:r>
      <w:rPr>
        <w:iCs/>
        <w:sz w:val="20"/>
        <w:szCs w:val="20"/>
      </w:rPr>
      <w:t>202</w:t>
    </w:r>
    <w:r>
      <w:rPr>
        <w:rFonts w:eastAsia="SimSun"/>
        <w:iCs/>
        <w:sz w:val="20"/>
        <w:szCs w:val="20"/>
        <w:lang w:eastAsia="zh-CN"/>
      </w:rPr>
      <w:t>4</w:t>
    </w:r>
    <w:r>
      <w:rPr>
        <w:iCs/>
        <w:sz w:val="20"/>
        <w:szCs w:val="20"/>
      </w:rPr>
      <w:t>;</w:t>
    </w:r>
    <w:r>
      <w:rPr>
        <w:iCs/>
        <w:sz w:val="20"/>
        <w:szCs w:val="20"/>
        <w:lang w:eastAsia="zh-CN"/>
      </w:rPr>
      <w:t>16</w:t>
    </w:r>
    <w:r>
      <w:rPr>
        <w:iCs/>
        <w:sz w:val="20"/>
        <w:szCs w:val="20"/>
      </w:rPr>
      <w:t>(</w:t>
    </w:r>
    <w:r>
      <w:rPr>
        <w:rFonts w:hint="eastAsia"/>
        <w:iCs/>
        <w:sz w:val="20"/>
        <w:szCs w:val="20"/>
        <w:lang w:eastAsia="zh-CN"/>
      </w:rPr>
      <w:t>6</w:t>
    </w:r>
    <w:r>
      <w:rPr>
        <w:iCs/>
        <w:sz w:val="20"/>
        <w:szCs w:val="20"/>
      </w:rPr>
      <w:t xml:space="preserve">)       </w:t>
    </w:r>
    <w:r>
      <w:rPr>
        <w:iCs/>
        <w:sz w:val="20"/>
        <w:szCs w:val="20"/>
        <w:lang w:eastAsia="zh-CN"/>
      </w:rPr>
      <w:t xml:space="preserve">    </w:t>
    </w:r>
    <w:r>
      <w:rPr>
        <w:iCs/>
        <w:sz w:val="20"/>
        <w:szCs w:val="20"/>
      </w:rPr>
      <w:t xml:space="preserve"> </w:t>
    </w:r>
    <w:r>
      <w:rPr>
        <w:rFonts w:eastAsia="SimSun"/>
        <w:iCs/>
        <w:sz w:val="20"/>
        <w:szCs w:val="20"/>
        <w:lang w:eastAsia="zh-CN"/>
      </w:rPr>
      <w:t xml:space="preserve">                                     </w:t>
    </w:r>
    <w:r>
      <w:rPr>
        <w:iCs/>
        <w:sz w:val="20"/>
        <w:szCs w:val="20"/>
      </w:rPr>
      <w:t xml:space="preserve"> </w:t>
    </w:r>
    <w:r>
      <w:rPr>
        <w:iCs/>
        <w:sz w:val="20"/>
        <w:szCs w:val="20"/>
        <w:lang w:eastAsia="zh-CN"/>
      </w:rPr>
      <w:t xml:space="preserve">                </w:t>
    </w:r>
    <w:hyperlink r:id="rId1" w:history="1">
      <w:r>
        <w:rPr>
          <w:iCs/>
          <w:color w:val="0000FF"/>
          <w:sz w:val="20"/>
          <w:szCs w:val="20"/>
          <w:u w:val="single"/>
        </w:rPr>
        <w:t>http://www.sciencepub.net/researcher</w:t>
      </w:r>
    </w:hyperlink>
    <w:r>
      <w:rPr>
        <w:b/>
        <w:i/>
        <w:color w:val="FF0000"/>
        <w:sz w:val="20"/>
        <w:szCs w:val="20"/>
        <w:bdr w:val="single" w:sz="4" w:space="0" w:color="FF0000"/>
      </w:rPr>
      <w:t>RSJ</w:t>
    </w:r>
  </w:p>
  <w:p w:rsidR="005B3ABD" w:rsidRDefault="005B3AB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3ABD" w:rsidRDefault="003F2B6A">
    <w:pPr>
      <w:pStyle w:val="Header"/>
    </w:pPr>
    <w:r>
      <w:rPr>
        <w:b/>
        <w:bCs/>
        <w:noProof/>
        <w:sz w:val="20"/>
        <w:szCs w:val="20"/>
      </w:rPr>
      <w:drawing>
        <wp:inline distT="0" distB="0" distL="114300" distR="114300">
          <wp:extent cx="5970270" cy="787400"/>
          <wp:effectExtent l="0" t="0" r="11430" b="1270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5970270" cy="7874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3ABD" w:rsidRDefault="003F2B6A">
    <w:pPr>
      <w:widowControl w:val="0"/>
      <w:pBdr>
        <w:bottom w:val="thinThickMediumGap" w:sz="12" w:space="1" w:color="auto"/>
      </w:pBdr>
      <w:autoSpaceDE w:val="0"/>
      <w:autoSpaceDN w:val="0"/>
      <w:snapToGrid w:val="0"/>
      <w:jc w:val="both"/>
    </w:pPr>
    <w:r>
      <w:rPr>
        <w:rFonts w:eastAsia="SimSun"/>
        <w:iCs/>
        <w:color w:val="000000"/>
        <w:sz w:val="20"/>
        <w:szCs w:val="20"/>
        <w:lang w:eastAsia="zh-CN"/>
      </w:rPr>
      <w:t xml:space="preserve">         </w:t>
    </w:r>
    <w:r>
      <w:rPr>
        <w:iCs/>
        <w:color w:val="000000"/>
        <w:sz w:val="20"/>
        <w:szCs w:val="20"/>
      </w:rPr>
      <w:t>Researcher</w:t>
    </w:r>
    <w:r>
      <w:rPr>
        <w:iCs/>
        <w:sz w:val="20"/>
        <w:szCs w:val="20"/>
      </w:rPr>
      <w:t>202</w:t>
    </w:r>
    <w:r>
      <w:rPr>
        <w:rFonts w:eastAsia="SimSun"/>
        <w:iCs/>
        <w:sz w:val="20"/>
        <w:szCs w:val="20"/>
        <w:lang w:eastAsia="zh-CN"/>
      </w:rPr>
      <w:t>4</w:t>
    </w:r>
    <w:r>
      <w:rPr>
        <w:iCs/>
        <w:sz w:val="20"/>
        <w:szCs w:val="20"/>
      </w:rPr>
      <w:t>;</w:t>
    </w:r>
    <w:r>
      <w:rPr>
        <w:iCs/>
        <w:sz w:val="20"/>
        <w:szCs w:val="20"/>
        <w:lang w:eastAsia="zh-CN"/>
      </w:rPr>
      <w:t>16</w:t>
    </w:r>
    <w:r>
      <w:rPr>
        <w:iCs/>
        <w:sz w:val="20"/>
        <w:szCs w:val="20"/>
      </w:rPr>
      <w:t>(</w:t>
    </w:r>
    <w:r>
      <w:rPr>
        <w:rFonts w:hint="eastAsia"/>
        <w:iCs/>
        <w:sz w:val="20"/>
        <w:szCs w:val="20"/>
        <w:lang w:eastAsia="zh-CN"/>
      </w:rPr>
      <w:t>6</w:t>
    </w:r>
    <w:r>
      <w:rPr>
        <w:iCs/>
        <w:sz w:val="20"/>
        <w:szCs w:val="20"/>
      </w:rPr>
      <w:t xml:space="preserve">)       </w:t>
    </w:r>
    <w:r>
      <w:rPr>
        <w:iCs/>
        <w:sz w:val="20"/>
        <w:szCs w:val="20"/>
        <w:lang w:eastAsia="zh-CN"/>
      </w:rPr>
      <w:t xml:space="preserve">    </w:t>
    </w:r>
    <w:r>
      <w:rPr>
        <w:iCs/>
        <w:sz w:val="20"/>
        <w:szCs w:val="20"/>
      </w:rPr>
      <w:t xml:space="preserve"> </w:t>
    </w:r>
    <w:r>
      <w:rPr>
        <w:rFonts w:eastAsia="SimSun"/>
        <w:iCs/>
        <w:sz w:val="20"/>
        <w:szCs w:val="20"/>
        <w:lang w:eastAsia="zh-CN"/>
      </w:rPr>
      <w:t xml:space="preserve">                                     </w:t>
    </w:r>
    <w:r>
      <w:rPr>
        <w:iCs/>
        <w:sz w:val="20"/>
        <w:szCs w:val="20"/>
        <w:lang w:eastAsia="zh-CN"/>
      </w:rPr>
      <w:t xml:space="preserve">                </w:t>
    </w:r>
    <w:hyperlink r:id="rId1" w:history="1">
      <w:r>
        <w:rPr>
          <w:iCs/>
          <w:color w:val="0000FF"/>
          <w:sz w:val="20"/>
          <w:szCs w:val="20"/>
          <w:u w:val="single"/>
        </w:rPr>
        <w:t>http://www.sciencepub.net/researcher</w:t>
      </w:r>
    </w:hyperlink>
    <w:r>
      <w:rPr>
        <w:b/>
        <w:i/>
        <w:color w:val="FF0000"/>
        <w:sz w:val="20"/>
        <w:szCs w:val="20"/>
        <w:bdr w:val="single" w:sz="4" w:space="0" w:color="FF0000"/>
      </w:rPr>
      <w:t>RSJ</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5367F"/>
    <w:multiLevelType w:val="multilevel"/>
    <w:tmpl w:val="06E5367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dkYmE0MzY4NGFlMTBiZDlmNThmODdlODkwMTdiNjIifQ=="/>
  </w:docVars>
  <w:rsids>
    <w:rsidRoot w:val="00003AF2"/>
    <w:rsid w:val="00003AF2"/>
    <w:rsid w:val="00007EF4"/>
    <w:rsid w:val="000357B7"/>
    <w:rsid w:val="001679DC"/>
    <w:rsid w:val="00356EE1"/>
    <w:rsid w:val="003F2B6A"/>
    <w:rsid w:val="004D4544"/>
    <w:rsid w:val="004F721B"/>
    <w:rsid w:val="005A57CC"/>
    <w:rsid w:val="005B3ABD"/>
    <w:rsid w:val="006A62AD"/>
    <w:rsid w:val="006F5060"/>
    <w:rsid w:val="007303A2"/>
    <w:rsid w:val="007C167D"/>
    <w:rsid w:val="007D1BEE"/>
    <w:rsid w:val="00850FE1"/>
    <w:rsid w:val="00870D7F"/>
    <w:rsid w:val="008D5DB6"/>
    <w:rsid w:val="00936CF7"/>
    <w:rsid w:val="00986CEB"/>
    <w:rsid w:val="00B055C1"/>
    <w:rsid w:val="00B41D2C"/>
    <w:rsid w:val="00BB1CE2"/>
    <w:rsid w:val="00DC7036"/>
    <w:rsid w:val="00E7684B"/>
    <w:rsid w:val="00E81EE5"/>
    <w:rsid w:val="00EE5EC6"/>
    <w:rsid w:val="658008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D8523"/>
  <w15:docId w15:val="{E1072393-BC40-4F9D-A411-69490310A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sz w:val="24"/>
      <w:szCs w:val="24"/>
      <w:lang w:eastAsia="en-US"/>
    </w:rPr>
  </w:style>
  <w:style w:type="paragraph" w:styleId="Heading2">
    <w:name w:val="heading 2"/>
    <w:basedOn w:val="Normal"/>
    <w:next w:val="Normal"/>
    <w:link w:val="Heading2Char"/>
    <w:autoRedefine/>
    <w:uiPriority w:val="9"/>
    <w:unhideWhenUsed/>
    <w:qFormat/>
    <w:pPr>
      <w:keepNext/>
      <w:keepLines/>
      <w:spacing w:before="200" w:line="276" w:lineRule="auto"/>
      <w:outlineLvl w:val="1"/>
    </w:pPr>
    <w:rPr>
      <w:rFonts w:ascii="Cambria" w:hAnsi="Cambria"/>
      <w:b/>
      <w:bCs/>
      <w:color w:val="4F81BD"/>
      <w:sz w:val="26"/>
      <w:szCs w:val="2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autoRedefine/>
    <w:uiPriority w:val="99"/>
    <w:semiHidden/>
    <w:unhideWhenUsed/>
    <w:qFormat/>
    <w:rPr>
      <w:rFonts w:ascii="Tahoma" w:hAnsi="Tahoma" w:cs="Tahoma"/>
      <w:sz w:val="16"/>
      <w:szCs w:val="16"/>
    </w:rPr>
  </w:style>
  <w:style w:type="paragraph" w:styleId="Footer">
    <w:name w:val="footer"/>
    <w:basedOn w:val="Normal"/>
    <w:link w:val="FooterChar"/>
    <w:autoRedefine/>
    <w:uiPriority w:val="99"/>
    <w:unhideWhenUsed/>
    <w:qFormat/>
    <w:pPr>
      <w:tabs>
        <w:tab w:val="center" w:pos="4680"/>
        <w:tab w:val="right" w:pos="9360"/>
      </w:tabs>
    </w:pPr>
    <w:rPr>
      <w:lang w:eastAsia="zh-CN"/>
    </w:rPr>
  </w:style>
  <w:style w:type="paragraph" w:styleId="Header">
    <w:name w:val="header"/>
    <w:basedOn w:val="Normal"/>
    <w:link w:val="HeaderChar"/>
    <w:uiPriority w:val="99"/>
    <w:unhideWhenUsed/>
    <w:pPr>
      <w:tabs>
        <w:tab w:val="center" w:pos="4513"/>
        <w:tab w:val="right" w:pos="9026"/>
      </w:tabs>
    </w:pPr>
    <w:rPr>
      <w:lang w:eastAsia="zh-CN"/>
    </w:rPr>
  </w:style>
  <w:style w:type="character" w:styleId="Hyperlink">
    <w:name w:val="Hyperlink"/>
    <w:basedOn w:val="DefaultParagraphFont1"/>
    <w:autoRedefine/>
    <w:uiPriority w:val="99"/>
    <w:unhideWhenUsed/>
    <w:qFormat/>
    <w:rPr>
      <w:color w:val="0000FF"/>
      <w:u w:val="single"/>
    </w:rPr>
  </w:style>
  <w:style w:type="character" w:customStyle="1" w:styleId="DefaultParagraphFont1">
    <w:name w:val="Default Paragraph Font1"/>
    <w:autoRedefine/>
    <w:qFormat/>
  </w:style>
  <w:style w:type="character" w:customStyle="1" w:styleId="Heading2Char">
    <w:name w:val="Heading 2 Char"/>
    <w:basedOn w:val="DefaultParagraphFont"/>
    <w:link w:val="Heading2"/>
    <w:autoRedefine/>
    <w:uiPriority w:val="9"/>
    <w:qFormat/>
    <w:rPr>
      <w:rFonts w:ascii="Cambria" w:eastAsia="Times New Roman" w:hAnsi="Cambria" w:cs="Times New Roman"/>
      <w:b/>
      <w:bCs/>
      <w:color w:val="4F81BD"/>
      <w:sz w:val="26"/>
      <w:szCs w:val="26"/>
      <w:lang w:eastAsia="zh-CN"/>
    </w:rPr>
  </w:style>
  <w:style w:type="paragraph" w:styleId="ListParagraph">
    <w:name w:val="List Paragraph"/>
    <w:basedOn w:val="Normal"/>
    <w:uiPriority w:val="34"/>
    <w:qFormat/>
    <w:pPr>
      <w:ind w:left="720"/>
      <w:contextualSpacing/>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lang w:eastAsia="zh-CN"/>
    </w:r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lang w:eastAsia="zh-CN"/>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character" w:customStyle="1" w:styleId="A0">
    <w:name w:val="A0"/>
    <w:autoRedefine/>
    <w:uiPriority w:val="99"/>
    <w:qFormat/>
    <w:rPr>
      <w:rFonts w:cs="Myriad Pro"/>
      <w:b/>
      <w:bCs/>
      <w:color w:val="000000"/>
      <w:sz w:val="18"/>
      <w:szCs w:val="18"/>
    </w:rPr>
  </w:style>
  <w:style w:type="character" w:customStyle="1" w:styleId="A1">
    <w:name w:val="A1"/>
    <w:autoRedefine/>
    <w:uiPriority w:val="99"/>
    <w:qFormat/>
    <w:rPr>
      <w:rFonts w:cs="Myriad Pro"/>
      <w:color w:val="000000"/>
      <w:sz w:val="20"/>
      <w:szCs w:val="20"/>
    </w:rPr>
  </w:style>
  <w:style w:type="paragraph" w:customStyle="1" w:styleId="Default">
    <w:name w:val="Default"/>
    <w:autoRedefine/>
    <w:qFormat/>
    <w:pPr>
      <w:autoSpaceDE w:val="0"/>
      <w:autoSpaceDN w:val="0"/>
      <w:adjustRightInd w:val="0"/>
    </w:pPr>
    <w:rPr>
      <w:rFonts w:ascii="Times New Roman" w:hAnsi="Times New Roman"/>
      <w:color w:val="000000"/>
      <w:sz w:val="24"/>
      <w:szCs w:val="24"/>
      <w:lang w:eastAsia="en-US"/>
    </w:rPr>
  </w:style>
  <w:style w:type="paragraph" w:customStyle="1" w:styleId="Pa3">
    <w:name w:val="Pa3"/>
    <w:basedOn w:val="Default"/>
    <w:next w:val="Default"/>
    <w:autoRedefine/>
    <w:uiPriority w:val="99"/>
    <w:qFormat/>
    <w:pPr>
      <w:spacing w:line="201" w:lineRule="atLeast"/>
    </w:pPr>
    <w:rPr>
      <w:rFonts w:ascii="Myriad Pro" w:hAnsi="Myriad Pro"/>
      <w:color w:val="auto"/>
    </w:rPr>
  </w:style>
  <w:style w:type="character" w:customStyle="1" w:styleId="A3">
    <w:name w:val="A3"/>
    <w:autoRedefine/>
    <w:uiPriority w:val="99"/>
    <w:qFormat/>
    <w:rPr>
      <w:rFonts w:cs="Myriad Pro"/>
      <w:b/>
      <w:bCs/>
      <w:color w:val="000000"/>
      <w:sz w:val="28"/>
      <w:szCs w:val="28"/>
    </w:rPr>
  </w:style>
  <w:style w:type="character" w:customStyle="1" w:styleId="A4">
    <w:name w:val="A4"/>
    <w:autoRedefine/>
    <w:uiPriority w:val="99"/>
    <w:qFormat/>
    <w:rPr>
      <w:rFonts w:cs="Myriad Pro"/>
      <w:b/>
      <w:bCs/>
      <w:color w:val="000000"/>
    </w:rPr>
  </w:style>
  <w:style w:type="character" w:customStyle="1" w:styleId="A5">
    <w:name w:val="A5"/>
    <w:autoRedefine/>
    <w:uiPriority w:val="99"/>
    <w:qFormat/>
    <w:rPr>
      <w:rFonts w:cs="Myriad Pro"/>
      <w:b/>
      <w:bCs/>
      <w:color w:val="000000"/>
      <w:sz w:val="14"/>
      <w:szCs w:val="14"/>
    </w:rPr>
  </w:style>
  <w:style w:type="character" w:customStyle="1" w:styleId="A8">
    <w:name w:val="A8"/>
    <w:autoRedefine/>
    <w:uiPriority w:val="99"/>
    <w:qFormat/>
    <w:rPr>
      <w:rFonts w:cs="Myriad Pro"/>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sciencepub.net/researcher" TargetMode="External"/><Relationship Id="rId13" Type="http://schemas.openxmlformats.org/officeDocument/2006/relationships/footer" Target="footer2.xml"/><Relationship Id="rId18" Type="http://schemas.openxmlformats.org/officeDocument/2006/relationships/hyperlink" Target="https://health.gov.ie/wpcontent/uploads/2014/03/Food-and-Nutrition-Guidelines-for-Pre-School-Services.pd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www.childencyclopedia" TargetMode="External"/><Relationship Id="rId2" Type="http://schemas.openxmlformats.org/officeDocument/2006/relationships/numbering" Target="numbering.xml"/><Relationship Id="rId16" Type="http://schemas.openxmlformats.org/officeDocument/2006/relationships/hyperlink" Target="http://dpi.wi.gov/fns/index.html" TargetMode="External"/><Relationship Id="rId20" Type="http://schemas.openxmlformats.org/officeDocument/2006/relationships/hyperlink" Target="https://doi.org/10.1155/2022/736316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yperlink" Target="https://www.pharmicsvitamins.com" TargetMode="External"/><Relationship Id="rId4" Type="http://schemas.openxmlformats.org/officeDocument/2006/relationships/settings" Target="settings.xml"/><Relationship Id="rId9" Type="http://schemas.openxmlformats.org/officeDocument/2006/relationships/hyperlink" Target="http://www.dx.doi.org/10.7537/marsrsj160624.04" TargetMode="External"/><Relationship Id="rId14" Type="http://schemas.openxmlformats.org/officeDocument/2006/relationships/header" Target="header3.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researcher135@gmail.com" TargetMode="External"/><Relationship Id="rId1" Type="http://schemas.openxmlformats.org/officeDocument/2006/relationships/hyperlink" Target="http://www.sciencepub.net/researche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researcher135@gmail.com" TargetMode="External"/><Relationship Id="rId1" Type="http://schemas.openxmlformats.org/officeDocument/2006/relationships/hyperlink" Target="http://www.sciencepub.net/researcher"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mailto:researcher135@gmail.com" TargetMode="External"/><Relationship Id="rId1" Type="http://schemas.openxmlformats.org/officeDocument/2006/relationships/hyperlink" Target="http://www.sciencepub.net/researcher"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8</Pages>
  <Words>5156</Words>
  <Characters>29391</Characters>
  <Application>Microsoft Office Word</Application>
  <DocSecurity>0</DocSecurity>
  <Lines>244</Lines>
  <Paragraphs>68</Paragraphs>
  <ScaleCrop>false</ScaleCrop>
  <Company/>
  <LinksUpToDate>false</LinksUpToDate>
  <CharactersWithSpaces>34479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6</cp:revision>
  <dcterms:created xsi:type="dcterms:W3CDTF">2024-05-18T01:07:00Z</dcterms:created>
  <dcterms:modified xsi:type="dcterms:W3CDTF">2024-05-25T00:23:00Z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9CA761B1F5044CEEBEAB9A06F7D99A18_12</vt:lpwstr>
  </property>
</Properties>
</file>