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3F" w:rsidRPr="00D870FC" w:rsidRDefault="001D3AF9" w:rsidP="00D870FC">
      <w:pPr>
        <w:adjustRightInd w:val="0"/>
        <w:snapToGrid w:val="0"/>
        <w:spacing w:after="0" w:line="240" w:lineRule="auto"/>
        <w:jc w:val="center"/>
        <w:rPr>
          <w:rFonts w:ascii="Times New Roman" w:hAnsi="Times New Roman" w:cs="Times New Roman"/>
          <w:b/>
          <w:sz w:val="20"/>
          <w:szCs w:val="20"/>
        </w:rPr>
      </w:pPr>
      <w:r w:rsidRPr="00D870FC">
        <w:rPr>
          <w:rFonts w:ascii="Times New Roman" w:hAnsi="Times New Roman" w:cs="Times New Roman"/>
          <w:b/>
          <w:sz w:val="20"/>
          <w:szCs w:val="20"/>
        </w:rPr>
        <w:t xml:space="preserve">Groundwater Quality Assessment Of Some Selected Boreholes In </w:t>
      </w:r>
      <w:proofErr w:type="spellStart"/>
      <w:r w:rsidRPr="00D870FC">
        <w:rPr>
          <w:rFonts w:ascii="Times New Roman" w:hAnsi="Times New Roman" w:cs="Times New Roman"/>
          <w:b/>
          <w:sz w:val="20"/>
          <w:szCs w:val="20"/>
        </w:rPr>
        <w:t>Calabar</w:t>
      </w:r>
      <w:proofErr w:type="spellEnd"/>
    </w:p>
    <w:p w:rsidR="006B7D3F" w:rsidRPr="00D870FC" w:rsidRDefault="006B7D3F" w:rsidP="00D870FC">
      <w:pPr>
        <w:adjustRightInd w:val="0"/>
        <w:snapToGrid w:val="0"/>
        <w:spacing w:after="0" w:line="240" w:lineRule="auto"/>
        <w:jc w:val="center"/>
        <w:rPr>
          <w:rFonts w:ascii="Times New Roman" w:hAnsi="Times New Roman" w:cs="Times New Roman"/>
          <w:sz w:val="20"/>
          <w:szCs w:val="20"/>
        </w:rPr>
      </w:pPr>
    </w:p>
    <w:p w:rsidR="003545AD" w:rsidRPr="00D870FC" w:rsidRDefault="00701A83" w:rsidP="00D870FC">
      <w:pPr>
        <w:adjustRightInd w:val="0"/>
        <w:snapToGrid w:val="0"/>
        <w:spacing w:after="0" w:line="240" w:lineRule="auto"/>
        <w:jc w:val="center"/>
        <w:rPr>
          <w:rFonts w:ascii="Times New Roman" w:hAnsi="Times New Roman" w:cs="Times New Roman"/>
          <w:sz w:val="20"/>
          <w:szCs w:val="20"/>
        </w:rPr>
      </w:pPr>
      <w:r w:rsidRPr="00D870FC">
        <w:rPr>
          <w:rFonts w:ascii="Times New Roman" w:hAnsi="Times New Roman" w:cs="Times New Roman"/>
          <w:sz w:val="20"/>
          <w:szCs w:val="20"/>
          <w:vertAlign w:val="superscript"/>
        </w:rPr>
        <w:t>1</w:t>
      </w:r>
      <w:r w:rsidRPr="00D870FC">
        <w:rPr>
          <w:rFonts w:ascii="Times New Roman" w:hAnsi="Times New Roman" w:cs="Times New Roman"/>
          <w:sz w:val="20"/>
          <w:szCs w:val="20"/>
        </w:rPr>
        <w:t xml:space="preserve">Agbor R.B., </w:t>
      </w:r>
      <w:r w:rsidR="006B7D3F" w:rsidRPr="00D870FC">
        <w:rPr>
          <w:rFonts w:ascii="Times New Roman" w:hAnsi="Times New Roman" w:cs="Times New Roman"/>
          <w:sz w:val="20"/>
          <w:szCs w:val="20"/>
          <w:vertAlign w:val="superscript"/>
        </w:rPr>
        <w:t>1</w:t>
      </w:r>
      <w:r w:rsidR="006B7D3F" w:rsidRPr="00D870FC">
        <w:rPr>
          <w:rFonts w:ascii="Times New Roman" w:hAnsi="Times New Roman" w:cs="Times New Roman"/>
          <w:sz w:val="20"/>
          <w:szCs w:val="20"/>
        </w:rPr>
        <w:t xml:space="preserve">Ekpo I.A., </w:t>
      </w:r>
      <w:r w:rsidR="00223BB8" w:rsidRPr="00D870FC">
        <w:rPr>
          <w:rFonts w:ascii="Times New Roman" w:hAnsi="Times New Roman" w:cs="Times New Roman"/>
          <w:sz w:val="20"/>
          <w:szCs w:val="20"/>
          <w:vertAlign w:val="superscript"/>
        </w:rPr>
        <w:t>1</w:t>
      </w:r>
      <w:r w:rsidR="00223BB8" w:rsidRPr="00D870FC">
        <w:rPr>
          <w:rFonts w:ascii="Times New Roman" w:hAnsi="Times New Roman" w:cs="Times New Roman"/>
          <w:sz w:val="20"/>
          <w:szCs w:val="20"/>
        </w:rPr>
        <w:t xml:space="preserve">Ekaluo U.B., </w:t>
      </w:r>
      <w:r w:rsidR="00223BB8" w:rsidRPr="00D870FC">
        <w:rPr>
          <w:rFonts w:ascii="Times New Roman" w:hAnsi="Times New Roman" w:cs="Times New Roman"/>
          <w:sz w:val="20"/>
          <w:szCs w:val="20"/>
          <w:vertAlign w:val="superscript"/>
        </w:rPr>
        <w:t>1</w:t>
      </w:r>
      <w:r w:rsidR="00223BB8" w:rsidRPr="00D870FC">
        <w:rPr>
          <w:rFonts w:ascii="Times New Roman" w:hAnsi="Times New Roman" w:cs="Times New Roman"/>
          <w:sz w:val="20"/>
          <w:szCs w:val="20"/>
        </w:rPr>
        <w:t xml:space="preserve">Okpako E.C., </w:t>
      </w:r>
      <w:r w:rsidR="00223BB8" w:rsidRPr="00D870FC">
        <w:rPr>
          <w:rFonts w:ascii="Times New Roman" w:hAnsi="Times New Roman" w:cs="Times New Roman"/>
          <w:sz w:val="20"/>
          <w:szCs w:val="20"/>
          <w:vertAlign w:val="superscript"/>
        </w:rPr>
        <w:t>1</w:t>
      </w:r>
      <w:r w:rsidR="004A4F20" w:rsidRPr="00D870FC">
        <w:rPr>
          <w:rFonts w:ascii="Times New Roman" w:hAnsi="Times New Roman" w:cs="Times New Roman"/>
          <w:sz w:val="20"/>
          <w:szCs w:val="20"/>
        </w:rPr>
        <w:t>Okigbo A</w:t>
      </w:r>
      <w:r w:rsidR="00223BB8" w:rsidRPr="00D870FC">
        <w:rPr>
          <w:rFonts w:ascii="Times New Roman" w:hAnsi="Times New Roman" w:cs="Times New Roman"/>
          <w:sz w:val="20"/>
          <w:szCs w:val="20"/>
        </w:rPr>
        <w:t xml:space="preserve">.U., </w:t>
      </w:r>
      <w:r w:rsidR="00223BB8" w:rsidRPr="00D870FC">
        <w:rPr>
          <w:rFonts w:ascii="Times New Roman" w:hAnsi="Times New Roman" w:cs="Times New Roman"/>
          <w:sz w:val="20"/>
          <w:szCs w:val="20"/>
          <w:vertAlign w:val="superscript"/>
        </w:rPr>
        <w:t>2</w:t>
      </w:r>
      <w:r w:rsidR="00223BB8" w:rsidRPr="00D870FC">
        <w:rPr>
          <w:rFonts w:ascii="Times New Roman" w:hAnsi="Times New Roman" w:cs="Times New Roman"/>
          <w:sz w:val="20"/>
          <w:szCs w:val="20"/>
        </w:rPr>
        <w:t>Osang J.E</w:t>
      </w:r>
      <w:r w:rsidR="00614B89" w:rsidRPr="00D870FC">
        <w:rPr>
          <w:rFonts w:ascii="Times New Roman" w:hAnsi="Times New Roman" w:cs="Times New Roman"/>
          <w:sz w:val="20"/>
          <w:szCs w:val="20"/>
        </w:rPr>
        <w:t xml:space="preserve">., </w:t>
      </w:r>
      <w:r w:rsidR="00614B89" w:rsidRPr="00D870FC">
        <w:rPr>
          <w:rFonts w:ascii="Times New Roman" w:hAnsi="Times New Roman" w:cs="Times New Roman"/>
          <w:sz w:val="20"/>
          <w:szCs w:val="20"/>
          <w:vertAlign w:val="superscript"/>
        </w:rPr>
        <w:t>1</w:t>
      </w:r>
      <w:r w:rsidR="00614B89" w:rsidRPr="00D870FC">
        <w:rPr>
          <w:rFonts w:ascii="Times New Roman" w:hAnsi="Times New Roman" w:cs="Times New Roman"/>
          <w:sz w:val="20"/>
          <w:szCs w:val="20"/>
        </w:rPr>
        <w:t>Kalu S.E</w:t>
      </w:r>
    </w:p>
    <w:p w:rsidR="006B7D3F" w:rsidRPr="00D870FC" w:rsidRDefault="006B7D3F" w:rsidP="00D870FC">
      <w:pPr>
        <w:adjustRightInd w:val="0"/>
        <w:snapToGrid w:val="0"/>
        <w:spacing w:after="0" w:line="240" w:lineRule="auto"/>
        <w:jc w:val="center"/>
        <w:rPr>
          <w:rFonts w:ascii="Times New Roman" w:hAnsi="Times New Roman" w:cs="Times New Roman"/>
          <w:sz w:val="20"/>
          <w:szCs w:val="20"/>
        </w:rPr>
      </w:pPr>
    </w:p>
    <w:p w:rsidR="006B7D3F" w:rsidRPr="00D870FC" w:rsidRDefault="00FB324B" w:rsidP="00D870FC">
      <w:pPr>
        <w:adjustRightInd w:val="0"/>
        <w:snapToGrid w:val="0"/>
        <w:spacing w:after="0" w:line="240" w:lineRule="auto"/>
        <w:jc w:val="center"/>
        <w:rPr>
          <w:rFonts w:ascii="Times New Roman" w:hAnsi="Times New Roman" w:cs="Times New Roman"/>
          <w:sz w:val="20"/>
          <w:szCs w:val="20"/>
        </w:rPr>
      </w:pPr>
      <w:r w:rsidRPr="00D870FC">
        <w:rPr>
          <w:rFonts w:ascii="Times New Roman" w:hAnsi="Times New Roman" w:cs="Times New Roman"/>
          <w:sz w:val="20"/>
          <w:szCs w:val="20"/>
          <w:vertAlign w:val="superscript"/>
        </w:rPr>
        <w:t>1</w:t>
      </w:r>
      <w:r w:rsidR="00CD481D" w:rsidRPr="00D870FC">
        <w:rPr>
          <w:rFonts w:ascii="Times New Roman" w:hAnsi="Times New Roman" w:cs="Times New Roman"/>
          <w:sz w:val="20"/>
          <w:szCs w:val="20"/>
        </w:rPr>
        <w:t xml:space="preserve">Department of Genetics </w:t>
      </w:r>
      <w:r w:rsidR="003125A1" w:rsidRPr="00D870FC">
        <w:rPr>
          <w:rFonts w:ascii="Times New Roman" w:hAnsi="Times New Roman" w:cs="Times New Roman"/>
          <w:sz w:val="20"/>
          <w:szCs w:val="20"/>
        </w:rPr>
        <w:t xml:space="preserve">&amp; Biotechnology, University of </w:t>
      </w:r>
      <w:proofErr w:type="spellStart"/>
      <w:r w:rsidR="003125A1" w:rsidRPr="00D870FC">
        <w:rPr>
          <w:rFonts w:ascii="Times New Roman" w:hAnsi="Times New Roman" w:cs="Times New Roman"/>
          <w:sz w:val="20"/>
          <w:szCs w:val="20"/>
        </w:rPr>
        <w:t>Calabar</w:t>
      </w:r>
      <w:proofErr w:type="spellEnd"/>
      <w:r w:rsidR="003125A1" w:rsidRPr="00D870FC">
        <w:rPr>
          <w:rFonts w:ascii="Times New Roman" w:hAnsi="Times New Roman" w:cs="Times New Roman"/>
          <w:sz w:val="20"/>
          <w:szCs w:val="20"/>
        </w:rPr>
        <w:t>,</w:t>
      </w:r>
      <w:r w:rsidR="006B7D3F" w:rsidRPr="00D870FC">
        <w:rPr>
          <w:rFonts w:ascii="Times New Roman" w:hAnsi="Times New Roman" w:cs="Times New Roman"/>
          <w:sz w:val="20"/>
          <w:szCs w:val="20"/>
        </w:rPr>
        <w:t xml:space="preserve"> PMB 1115,</w:t>
      </w:r>
      <w:r w:rsidR="003125A1" w:rsidRPr="00D870FC">
        <w:rPr>
          <w:rFonts w:ascii="Times New Roman" w:hAnsi="Times New Roman" w:cs="Times New Roman"/>
          <w:sz w:val="20"/>
          <w:szCs w:val="20"/>
        </w:rPr>
        <w:t xml:space="preserve"> </w:t>
      </w:r>
      <w:proofErr w:type="spellStart"/>
      <w:r w:rsidR="003125A1" w:rsidRPr="00D870FC">
        <w:rPr>
          <w:rFonts w:ascii="Times New Roman" w:hAnsi="Times New Roman" w:cs="Times New Roman"/>
          <w:sz w:val="20"/>
          <w:szCs w:val="20"/>
        </w:rPr>
        <w:t>Calabar</w:t>
      </w:r>
      <w:proofErr w:type="spellEnd"/>
      <w:r w:rsidR="006B7D3F" w:rsidRPr="00D870FC">
        <w:rPr>
          <w:rFonts w:ascii="Times New Roman" w:hAnsi="Times New Roman" w:cs="Times New Roman"/>
          <w:sz w:val="20"/>
          <w:szCs w:val="20"/>
        </w:rPr>
        <w:t>, Nigeria</w:t>
      </w:r>
    </w:p>
    <w:p w:rsidR="00223BB8" w:rsidRPr="00D870FC" w:rsidRDefault="00FB324B" w:rsidP="00D870FC">
      <w:pPr>
        <w:adjustRightInd w:val="0"/>
        <w:snapToGrid w:val="0"/>
        <w:spacing w:after="0" w:line="240" w:lineRule="auto"/>
        <w:jc w:val="center"/>
        <w:rPr>
          <w:rFonts w:ascii="Times New Roman" w:hAnsi="Times New Roman" w:cs="Times New Roman"/>
          <w:sz w:val="20"/>
          <w:szCs w:val="20"/>
        </w:rPr>
      </w:pPr>
      <w:r w:rsidRPr="00D870FC">
        <w:rPr>
          <w:rFonts w:ascii="Times New Roman" w:hAnsi="Times New Roman" w:cs="Times New Roman"/>
          <w:sz w:val="20"/>
          <w:szCs w:val="20"/>
          <w:vertAlign w:val="superscript"/>
        </w:rPr>
        <w:t>2</w:t>
      </w:r>
      <w:r w:rsidR="00223BB8" w:rsidRPr="00D870FC">
        <w:rPr>
          <w:rFonts w:ascii="Times New Roman" w:hAnsi="Times New Roman" w:cs="Times New Roman"/>
          <w:sz w:val="20"/>
          <w:szCs w:val="20"/>
        </w:rPr>
        <w:t>Departmnet</w:t>
      </w:r>
      <w:r w:rsidR="00614B89" w:rsidRPr="00D870FC">
        <w:rPr>
          <w:rFonts w:ascii="Times New Roman" w:hAnsi="Times New Roman" w:cs="Times New Roman"/>
          <w:sz w:val="20"/>
          <w:szCs w:val="20"/>
        </w:rPr>
        <w:t xml:space="preserve"> of Physics, Cross River State U</w:t>
      </w:r>
      <w:r w:rsidR="00223BB8" w:rsidRPr="00D870FC">
        <w:rPr>
          <w:rFonts w:ascii="Times New Roman" w:hAnsi="Times New Roman" w:cs="Times New Roman"/>
          <w:sz w:val="20"/>
          <w:szCs w:val="20"/>
        </w:rPr>
        <w:t xml:space="preserve">niversity of Technology, </w:t>
      </w:r>
      <w:proofErr w:type="spellStart"/>
      <w:r w:rsidR="00223BB8" w:rsidRPr="00D870FC">
        <w:rPr>
          <w:rFonts w:ascii="Times New Roman" w:hAnsi="Times New Roman" w:cs="Times New Roman"/>
          <w:sz w:val="20"/>
          <w:szCs w:val="20"/>
        </w:rPr>
        <w:t>Calabar</w:t>
      </w:r>
      <w:proofErr w:type="spellEnd"/>
      <w:r w:rsidR="00223BB8" w:rsidRPr="00D870FC">
        <w:rPr>
          <w:rFonts w:ascii="Times New Roman" w:hAnsi="Times New Roman" w:cs="Times New Roman"/>
          <w:sz w:val="20"/>
          <w:szCs w:val="20"/>
        </w:rPr>
        <w:t>, Nigeria</w:t>
      </w:r>
    </w:p>
    <w:p w:rsidR="00134747" w:rsidRPr="00D870FC" w:rsidRDefault="00134747" w:rsidP="00D870FC">
      <w:pPr>
        <w:adjustRightInd w:val="0"/>
        <w:snapToGrid w:val="0"/>
        <w:spacing w:after="0" w:line="240" w:lineRule="auto"/>
        <w:jc w:val="center"/>
        <w:rPr>
          <w:rFonts w:ascii="Times New Roman" w:hAnsi="Times New Roman" w:cs="Times New Roman"/>
          <w:sz w:val="20"/>
          <w:szCs w:val="20"/>
        </w:rPr>
      </w:pPr>
      <w:r w:rsidRPr="00D870FC">
        <w:rPr>
          <w:rFonts w:ascii="Times New Roman" w:hAnsi="Times New Roman" w:cs="Times New Roman"/>
          <w:sz w:val="20"/>
          <w:szCs w:val="20"/>
        </w:rPr>
        <w:t xml:space="preserve">E-mail: </w:t>
      </w:r>
      <w:hyperlink r:id="rId7" w:history="1">
        <w:r w:rsidRPr="00D870FC">
          <w:rPr>
            <w:rStyle w:val="Hyperlink"/>
            <w:rFonts w:ascii="Times New Roman" w:hAnsi="Times New Roman" w:cs="Times New Roman"/>
            <w:sz w:val="20"/>
            <w:szCs w:val="20"/>
          </w:rPr>
          <w:t>agborreagan@yahoo.com</w:t>
        </w:r>
      </w:hyperlink>
      <w:r w:rsidR="00436514" w:rsidRPr="00D870FC">
        <w:rPr>
          <w:rFonts w:ascii="Times New Roman" w:hAnsi="Times New Roman" w:cs="Times New Roman"/>
          <w:sz w:val="20"/>
          <w:szCs w:val="20"/>
        </w:rPr>
        <w:t>.</w:t>
      </w:r>
      <w:r w:rsidRPr="00D870FC">
        <w:rPr>
          <w:rFonts w:ascii="Times New Roman" w:hAnsi="Times New Roman" w:cs="Times New Roman"/>
          <w:sz w:val="20"/>
          <w:szCs w:val="20"/>
        </w:rPr>
        <w:t xml:space="preserve"> Phone No: 08063430125</w:t>
      </w:r>
    </w:p>
    <w:p w:rsidR="001D3AF9" w:rsidRPr="00D870FC" w:rsidRDefault="001D3AF9" w:rsidP="00D870FC">
      <w:pPr>
        <w:adjustRightInd w:val="0"/>
        <w:snapToGrid w:val="0"/>
        <w:spacing w:after="0" w:line="240" w:lineRule="auto"/>
        <w:rPr>
          <w:rFonts w:ascii="Times New Roman" w:hAnsi="Times New Roman" w:cs="Times New Roman"/>
          <w:sz w:val="20"/>
          <w:szCs w:val="20"/>
        </w:rPr>
      </w:pPr>
    </w:p>
    <w:p w:rsidR="002F5A86" w:rsidRPr="00D870FC" w:rsidRDefault="001D3AF9" w:rsidP="00D870FC">
      <w:pPr>
        <w:tabs>
          <w:tab w:val="left" w:pos="1350"/>
        </w:tabs>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b/>
          <w:sz w:val="20"/>
          <w:szCs w:val="20"/>
        </w:rPr>
        <w:t xml:space="preserve">Abstract: </w:t>
      </w:r>
      <w:r w:rsidR="00223BB8" w:rsidRPr="00D870FC">
        <w:rPr>
          <w:rFonts w:ascii="Times New Roman" w:hAnsi="Times New Roman" w:cs="Times New Roman"/>
          <w:sz w:val="20"/>
          <w:szCs w:val="20"/>
        </w:rPr>
        <w:t>Groundwater quality assessment of some selected boreholes was carried out. Nine boreholes water samples were collec</w:t>
      </w:r>
      <w:r w:rsidR="002F5A86" w:rsidRPr="00D870FC">
        <w:rPr>
          <w:rFonts w:ascii="Times New Roman" w:hAnsi="Times New Roman" w:cs="Times New Roman"/>
          <w:sz w:val="20"/>
          <w:szCs w:val="20"/>
        </w:rPr>
        <w:t xml:space="preserve">ted from three different </w:t>
      </w:r>
      <w:r w:rsidR="00223BB8" w:rsidRPr="00D870FC">
        <w:rPr>
          <w:rFonts w:ascii="Times New Roman" w:hAnsi="Times New Roman" w:cs="Times New Roman"/>
          <w:sz w:val="20"/>
          <w:szCs w:val="20"/>
        </w:rPr>
        <w:t>locations</w:t>
      </w:r>
      <w:r w:rsidR="006E248E" w:rsidRPr="00D870FC">
        <w:rPr>
          <w:rFonts w:ascii="Times New Roman" w:hAnsi="Times New Roman" w:cs="Times New Roman"/>
          <w:sz w:val="20"/>
          <w:szCs w:val="20"/>
        </w:rPr>
        <w:t xml:space="preserve"> </w:t>
      </w:r>
      <w:r w:rsidR="006B7D3F" w:rsidRPr="00D870FC">
        <w:rPr>
          <w:rFonts w:ascii="Times New Roman" w:hAnsi="Times New Roman" w:cs="Times New Roman"/>
          <w:sz w:val="20"/>
          <w:szCs w:val="20"/>
        </w:rPr>
        <w:t>(</w:t>
      </w:r>
      <w:proofErr w:type="spellStart"/>
      <w:r w:rsidR="006E248E" w:rsidRPr="00D870FC">
        <w:rPr>
          <w:rFonts w:ascii="Times New Roman" w:hAnsi="Times New Roman" w:cs="Times New Roman"/>
          <w:sz w:val="20"/>
          <w:szCs w:val="20"/>
        </w:rPr>
        <w:t>Orok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Okoro</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Agbor</w:t>
      </w:r>
      <w:proofErr w:type="spellEnd"/>
      <w:r w:rsidR="006E248E" w:rsidRPr="00D870FC">
        <w:rPr>
          <w:rFonts w:ascii="Times New Roman" w:hAnsi="Times New Roman" w:cs="Times New Roman"/>
          <w:sz w:val="20"/>
          <w:szCs w:val="20"/>
        </w:rPr>
        <w:t xml:space="preserve"> and Mount Z</w:t>
      </w:r>
      <w:r w:rsidR="002F5A86" w:rsidRPr="00D870FC">
        <w:rPr>
          <w:rFonts w:ascii="Times New Roman" w:hAnsi="Times New Roman" w:cs="Times New Roman"/>
          <w:sz w:val="20"/>
          <w:szCs w:val="20"/>
        </w:rPr>
        <w:t>ion</w:t>
      </w:r>
      <w:r w:rsidR="006B7D3F" w:rsidRPr="00D870FC">
        <w:rPr>
          <w:rFonts w:ascii="Times New Roman" w:hAnsi="Times New Roman" w:cs="Times New Roman"/>
          <w:sz w:val="20"/>
          <w:szCs w:val="20"/>
        </w:rPr>
        <w:t>)</w:t>
      </w:r>
      <w:r w:rsidR="002F5A86" w:rsidRPr="00D870FC">
        <w:rPr>
          <w:rFonts w:ascii="Times New Roman" w:hAnsi="Times New Roman" w:cs="Times New Roman"/>
          <w:sz w:val="20"/>
          <w:szCs w:val="20"/>
        </w:rPr>
        <w:t xml:space="preserve">. </w:t>
      </w:r>
      <w:r w:rsidR="00416FEF" w:rsidRPr="00D870FC">
        <w:rPr>
          <w:rFonts w:ascii="Times New Roman" w:hAnsi="Times New Roman" w:cs="Times New Roman"/>
          <w:sz w:val="20"/>
          <w:szCs w:val="20"/>
        </w:rPr>
        <w:t>Water s</w:t>
      </w:r>
      <w:r w:rsidR="002F5A86" w:rsidRPr="00D870FC">
        <w:rPr>
          <w:rFonts w:ascii="Times New Roman" w:hAnsi="Times New Roman" w:cs="Times New Roman"/>
          <w:sz w:val="20"/>
          <w:szCs w:val="20"/>
        </w:rPr>
        <w:t>amples collected were taken to the laboratory</w:t>
      </w:r>
      <w:r w:rsidR="00416FEF" w:rsidRPr="00D870FC">
        <w:rPr>
          <w:rFonts w:ascii="Times New Roman" w:hAnsi="Times New Roman" w:cs="Times New Roman"/>
          <w:sz w:val="20"/>
          <w:szCs w:val="20"/>
        </w:rPr>
        <w:t xml:space="preserve"> and analyzed using standard la</w:t>
      </w:r>
      <w:r w:rsidR="002F5A86" w:rsidRPr="00D870FC">
        <w:rPr>
          <w:rFonts w:ascii="Times New Roman" w:hAnsi="Times New Roman" w:cs="Times New Roman"/>
          <w:sz w:val="20"/>
          <w:szCs w:val="20"/>
        </w:rPr>
        <w:t>boratory procedures. The result obtained showed that significant difference (p&lt;0.05) exist in the Physicochemical properties and heavy metal content of the borehole water sample</w:t>
      </w:r>
      <w:r w:rsidR="00416FEF" w:rsidRPr="00D870FC">
        <w:rPr>
          <w:rFonts w:ascii="Times New Roman" w:hAnsi="Times New Roman" w:cs="Times New Roman"/>
          <w:sz w:val="20"/>
          <w:szCs w:val="20"/>
        </w:rPr>
        <w:t>s</w:t>
      </w:r>
      <w:r w:rsidR="002F5A86" w:rsidRPr="00D870FC">
        <w:rPr>
          <w:rFonts w:ascii="Times New Roman" w:hAnsi="Times New Roman" w:cs="Times New Roman"/>
          <w:sz w:val="20"/>
          <w:szCs w:val="20"/>
        </w:rPr>
        <w:t xml:space="preserve"> in the three sample locations but the mean values were significantly lower </w:t>
      </w:r>
      <w:r w:rsidR="00416FEF" w:rsidRPr="00D870FC">
        <w:rPr>
          <w:rFonts w:ascii="Times New Roman" w:hAnsi="Times New Roman" w:cs="Times New Roman"/>
          <w:sz w:val="20"/>
          <w:szCs w:val="20"/>
        </w:rPr>
        <w:t xml:space="preserve">than </w:t>
      </w:r>
      <w:r w:rsidR="002F5A86" w:rsidRPr="00D870FC">
        <w:rPr>
          <w:rFonts w:ascii="Times New Roman" w:hAnsi="Times New Roman" w:cs="Times New Roman"/>
          <w:sz w:val="20"/>
          <w:szCs w:val="20"/>
        </w:rPr>
        <w:t xml:space="preserve">the WHO standard for drinking water. It can therefore be concluded that water samples from these boreholes are suitable for human consumption. </w:t>
      </w:r>
    </w:p>
    <w:p w:rsidR="001D3AF9" w:rsidRPr="00D870FC" w:rsidRDefault="001D3AF9" w:rsidP="00D870FC">
      <w:pPr>
        <w:tabs>
          <w:tab w:val="left" w:pos="1350"/>
        </w:tabs>
        <w:adjustRightInd w:val="0"/>
        <w:snapToGrid w:val="0"/>
        <w:spacing w:after="0" w:line="240" w:lineRule="auto"/>
        <w:jc w:val="both"/>
        <w:rPr>
          <w:rFonts w:ascii="Times New Roman" w:hAnsi="Times New Roman"/>
          <w:color w:val="000000"/>
          <w:sz w:val="20"/>
          <w:szCs w:val="20"/>
        </w:rPr>
      </w:pPr>
      <w:r w:rsidRPr="00D870FC">
        <w:rPr>
          <w:rFonts w:ascii="Times New Roman" w:hAnsi="Times New Roman" w:cs="Times New Roman"/>
          <w:sz w:val="20"/>
          <w:szCs w:val="20"/>
        </w:rPr>
        <w:t>[</w:t>
      </w:r>
      <w:proofErr w:type="spellStart"/>
      <w:r w:rsidRPr="00D870FC">
        <w:rPr>
          <w:rFonts w:ascii="Times New Roman" w:hAnsi="Times New Roman" w:cs="Times New Roman"/>
          <w:sz w:val="20"/>
          <w:szCs w:val="20"/>
        </w:rPr>
        <w:t>Agbor</w:t>
      </w:r>
      <w:proofErr w:type="spellEnd"/>
      <w:r w:rsidRPr="00D870FC">
        <w:rPr>
          <w:rFonts w:ascii="Times New Roman" w:hAnsi="Times New Roman" w:cs="Times New Roman"/>
          <w:sz w:val="20"/>
          <w:szCs w:val="20"/>
        </w:rPr>
        <w:t xml:space="preserve"> R.B., </w:t>
      </w:r>
      <w:proofErr w:type="spellStart"/>
      <w:r w:rsidRPr="00D870FC">
        <w:rPr>
          <w:rFonts w:ascii="Times New Roman" w:hAnsi="Times New Roman" w:cs="Times New Roman"/>
          <w:sz w:val="20"/>
          <w:szCs w:val="20"/>
        </w:rPr>
        <w:t>Ekpo</w:t>
      </w:r>
      <w:proofErr w:type="spellEnd"/>
      <w:r w:rsidRPr="00D870FC">
        <w:rPr>
          <w:rFonts w:ascii="Times New Roman" w:hAnsi="Times New Roman" w:cs="Times New Roman"/>
          <w:sz w:val="20"/>
          <w:szCs w:val="20"/>
        </w:rPr>
        <w:t xml:space="preserve"> I.A., </w:t>
      </w:r>
      <w:proofErr w:type="spellStart"/>
      <w:r w:rsidRPr="00D870FC">
        <w:rPr>
          <w:rFonts w:ascii="Times New Roman" w:hAnsi="Times New Roman" w:cs="Times New Roman"/>
          <w:sz w:val="20"/>
          <w:szCs w:val="20"/>
        </w:rPr>
        <w:t>Ekaluo</w:t>
      </w:r>
      <w:proofErr w:type="spellEnd"/>
      <w:r w:rsidRPr="00D870FC">
        <w:rPr>
          <w:rFonts w:ascii="Times New Roman" w:hAnsi="Times New Roman" w:cs="Times New Roman"/>
          <w:sz w:val="20"/>
          <w:szCs w:val="20"/>
        </w:rPr>
        <w:t xml:space="preserve"> U.B., </w:t>
      </w:r>
      <w:proofErr w:type="spellStart"/>
      <w:r w:rsidRPr="00D870FC">
        <w:rPr>
          <w:rFonts w:ascii="Times New Roman" w:hAnsi="Times New Roman" w:cs="Times New Roman"/>
          <w:sz w:val="20"/>
          <w:szCs w:val="20"/>
        </w:rPr>
        <w:t>Okpako</w:t>
      </w:r>
      <w:proofErr w:type="spellEnd"/>
      <w:r w:rsidRPr="00D870FC">
        <w:rPr>
          <w:rFonts w:ascii="Times New Roman" w:hAnsi="Times New Roman" w:cs="Times New Roman"/>
          <w:sz w:val="20"/>
          <w:szCs w:val="20"/>
        </w:rPr>
        <w:t xml:space="preserve"> E.C., </w:t>
      </w:r>
      <w:proofErr w:type="spellStart"/>
      <w:r w:rsidRPr="00D870FC">
        <w:rPr>
          <w:rFonts w:ascii="Times New Roman" w:hAnsi="Times New Roman" w:cs="Times New Roman"/>
          <w:sz w:val="20"/>
          <w:szCs w:val="20"/>
        </w:rPr>
        <w:t>Okigbo</w:t>
      </w:r>
      <w:proofErr w:type="spellEnd"/>
      <w:r w:rsidRPr="00D870FC">
        <w:rPr>
          <w:rFonts w:ascii="Times New Roman" w:hAnsi="Times New Roman" w:cs="Times New Roman"/>
          <w:sz w:val="20"/>
          <w:szCs w:val="20"/>
        </w:rPr>
        <w:t xml:space="preserve"> A.U., </w:t>
      </w:r>
      <w:proofErr w:type="spellStart"/>
      <w:r w:rsidRPr="00D870FC">
        <w:rPr>
          <w:rFonts w:ascii="Times New Roman" w:hAnsi="Times New Roman" w:cs="Times New Roman"/>
          <w:sz w:val="20"/>
          <w:szCs w:val="20"/>
        </w:rPr>
        <w:t>Osang</w:t>
      </w:r>
      <w:proofErr w:type="spellEnd"/>
      <w:r w:rsidRPr="00D870FC">
        <w:rPr>
          <w:rFonts w:ascii="Times New Roman" w:hAnsi="Times New Roman" w:cs="Times New Roman"/>
          <w:sz w:val="20"/>
          <w:szCs w:val="20"/>
        </w:rPr>
        <w:t xml:space="preserve"> J. E., </w:t>
      </w:r>
      <w:proofErr w:type="spellStart"/>
      <w:r w:rsidRPr="00D870FC">
        <w:rPr>
          <w:rFonts w:ascii="Times New Roman" w:hAnsi="Times New Roman" w:cs="Times New Roman"/>
          <w:sz w:val="20"/>
          <w:szCs w:val="20"/>
        </w:rPr>
        <w:t>Kalu</w:t>
      </w:r>
      <w:proofErr w:type="spellEnd"/>
      <w:r w:rsidRPr="00D870FC">
        <w:rPr>
          <w:rFonts w:ascii="Times New Roman" w:hAnsi="Times New Roman" w:cs="Times New Roman"/>
          <w:sz w:val="20"/>
          <w:szCs w:val="20"/>
        </w:rPr>
        <w:t xml:space="preserve"> S. E.</w:t>
      </w:r>
      <w:r w:rsidRPr="00D870FC">
        <w:rPr>
          <w:rFonts w:ascii="Times New Roman" w:hAnsi="Times New Roman" w:cs="Times New Roman"/>
          <w:b/>
          <w:sz w:val="20"/>
          <w:szCs w:val="20"/>
        </w:rPr>
        <w:t xml:space="preserve"> Groundwater Quality Assessment Of Some Selected Boreholes In </w:t>
      </w:r>
      <w:proofErr w:type="spellStart"/>
      <w:r w:rsidRPr="00D870FC">
        <w:rPr>
          <w:rFonts w:ascii="Times New Roman" w:hAnsi="Times New Roman" w:cs="Times New Roman"/>
          <w:b/>
          <w:sz w:val="20"/>
          <w:szCs w:val="20"/>
        </w:rPr>
        <w:t>Calabar</w:t>
      </w:r>
      <w:proofErr w:type="spellEnd"/>
      <w:r w:rsidRPr="00D870FC">
        <w:rPr>
          <w:rFonts w:ascii="Times New Roman" w:hAnsi="Times New Roman" w:cs="Times New Roman"/>
          <w:b/>
          <w:sz w:val="20"/>
          <w:szCs w:val="20"/>
        </w:rPr>
        <w:t>.</w:t>
      </w:r>
      <w:r w:rsidRPr="00D870FC">
        <w:rPr>
          <w:rFonts w:ascii="Times New Roman" w:eastAsia="Times New Roman" w:hAnsi="Times New Roman"/>
          <w:bCs/>
          <w:i/>
          <w:sz w:val="20"/>
          <w:szCs w:val="20"/>
        </w:rPr>
        <w:t xml:space="preserve"> World Rural </w:t>
      </w:r>
      <w:proofErr w:type="spellStart"/>
      <w:r w:rsidRPr="00D870FC">
        <w:rPr>
          <w:rFonts w:ascii="Times New Roman" w:eastAsia="Times New Roman" w:hAnsi="Times New Roman"/>
          <w:bCs/>
          <w:i/>
          <w:sz w:val="20"/>
          <w:szCs w:val="20"/>
        </w:rPr>
        <w:t>Observ</w:t>
      </w:r>
      <w:proofErr w:type="spellEnd"/>
      <w:r w:rsidRPr="00D870FC">
        <w:rPr>
          <w:rFonts w:ascii="Times New Roman" w:eastAsia="Times New Roman" w:hAnsi="Times New Roman"/>
          <w:bCs/>
          <w:sz w:val="20"/>
          <w:szCs w:val="20"/>
        </w:rPr>
        <w:t xml:space="preserve"> </w:t>
      </w:r>
      <w:r w:rsidRPr="00D870FC">
        <w:rPr>
          <w:rFonts w:ascii="Times New Roman" w:hAnsi="Times New Roman"/>
          <w:sz w:val="20"/>
          <w:szCs w:val="20"/>
        </w:rPr>
        <w:t>201</w:t>
      </w:r>
      <w:r w:rsidRPr="00D870FC">
        <w:rPr>
          <w:rFonts w:ascii="Times New Roman" w:hAnsi="Times New Roman"/>
          <w:sz w:val="20"/>
          <w:szCs w:val="20"/>
          <w:lang w:eastAsia="zh-CN"/>
        </w:rPr>
        <w:t>3</w:t>
      </w:r>
      <w:r w:rsidRPr="00D870FC">
        <w:rPr>
          <w:rFonts w:ascii="Times New Roman" w:hAnsi="Times New Roman"/>
          <w:sz w:val="20"/>
          <w:szCs w:val="20"/>
        </w:rPr>
        <w:t>;</w:t>
      </w:r>
      <w:r w:rsidRPr="00D870FC">
        <w:rPr>
          <w:rFonts w:ascii="Times New Roman" w:hAnsi="Times New Roman"/>
          <w:sz w:val="20"/>
          <w:szCs w:val="20"/>
          <w:lang w:eastAsia="zh-CN"/>
        </w:rPr>
        <w:t>5</w:t>
      </w:r>
      <w:r w:rsidRPr="00D870FC">
        <w:rPr>
          <w:rFonts w:ascii="Times New Roman" w:hAnsi="Times New Roman"/>
          <w:sz w:val="20"/>
          <w:szCs w:val="20"/>
        </w:rPr>
        <w:t>(</w:t>
      </w:r>
      <w:r w:rsidRPr="00D870FC">
        <w:rPr>
          <w:rFonts w:ascii="Times New Roman" w:hAnsi="Times New Roman"/>
          <w:sz w:val="20"/>
          <w:szCs w:val="20"/>
          <w:lang w:eastAsia="zh-CN"/>
        </w:rPr>
        <w:t>3</w:t>
      </w:r>
      <w:r w:rsidRPr="00D870FC">
        <w:rPr>
          <w:rFonts w:ascii="Times New Roman" w:hAnsi="Times New Roman"/>
          <w:sz w:val="20"/>
          <w:szCs w:val="20"/>
        </w:rPr>
        <w:t>):</w:t>
      </w:r>
      <w:r w:rsidRPr="00D870FC">
        <w:rPr>
          <w:rFonts w:ascii="Times New Roman" w:hAnsi="Times New Roman"/>
          <w:sz w:val="20"/>
          <w:szCs w:val="20"/>
          <w:lang w:eastAsia="zh-CN"/>
        </w:rPr>
        <w:t>37</w:t>
      </w:r>
      <w:r w:rsidRPr="00D870FC">
        <w:rPr>
          <w:rFonts w:ascii="Times New Roman" w:hAnsi="Times New Roman"/>
          <w:sz w:val="20"/>
          <w:szCs w:val="20"/>
        </w:rPr>
        <w:t>-</w:t>
      </w:r>
      <w:r w:rsidR="00292E22">
        <w:rPr>
          <w:rFonts w:ascii="Times New Roman" w:hAnsi="Times New Roman"/>
          <w:sz w:val="20"/>
          <w:szCs w:val="20"/>
        </w:rPr>
        <w:t>41</w:t>
      </w:r>
      <w:r w:rsidRPr="00D870FC">
        <w:rPr>
          <w:rFonts w:ascii="Times New Roman" w:hAnsi="Times New Roman"/>
          <w:sz w:val="20"/>
          <w:szCs w:val="20"/>
        </w:rPr>
        <w:t>]</w:t>
      </w:r>
      <w:r w:rsidRPr="00D870FC">
        <w:rPr>
          <w:rFonts w:ascii="Times New Roman" w:hAnsi="Times New Roman"/>
          <w:sz w:val="20"/>
          <w:szCs w:val="20"/>
          <w:lang w:eastAsia="zh-CN"/>
        </w:rPr>
        <w:t>.</w:t>
      </w:r>
      <w:r w:rsidRPr="00D870FC">
        <w:rPr>
          <w:rFonts w:ascii="Times New Roman" w:hAnsi="Times New Roman"/>
          <w:sz w:val="20"/>
          <w:szCs w:val="20"/>
        </w:rPr>
        <w:t xml:space="preserve"> ISSN: 1944-6543 (Print); ISSN: 1944-6551 (Online). </w:t>
      </w:r>
      <w:hyperlink r:id="rId8" w:history="1">
        <w:r w:rsidRPr="00D870FC">
          <w:rPr>
            <w:rStyle w:val="Hyperlink"/>
            <w:rFonts w:ascii="Times New Roman" w:hAnsi="Times New Roman"/>
            <w:sz w:val="20"/>
            <w:szCs w:val="20"/>
          </w:rPr>
          <w:t>http://www.sciencepub.net/rural</w:t>
        </w:r>
        <w:r w:rsidRPr="003E7F64">
          <w:rPr>
            <w:rStyle w:val="Hyperlink"/>
            <w:rFonts w:ascii="Times New Roman" w:hAnsi="Times New Roman"/>
            <w:sz w:val="20"/>
            <w:szCs w:val="20"/>
            <w:u w:val="none"/>
          </w:rPr>
          <w:t>. 7</w:t>
        </w:r>
      </w:hyperlink>
    </w:p>
    <w:p w:rsidR="001D3AF9" w:rsidRPr="00D870FC" w:rsidRDefault="001D3AF9" w:rsidP="00D870FC">
      <w:pPr>
        <w:tabs>
          <w:tab w:val="left" w:pos="1350"/>
        </w:tabs>
        <w:adjustRightInd w:val="0"/>
        <w:snapToGrid w:val="0"/>
        <w:spacing w:after="0" w:line="240" w:lineRule="auto"/>
        <w:jc w:val="both"/>
        <w:rPr>
          <w:rFonts w:ascii="Times New Roman" w:hAnsi="Times New Roman" w:cs="Times New Roman"/>
          <w:sz w:val="20"/>
          <w:szCs w:val="20"/>
        </w:rPr>
      </w:pPr>
    </w:p>
    <w:p w:rsidR="003125A1" w:rsidRPr="00D870FC" w:rsidRDefault="003125A1" w:rsidP="00D870FC">
      <w:pPr>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b/>
          <w:sz w:val="20"/>
          <w:szCs w:val="20"/>
        </w:rPr>
        <w:t>Keywords:</w:t>
      </w:r>
      <w:r w:rsidR="00223BB8" w:rsidRPr="00D870FC">
        <w:rPr>
          <w:rFonts w:ascii="Times New Roman" w:hAnsi="Times New Roman" w:cs="Times New Roman"/>
          <w:sz w:val="20"/>
          <w:szCs w:val="20"/>
        </w:rPr>
        <w:t xml:space="preserve"> Groundwater, Quality, Assessment, Boreholes </w:t>
      </w:r>
    </w:p>
    <w:p w:rsidR="001D3AF9" w:rsidRPr="00D870FC" w:rsidRDefault="001D3AF9" w:rsidP="00D870FC">
      <w:pPr>
        <w:adjustRightInd w:val="0"/>
        <w:snapToGrid w:val="0"/>
        <w:spacing w:after="0" w:line="240" w:lineRule="auto"/>
        <w:rPr>
          <w:rFonts w:ascii="Times New Roman" w:hAnsi="Times New Roman" w:cs="Times New Roman"/>
          <w:b/>
          <w:sz w:val="20"/>
          <w:szCs w:val="20"/>
        </w:rPr>
      </w:pPr>
    </w:p>
    <w:p w:rsidR="00D870FC" w:rsidRDefault="00D870FC" w:rsidP="00D870FC">
      <w:pPr>
        <w:adjustRightInd w:val="0"/>
        <w:snapToGrid w:val="0"/>
        <w:spacing w:after="0" w:line="240" w:lineRule="auto"/>
        <w:rPr>
          <w:rFonts w:ascii="Times New Roman" w:hAnsi="Times New Roman" w:cs="Times New Roman"/>
          <w:b/>
          <w:sz w:val="20"/>
          <w:szCs w:val="20"/>
        </w:rPr>
        <w:sectPr w:rsidR="00D870FC" w:rsidSect="00CC3C60">
          <w:headerReference w:type="default" r:id="rId9"/>
          <w:footerReference w:type="default" r:id="rId10"/>
          <w:pgSz w:w="12240" w:h="15840" w:code="1"/>
          <w:pgMar w:top="1440" w:right="1440" w:bottom="1440" w:left="1440" w:header="720" w:footer="720" w:gutter="0"/>
          <w:pgNumType w:start="37"/>
          <w:cols w:space="720"/>
          <w:docGrid w:linePitch="360"/>
        </w:sectPr>
      </w:pPr>
    </w:p>
    <w:p w:rsidR="003545AD" w:rsidRPr="00D870FC" w:rsidRDefault="00515A1F" w:rsidP="00D870FC">
      <w:pPr>
        <w:adjustRightInd w:val="0"/>
        <w:snapToGrid w:val="0"/>
        <w:spacing w:after="0" w:line="240" w:lineRule="auto"/>
        <w:rPr>
          <w:rFonts w:ascii="Times New Roman" w:hAnsi="Times New Roman" w:cs="Times New Roman"/>
          <w:b/>
          <w:sz w:val="20"/>
          <w:szCs w:val="20"/>
        </w:rPr>
      </w:pPr>
      <w:r w:rsidRPr="00D870FC">
        <w:rPr>
          <w:rFonts w:ascii="Times New Roman" w:hAnsi="Times New Roman" w:cs="Times New Roman"/>
          <w:b/>
          <w:sz w:val="20"/>
          <w:szCs w:val="20"/>
        </w:rPr>
        <w:lastRenderedPageBreak/>
        <w:t xml:space="preserve">INTRODUCTION </w:t>
      </w:r>
    </w:p>
    <w:p w:rsidR="00436514" w:rsidRPr="00D870FC" w:rsidRDefault="00436514" w:rsidP="00D870FC">
      <w:pPr>
        <w:adjustRightInd w:val="0"/>
        <w:snapToGrid w:val="0"/>
        <w:spacing w:after="0" w:line="240" w:lineRule="auto"/>
        <w:ind w:firstLine="720"/>
        <w:jc w:val="both"/>
        <w:rPr>
          <w:rFonts w:ascii="Times New Roman" w:hAnsi="Times New Roman" w:cs="Times New Roman"/>
          <w:sz w:val="20"/>
          <w:szCs w:val="20"/>
        </w:rPr>
      </w:pPr>
      <w:r w:rsidRPr="00D870FC">
        <w:rPr>
          <w:rFonts w:ascii="Times New Roman" w:hAnsi="Times New Roman" w:cs="Times New Roman"/>
          <w:sz w:val="20"/>
          <w:szCs w:val="20"/>
        </w:rPr>
        <w:t>Groundwater is a major source of water supply in the developed and developing countries. Human activities have been known in recent times to affect the water quality through generation of hazardous wastes. Most of these wastes accumulate in the atmosphere forming atmospheric aerosol which sometime fall back as wet or dry particulate thus leaching into the underground water table and causing water impurity.</w:t>
      </w:r>
    </w:p>
    <w:p w:rsidR="003545AD" w:rsidRDefault="00D737E2" w:rsidP="00D870FC">
      <w:pPr>
        <w:adjustRightInd w:val="0"/>
        <w:snapToGrid w:val="0"/>
        <w:spacing w:after="0" w:line="240" w:lineRule="auto"/>
        <w:ind w:firstLine="720"/>
        <w:jc w:val="both"/>
        <w:rPr>
          <w:rFonts w:ascii="Times New Roman" w:hAnsi="Times New Roman" w:cs="Times New Roman"/>
          <w:sz w:val="20"/>
          <w:szCs w:val="20"/>
        </w:rPr>
      </w:pPr>
      <w:r w:rsidRPr="00D870FC">
        <w:rPr>
          <w:rFonts w:ascii="Times New Roman" w:hAnsi="Times New Roman" w:cs="Times New Roman"/>
          <w:sz w:val="20"/>
          <w:szCs w:val="20"/>
        </w:rPr>
        <w:t xml:space="preserve">The provision of quality water for human consumption is essential for sustainable development program of society. The chemical composition of groundwater is a measure of its suitability as a source of water for human consumption or for other usages like agricultural and industrial purposes. </w:t>
      </w:r>
      <w:r w:rsidR="00A64249" w:rsidRPr="00D870FC">
        <w:rPr>
          <w:rFonts w:ascii="Times New Roman" w:hAnsi="Times New Roman" w:cs="Times New Roman"/>
          <w:sz w:val="20"/>
          <w:szCs w:val="20"/>
        </w:rPr>
        <w:t>Groundwater is water found below the soil surface in a zone of saturation (</w:t>
      </w:r>
      <w:proofErr w:type="spellStart"/>
      <w:r w:rsidR="00A64249" w:rsidRPr="00D870FC">
        <w:rPr>
          <w:rFonts w:ascii="Times New Roman" w:hAnsi="Times New Roman" w:cs="Times New Roman"/>
          <w:sz w:val="20"/>
          <w:szCs w:val="20"/>
        </w:rPr>
        <w:t>Isirimah</w:t>
      </w:r>
      <w:proofErr w:type="spellEnd"/>
      <w:r w:rsidR="00A64249" w:rsidRPr="00D870FC">
        <w:rPr>
          <w:rFonts w:ascii="Times New Roman" w:hAnsi="Times New Roman" w:cs="Times New Roman"/>
          <w:sz w:val="20"/>
          <w:szCs w:val="20"/>
        </w:rPr>
        <w:t>, 2002). It becomes contaminated as a result of human activity that involves the introduction of unnatural dissolved, emulsified, immiscible or suspended materials into an aquifer. Contamination of ground water can be from household septic tanks, agriculture oil-field sources, refined petroleum product sources, centralized sewage treatment works, mining and milling sources and landfills (Dennis and Parker, 2000). The occurrence of groundwater contamination and the quality of ground water have become major issues since numerous hazardous waste sites were discovered in t</w:t>
      </w:r>
      <w:r w:rsidR="00C73306" w:rsidRPr="00D870FC">
        <w:rPr>
          <w:rFonts w:ascii="Times New Roman" w:hAnsi="Times New Roman" w:cs="Times New Roman"/>
          <w:sz w:val="20"/>
          <w:szCs w:val="20"/>
        </w:rPr>
        <w:t xml:space="preserve">he seventies (Chows et al. </w:t>
      </w:r>
      <w:r w:rsidR="00A64249" w:rsidRPr="00D870FC">
        <w:rPr>
          <w:rFonts w:ascii="Times New Roman" w:hAnsi="Times New Roman" w:cs="Times New Roman"/>
          <w:sz w:val="20"/>
          <w:szCs w:val="20"/>
        </w:rPr>
        <w:t xml:space="preserve"> 1988). </w:t>
      </w:r>
      <w:r w:rsidRPr="00D870FC">
        <w:rPr>
          <w:rFonts w:ascii="Times New Roman" w:hAnsi="Times New Roman" w:cs="Times New Roman"/>
          <w:sz w:val="20"/>
          <w:szCs w:val="20"/>
        </w:rPr>
        <w:t>Safe drinking water is a basic need for human development, health and well-being, it is an internationally accepted human right (WHO</w:t>
      </w:r>
      <w:r w:rsidR="00C73306" w:rsidRPr="00D870FC">
        <w:rPr>
          <w:rFonts w:ascii="Times New Roman" w:hAnsi="Times New Roman" w:cs="Times New Roman"/>
          <w:sz w:val="20"/>
          <w:szCs w:val="20"/>
        </w:rPr>
        <w:t>, 2002</w:t>
      </w:r>
      <w:r w:rsidRPr="00D870FC">
        <w:rPr>
          <w:rFonts w:ascii="Times New Roman" w:hAnsi="Times New Roman" w:cs="Times New Roman"/>
          <w:sz w:val="20"/>
          <w:szCs w:val="20"/>
        </w:rPr>
        <w:t xml:space="preserve">). </w:t>
      </w:r>
      <w:r w:rsidR="00B73EB0" w:rsidRPr="00D870FC">
        <w:rPr>
          <w:rFonts w:ascii="Times New Roman" w:hAnsi="Times New Roman" w:cs="Times New Roman"/>
          <w:sz w:val="20"/>
          <w:szCs w:val="20"/>
        </w:rPr>
        <w:t xml:space="preserve">Groundwater has been naturally very clean because of its filtering effect; however it can become polluted with nutrients and toxic chemicals when </w:t>
      </w:r>
      <w:r w:rsidR="00B73EB0" w:rsidRPr="00D870FC">
        <w:rPr>
          <w:rFonts w:ascii="Times New Roman" w:hAnsi="Times New Roman" w:cs="Times New Roman"/>
          <w:sz w:val="20"/>
          <w:szCs w:val="20"/>
        </w:rPr>
        <w:lastRenderedPageBreak/>
        <w:t>surface water carrying these substances drains into the groundwater environment (USEPA, 2001).</w:t>
      </w:r>
      <w:r w:rsidR="00B73EB0" w:rsidRPr="00D870FC">
        <w:rPr>
          <w:sz w:val="20"/>
          <w:szCs w:val="20"/>
        </w:rPr>
        <w:t xml:space="preserve"> </w:t>
      </w:r>
      <w:proofErr w:type="spellStart"/>
      <w:r w:rsidRPr="00D870FC">
        <w:rPr>
          <w:rFonts w:ascii="Times New Roman" w:hAnsi="Times New Roman" w:cs="Times New Roman"/>
          <w:sz w:val="20"/>
          <w:szCs w:val="20"/>
        </w:rPr>
        <w:t>Calabar</w:t>
      </w:r>
      <w:proofErr w:type="spellEnd"/>
      <w:r w:rsidRPr="00D870FC">
        <w:rPr>
          <w:rFonts w:ascii="Times New Roman" w:hAnsi="Times New Roman" w:cs="Times New Roman"/>
          <w:sz w:val="20"/>
          <w:szCs w:val="20"/>
        </w:rPr>
        <w:t xml:space="preserve"> and its environs is often faced with the issue of fl</w:t>
      </w:r>
      <w:r w:rsidR="00B73EB0" w:rsidRPr="00D870FC">
        <w:rPr>
          <w:rFonts w:ascii="Times New Roman" w:hAnsi="Times New Roman" w:cs="Times New Roman"/>
          <w:sz w:val="20"/>
          <w:szCs w:val="20"/>
        </w:rPr>
        <w:t xml:space="preserve">ooding during the rainy season, </w:t>
      </w:r>
      <w:r w:rsidRPr="00D870FC">
        <w:rPr>
          <w:rFonts w:ascii="Times New Roman" w:hAnsi="Times New Roman" w:cs="Times New Roman"/>
          <w:sz w:val="20"/>
          <w:szCs w:val="20"/>
        </w:rPr>
        <w:t>resulting in</w:t>
      </w:r>
      <w:r w:rsidR="00B73EB0" w:rsidRPr="00D870FC">
        <w:rPr>
          <w:rFonts w:ascii="Times New Roman" w:hAnsi="Times New Roman" w:cs="Times New Roman"/>
          <w:sz w:val="20"/>
          <w:szCs w:val="20"/>
        </w:rPr>
        <w:t xml:space="preserve"> </w:t>
      </w:r>
      <w:r w:rsidRPr="00D870FC">
        <w:rPr>
          <w:rFonts w:ascii="Times New Roman" w:hAnsi="Times New Roman" w:cs="Times New Roman"/>
          <w:sz w:val="20"/>
          <w:szCs w:val="20"/>
        </w:rPr>
        <w:t xml:space="preserve">urban runoff of </w:t>
      </w:r>
      <w:r w:rsidR="00FA6AB2" w:rsidRPr="00D870FC">
        <w:rPr>
          <w:rFonts w:ascii="Times New Roman" w:hAnsi="Times New Roman" w:cs="Times New Roman"/>
          <w:sz w:val="20"/>
          <w:szCs w:val="20"/>
        </w:rPr>
        <w:t xml:space="preserve"> toxic chemicals that have high concentration of nitrate and phosphate derived from waste in the soil can filter through a dump and contaminate both ground and surface water. Insects, rodents, snakes and scavenger birds, dust, noise, and bad odor are some of the aesthetic problems associated with sanitary landfill.</w:t>
      </w:r>
      <w:r w:rsidR="00FA6AB2" w:rsidRPr="00D870FC">
        <w:rPr>
          <w:sz w:val="20"/>
          <w:szCs w:val="20"/>
        </w:rPr>
        <w:t xml:space="preserve"> </w:t>
      </w:r>
      <w:r w:rsidR="007F7865" w:rsidRPr="00D870FC">
        <w:rPr>
          <w:rFonts w:ascii="Times New Roman" w:hAnsi="Times New Roman" w:cs="Times New Roman"/>
          <w:sz w:val="20"/>
          <w:szCs w:val="20"/>
        </w:rPr>
        <w:t>W</w:t>
      </w:r>
      <w:r w:rsidRPr="00D870FC">
        <w:rPr>
          <w:rFonts w:ascii="Times New Roman" w:hAnsi="Times New Roman" w:cs="Times New Roman"/>
          <w:sz w:val="20"/>
          <w:szCs w:val="20"/>
        </w:rPr>
        <w:t xml:space="preserve">hile at the set-in of the dry seasons the groundwater table decreases at this point as well as drying up of some the major streams and rivers. With </w:t>
      </w:r>
      <w:r w:rsidR="00F01B7E" w:rsidRPr="00D870FC">
        <w:rPr>
          <w:rFonts w:ascii="Times New Roman" w:hAnsi="Times New Roman" w:cs="Times New Roman"/>
          <w:sz w:val="20"/>
          <w:szCs w:val="20"/>
        </w:rPr>
        <w:t>these compounding issues</w:t>
      </w:r>
      <w:r w:rsidR="00F2047D" w:rsidRPr="00D870FC">
        <w:rPr>
          <w:rFonts w:ascii="Times New Roman" w:hAnsi="Times New Roman" w:cs="Times New Roman"/>
          <w:sz w:val="20"/>
          <w:szCs w:val="20"/>
        </w:rPr>
        <w:t xml:space="preserve"> it becomes difficult to ascertain the water quality of boreholes due to the increasing and decreasing levels of the water table.</w:t>
      </w:r>
      <w:r w:rsidR="00C73306" w:rsidRPr="00D870FC">
        <w:rPr>
          <w:rFonts w:ascii="Times New Roman" w:hAnsi="Times New Roman" w:cs="Times New Roman"/>
          <w:sz w:val="20"/>
          <w:szCs w:val="20"/>
        </w:rPr>
        <w:t xml:space="preserve"> </w:t>
      </w:r>
      <w:proofErr w:type="spellStart"/>
      <w:r w:rsidR="00C73306" w:rsidRPr="00D870FC">
        <w:rPr>
          <w:rFonts w:ascii="Times New Roman" w:hAnsi="Times New Roman" w:cs="Times New Roman"/>
          <w:sz w:val="20"/>
          <w:szCs w:val="20"/>
        </w:rPr>
        <w:t>Adegbola</w:t>
      </w:r>
      <w:proofErr w:type="spellEnd"/>
      <w:r w:rsidR="00C73306" w:rsidRPr="00D870FC">
        <w:rPr>
          <w:rFonts w:ascii="Times New Roman" w:hAnsi="Times New Roman" w:cs="Times New Roman"/>
          <w:sz w:val="20"/>
          <w:szCs w:val="20"/>
        </w:rPr>
        <w:t>,</w:t>
      </w:r>
      <w:r w:rsidR="00F01B7E" w:rsidRPr="00D870FC">
        <w:rPr>
          <w:rFonts w:ascii="Times New Roman" w:hAnsi="Times New Roman" w:cs="Times New Roman"/>
          <w:sz w:val="20"/>
          <w:szCs w:val="20"/>
        </w:rPr>
        <w:t xml:space="preserve"> (2012) reported that the water sample obtained from shall</w:t>
      </w:r>
      <w:r w:rsidR="00BD689C" w:rsidRPr="00D870FC">
        <w:rPr>
          <w:rFonts w:ascii="Times New Roman" w:hAnsi="Times New Roman" w:cs="Times New Roman"/>
          <w:sz w:val="20"/>
          <w:szCs w:val="20"/>
        </w:rPr>
        <w:t xml:space="preserve">ow wells in </w:t>
      </w:r>
      <w:proofErr w:type="spellStart"/>
      <w:r w:rsidR="00BD689C" w:rsidRPr="00D870FC">
        <w:rPr>
          <w:rFonts w:ascii="Times New Roman" w:hAnsi="Times New Roman" w:cs="Times New Roman"/>
          <w:sz w:val="20"/>
          <w:szCs w:val="20"/>
        </w:rPr>
        <w:t>Otte</w:t>
      </w:r>
      <w:proofErr w:type="spellEnd"/>
      <w:r w:rsidR="00BD689C" w:rsidRPr="00D870FC">
        <w:rPr>
          <w:rFonts w:ascii="Times New Roman" w:hAnsi="Times New Roman" w:cs="Times New Roman"/>
          <w:sz w:val="20"/>
          <w:szCs w:val="20"/>
        </w:rPr>
        <w:t xml:space="preserve"> community, </w:t>
      </w:r>
      <w:proofErr w:type="spellStart"/>
      <w:r w:rsidR="00BD689C" w:rsidRPr="00D870FC">
        <w:rPr>
          <w:rFonts w:ascii="Times New Roman" w:hAnsi="Times New Roman" w:cs="Times New Roman"/>
          <w:sz w:val="20"/>
          <w:szCs w:val="20"/>
        </w:rPr>
        <w:t>Kwara</w:t>
      </w:r>
      <w:proofErr w:type="spellEnd"/>
      <w:r w:rsidR="00BD689C" w:rsidRPr="00D870FC">
        <w:rPr>
          <w:rFonts w:ascii="Times New Roman" w:hAnsi="Times New Roman" w:cs="Times New Roman"/>
          <w:sz w:val="20"/>
          <w:szCs w:val="20"/>
        </w:rPr>
        <w:t xml:space="preserve"> </w:t>
      </w:r>
      <w:r w:rsidR="00515A1F" w:rsidRPr="00D870FC">
        <w:rPr>
          <w:rFonts w:ascii="Times New Roman" w:hAnsi="Times New Roman" w:cs="Times New Roman"/>
          <w:sz w:val="20"/>
          <w:szCs w:val="20"/>
        </w:rPr>
        <w:t>S</w:t>
      </w:r>
      <w:r w:rsidR="00F01B7E" w:rsidRPr="00D870FC">
        <w:rPr>
          <w:rFonts w:ascii="Times New Roman" w:hAnsi="Times New Roman" w:cs="Times New Roman"/>
          <w:sz w:val="20"/>
          <w:szCs w:val="20"/>
        </w:rPr>
        <w:t xml:space="preserve">tate, Nigeria did not meet WHO and NAFDAC standards. </w:t>
      </w:r>
      <w:proofErr w:type="spellStart"/>
      <w:r w:rsidR="00F01B7E" w:rsidRPr="00D870FC">
        <w:rPr>
          <w:rFonts w:ascii="Times New Roman" w:hAnsi="Times New Roman" w:cs="Times New Roman"/>
          <w:sz w:val="20"/>
          <w:szCs w:val="20"/>
        </w:rPr>
        <w:t>Ekpo</w:t>
      </w:r>
      <w:proofErr w:type="spellEnd"/>
      <w:r w:rsidR="00F01B7E" w:rsidRPr="00D870FC">
        <w:rPr>
          <w:rFonts w:ascii="Times New Roman" w:hAnsi="Times New Roman" w:cs="Times New Roman"/>
          <w:sz w:val="20"/>
          <w:szCs w:val="20"/>
        </w:rPr>
        <w:t xml:space="preserve"> </w:t>
      </w:r>
      <w:r w:rsidR="00F01B7E" w:rsidRPr="00D870FC">
        <w:rPr>
          <w:rFonts w:ascii="Times New Roman" w:hAnsi="Times New Roman" w:cs="Times New Roman"/>
          <w:i/>
          <w:sz w:val="20"/>
          <w:szCs w:val="20"/>
        </w:rPr>
        <w:t>et al</w:t>
      </w:r>
      <w:r w:rsidR="00F01B7E" w:rsidRPr="00D870FC">
        <w:rPr>
          <w:rFonts w:ascii="Times New Roman" w:hAnsi="Times New Roman" w:cs="Times New Roman"/>
          <w:sz w:val="20"/>
          <w:szCs w:val="20"/>
        </w:rPr>
        <w:t xml:space="preserve">., (2013) recommended that water from landfill areas </w:t>
      </w:r>
      <w:r w:rsidR="00515A1F" w:rsidRPr="00D870FC">
        <w:rPr>
          <w:rFonts w:ascii="Times New Roman" w:hAnsi="Times New Roman" w:cs="Times New Roman"/>
          <w:sz w:val="20"/>
          <w:szCs w:val="20"/>
        </w:rPr>
        <w:t>is</w:t>
      </w:r>
      <w:r w:rsidR="00F01B7E" w:rsidRPr="00D870FC">
        <w:rPr>
          <w:rFonts w:ascii="Times New Roman" w:hAnsi="Times New Roman" w:cs="Times New Roman"/>
          <w:sz w:val="20"/>
          <w:szCs w:val="20"/>
        </w:rPr>
        <w:t xml:space="preserve"> not suitable for human consumption since it can interfere with the normal state of health. It has been observed that bad quality water consumption leads to several health challenging issues such as typhoid, liver and kidney diseases. </w:t>
      </w:r>
      <w:proofErr w:type="spellStart"/>
      <w:r w:rsidR="00F01B7E" w:rsidRPr="00D870FC">
        <w:rPr>
          <w:rFonts w:ascii="Times New Roman" w:hAnsi="Times New Roman" w:cs="Times New Roman"/>
          <w:sz w:val="20"/>
          <w:szCs w:val="20"/>
        </w:rPr>
        <w:t>Adiudu</w:t>
      </w:r>
      <w:proofErr w:type="spellEnd"/>
      <w:r w:rsidR="00F01B7E" w:rsidRPr="00D870FC">
        <w:rPr>
          <w:rFonts w:ascii="Times New Roman" w:hAnsi="Times New Roman" w:cs="Times New Roman"/>
          <w:sz w:val="20"/>
          <w:szCs w:val="20"/>
        </w:rPr>
        <w:t xml:space="preserve"> </w:t>
      </w:r>
      <w:r w:rsidR="00F01B7E" w:rsidRPr="00D870FC">
        <w:rPr>
          <w:rFonts w:ascii="Times New Roman" w:hAnsi="Times New Roman" w:cs="Times New Roman"/>
          <w:i/>
          <w:sz w:val="20"/>
          <w:szCs w:val="20"/>
        </w:rPr>
        <w:t>et al</w:t>
      </w:r>
      <w:r w:rsidR="00F01B7E" w:rsidRPr="00D870FC">
        <w:rPr>
          <w:rFonts w:ascii="Times New Roman" w:hAnsi="Times New Roman" w:cs="Times New Roman"/>
          <w:sz w:val="20"/>
          <w:szCs w:val="20"/>
        </w:rPr>
        <w:t xml:space="preserve">., </w:t>
      </w:r>
      <w:r w:rsidR="0063433C" w:rsidRPr="00D870FC">
        <w:rPr>
          <w:rFonts w:ascii="Times New Roman" w:hAnsi="Times New Roman" w:cs="Times New Roman"/>
          <w:sz w:val="20"/>
          <w:szCs w:val="20"/>
        </w:rPr>
        <w:t>(</w:t>
      </w:r>
      <w:r w:rsidR="00F01B7E" w:rsidRPr="00D870FC">
        <w:rPr>
          <w:rFonts w:ascii="Times New Roman" w:hAnsi="Times New Roman" w:cs="Times New Roman"/>
          <w:sz w:val="20"/>
          <w:szCs w:val="20"/>
        </w:rPr>
        <w:t>2012</w:t>
      </w:r>
      <w:r w:rsidR="0063433C" w:rsidRPr="00D870FC">
        <w:rPr>
          <w:rFonts w:ascii="Times New Roman" w:hAnsi="Times New Roman" w:cs="Times New Roman"/>
          <w:sz w:val="20"/>
          <w:szCs w:val="20"/>
        </w:rPr>
        <w:t>)</w:t>
      </w:r>
      <w:r w:rsidR="00F01B7E" w:rsidRPr="00D870FC">
        <w:rPr>
          <w:rFonts w:ascii="Times New Roman" w:hAnsi="Times New Roman" w:cs="Times New Roman"/>
          <w:sz w:val="20"/>
          <w:szCs w:val="20"/>
        </w:rPr>
        <w:t xml:space="preserve"> reported on groundwater mineralization of </w:t>
      </w:r>
      <w:proofErr w:type="spellStart"/>
      <w:r w:rsidR="00F01B7E" w:rsidRPr="00D870FC">
        <w:rPr>
          <w:rFonts w:ascii="Times New Roman" w:hAnsi="Times New Roman" w:cs="Times New Roman"/>
          <w:sz w:val="20"/>
          <w:szCs w:val="20"/>
        </w:rPr>
        <w:t>Osisioma</w:t>
      </w:r>
      <w:proofErr w:type="spellEnd"/>
      <w:r w:rsidR="00F01B7E" w:rsidRPr="00D870FC">
        <w:rPr>
          <w:rFonts w:ascii="Times New Roman" w:hAnsi="Times New Roman" w:cs="Times New Roman"/>
          <w:sz w:val="20"/>
          <w:szCs w:val="20"/>
        </w:rPr>
        <w:t xml:space="preserve"> Loca</w:t>
      </w:r>
      <w:r w:rsidR="00BD689C" w:rsidRPr="00D870FC">
        <w:rPr>
          <w:rFonts w:ascii="Times New Roman" w:hAnsi="Times New Roman" w:cs="Times New Roman"/>
          <w:sz w:val="20"/>
          <w:szCs w:val="20"/>
        </w:rPr>
        <w:t xml:space="preserve">l Government area of </w:t>
      </w:r>
      <w:proofErr w:type="spellStart"/>
      <w:r w:rsidR="00BD689C" w:rsidRPr="00D870FC">
        <w:rPr>
          <w:rFonts w:ascii="Times New Roman" w:hAnsi="Times New Roman" w:cs="Times New Roman"/>
          <w:sz w:val="20"/>
          <w:szCs w:val="20"/>
        </w:rPr>
        <w:t>Aba</w:t>
      </w:r>
      <w:proofErr w:type="spellEnd"/>
      <w:r w:rsidR="00BD689C" w:rsidRPr="00D870FC">
        <w:rPr>
          <w:rFonts w:ascii="Times New Roman" w:hAnsi="Times New Roman" w:cs="Times New Roman"/>
          <w:sz w:val="20"/>
          <w:szCs w:val="20"/>
        </w:rPr>
        <w:t xml:space="preserve">, </w:t>
      </w:r>
      <w:proofErr w:type="spellStart"/>
      <w:r w:rsidR="00BD689C" w:rsidRPr="00D870FC">
        <w:rPr>
          <w:rFonts w:ascii="Times New Roman" w:hAnsi="Times New Roman" w:cs="Times New Roman"/>
          <w:sz w:val="20"/>
          <w:szCs w:val="20"/>
        </w:rPr>
        <w:t>Abia</w:t>
      </w:r>
      <w:proofErr w:type="spellEnd"/>
      <w:r w:rsidR="00BD689C" w:rsidRPr="00D870FC">
        <w:rPr>
          <w:rFonts w:ascii="Times New Roman" w:hAnsi="Times New Roman" w:cs="Times New Roman"/>
          <w:sz w:val="20"/>
          <w:szCs w:val="20"/>
        </w:rPr>
        <w:t xml:space="preserve"> S</w:t>
      </w:r>
      <w:r w:rsidR="00F01B7E" w:rsidRPr="00D870FC">
        <w:rPr>
          <w:rFonts w:ascii="Times New Roman" w:hAnsi="Times New Roman" w:cs="Times New Roman"/>
          <w:sz w:val="20"/>
          <w:szCs w:val="20"/>
        </w:rPr>
        <w:t xml:space="preserve">tate, Nigeria, the result shows that the water is tasteless, </w:t>
      </w:r>
      <w:proofErr w:type="spellStart"/>
      <w:r w:rsidR="00F01B7E" w:rsidRPr="00D870FC">
        <w:rPr>
          <w:rFonts w:ascii="Times New Roman" w:hAnsi="Times New Roman" w:cs="Times New Roman"/>
          <w:sz w:val="20"/>
          <w:szCs w:val="20"/>
        </w:rPr>
        <w:t>odourless</w:t>
      </w:r>
      <w:proofErr w:type="spellEnd"/>
      <w:r w:rsidR="00F01B7E" w:rsidRPr="00D870FC">
        <w:rPr>
          <w:rFonts w:ascii="Times New Roman" w:hAnsi="Times New Roman" w:cs="Times New Roman"/>
          <w:sz w:val="20"/>
          <w:szCs w:val="20"/>
        </w:rPr>
        <w:t xml:space="preserve"> and </w:t>
      </w:r>
      <w:proofErr w:type="spellStart"/>
      <w:r w:rsidR="00F01B7E" w:rsidRPr="00D870FC">
        <w:rPr>
          <w:rFonts w:ascii="Times New Roman" w:hAnsi="Times New Roman" w:cs="Times New Roman"/>
          <w:sz w:val="20"/>
          <w:szCs w:val="20"/>
        </w:rPr>
        <w:t>colourless</w:t>
      </w:r>
      <w:proofErr w:type="spellEnd"/>
      <w:r w:rsidR="00F01B7E" w:rsidRPr="00D870FC">
        <w:rPr>
          <w:rFonts w:ascii="Times New Roman" w:hAnsi="Times New Roman" w:cs="Times New Roman"/>
          <w:sz w:val="20"/>
          <w:szCs w:val="20"/>
        </w:rPr>
        <w:t>. The water sample was determined to be free from heavy metals contamination</w:t>
      </w:r>
      <w:r w:rsidR="00B73EB0" w:rsidRPr="00D870FC">
        <w:rPr>
          <w:rFonts w:ascii="Times New Roman" w:hAnsi="Times New Roman" w:cs="Times New Roman"/>
          <w:sz w:val="20"/>
          <w:szCs w:val="20"/>
        </w:rPr>
        <w:t>, like lead, ars</w:t>
      </w:r>
      <w:r w:rsidR="00F01B7E" w:rsidRPr="00D870FC">
        <w:rPr>
          <w:rFonts w:ascii="Times New Roman" w:hAnsi="Times New Roman" w:cs="Times New Roman"/>
          <w:sz w:val="20"/>
          <w:szCs w:val="20"/>
        </w:rPr>
        <w:t>enic, mercury</w:t>
      </w:r>
      <w:r w:rsidR="00B73EB0" w:rsidRPr="00D870FC">
        <w:rPr>
          <w:rFonts w:ascii="Times New Roman" w:hAnsi="Times New Roman" w:cs="Times New Roman"/>
          <w:sz w:val="20"/>
          <w:szCs w:val="20"/>
        </w:rPr>
        <w:t xml:space="preserve"> and barium. </w:t>
      </w:r>
      <w:r w:rsidR="0063433C" w:rsidRPr="00D870FC">
        <w:rPr>
          <w:rFonts w:ascii="Times New Roman" w:hAnsi="Times New Roman" w:cs="Times New Roman"/>
          <w:sz w:val="20"/>
          <w:szCs w:val="20"/>
        </w:rPr>
        <w:t>Aluminum</w:t>
      </w:r>
      <w:r w:rsidR="00B73EB0" w:rsidRPr="00D870FC">
        <w:rPr>
          <w:rFonts w:ascii="Times New Roman" w:hAnsi="Times New Roman" w:cs="Times New Roman"/>
          <w:sz w:val="20"/>
          <w:szCs w:val="20"/>
        </w:rPr>
        <w:t xml:space="preserve"> and manganese were also not detected.</w:t>
      </w:r>
    </w:p>
    <w:p w:rsidR="00D870FC" w:rsidRDefault="00D870FC" w:rsidP="00D870FC">
      <w:pPr>
        <w:adjustRightInd w:val="0"/>
        <w:snapToGrid w:val="0"/>
        <w:spacing w:after="0" w:line="240" w:lineRule="auto"/>
        <w:ind w:firstLine="720"/>
        <w:jc w:val="both"/>
        <w:rPr>
          <w:rFonts w:ascii="Times New Roman" w:hAnsi="Times New Roman" w:cs="Times New Roman"/>
          <w:sz w:val="20"/>
          <w:szCs w:val="20"/>
        </w:rPr>
      </w:pPr>
    </w:p>
    <w:p w:rsidR="00D870FC" w:rsidRPr="00D870FC" w:rsidRDefault="00D870FC" w:rsidP="00D870FC">
      <w:pPr>
        <w:adjustRightInd w:val="0"/>
        <w:snapToGrid w:val="0"/>
        <w:spacing w:after="0" w:line="240" w:lineRule="auto"/>
        <w:ind w:firstLine="720"/>
        <w:jc w:val="both"/>
        <w:rPr>
          <w:rFonts w:ascii="Times New Roman" w:hAnsi="Times New Roman" w:cs="Times New Roman"/>
          <w:sz w:val="20"/>
          <w:szCs w:val="20"/>
        </w:rPr>
      </w:pPr>
    </w:p>
    <w:p w:rsidR="00A64249" w:rsidRPr="00D870FC" w:rsidRDefault="00515A1F" w:rsidP="00D870FC">
      <w:pPr>
        <w:adjustRightInd w:val="0"/>
        <w:snapToGrid w:val="0"/>
        <w:spacing w:after="0" w:line="240" w:lineRule="auto"/>
        <w:jc w:val="both"/>
        <w:rPr>
          <w:rFonts w:ascii="Times New Roman" w:hAnsi="Times New Roman" w:cs="Times New Roman"/>
          <w:b/>
          <w:sz w:val="20"/>
          <w:szCs w:val="20"/>
        </w:rPr>
      </w:pPr>
      <w:r w:rsidRPr="00D870FC">
        <w:rPr>
          <w:rFonts w:ascii="Times New Roman" w:hAnsi="Times New Roman" w:cs="Times New Roman"/>
          <w:b/>
          <w:sz w:val="20"/>
          <w:szCs w:val="20"/>
        </w:rPr>
        <w:lastRenderedPageBreak/>
        <w:t>MATERIALS AND METHODS</w:t>
      </w:r>
    </w:p>
    <w:p w:rsidR="005C131B" w:rsidRPr="00D870FC" w:rsidRDefault="00A64249" w:rsidP="00D870FC">
      <w:pPr>
        <w:adjustRightInd w:val="0"/>
        <w:snapToGrid w:val="0"/>
        <w:spacing w:after="0" w:line="240" w:lineRule="auto"/>
        <w:ind w:firstLine="720"/>
        <w:jc w:val="both"/>
        <w:rPr>
          <w:rFonts w:ascii="Times New Roman" w:hAnsi="Times New Roman" w:cs="Times New Roman"/>
          <w:b/>
          <w:sz w:val="20"/>
          <w:szCs w:val="20"/>
        </w:rPr>
      </w:pPr>
      <w:r w:rsidRPr="00D870FC">
        <w:rPr>
          <w:rFonts w:ascii="Times New Roman" w:hAnsi="Times New Roman" w:cs="Times New Roman"/>
          <w:sz w:val="20"/>
          <w:szCs w:val="20"/>
        </w:rPr>
        <w:t xml:space="preserve">The study was carried out in the Department of Genetics and Biotechnology, University of </w:t>
      </w:r>
      <w:proofErr w:type="spellStart"/>
      <w:r w:rsidRPr="00D870FC">
        <w:rPr>
          <w:rFonts w:ascii="Times New Roman" w:hAnsi="Times New Roman" w:cs="Times New Roman"/>
          <w:sz w:val="20"/>
          <w:szCs w:val="20"/>
        </w:rPr>
        <w:t>Calabar</w:t>
      </w:r>
      <w:proofErr w:type="spellEnd"/>
      <w:r w:rsidRPr="00D870FC">
        <w:rPr>
          <w:rFonts w:ascii="Times New Roman" w:hAnsi="Times New Roman" w:cs="Times New Roman"/>
          <w:sz w:val="20"/>
          <w:szCs w:val="20"/>
        </w:rPr>
        <w:t>, while the phy</w:t>
      </w:r>
      <w:r w:rsidR="005C131B" w:rsidRPr="00D870FC">
        <w:rPr>
          <w:rFonts w:ascii="Times New Roman" w:hAnsi="Times New Roman" w:cs="Times New Roman"/>
          <w:sz w:val="20"/>
          <w:szCs w:val="20"/>
        </w:rPr>
        <w:t>sicochemical</w:t>
      </w:r>
      <w:r w:rsidRPr="00D870FC">
        <w:rPr>
          <w:rFonts w:ascii="Times New Roman" w:hAnsi="Times New Roman" w:cs="Times New Roman"/>
          <w:sz w:val="20"/>
          <w:szCs w:val="20"/>
        </w:rPr>
        <w:t xml:space="preserve"> an</w:t>
      </w:r>
      <w:r w:rsidR="005C131B" w:rsidRPr="00D870FC">
        <w:rPr>
          <w:rFonts w:ascii="Times New Roman" w:hAnsi="Times New Roman" w:cs="Times New Roman"/>
          <w:sz w:val="20"/>
          <w:szCs w:val="20"/>
        </w:rPr>
        <w:t>alyses of the water samples was</w:t>
      </w:r>
      <w:r w:rsidRPr="00D870FC">
        <w:rPr>
          <w:rFonts w:ascii="Times New Roman" w:hAnsi="Times New Roman" w:cs="Times New Roman"/>
          <w:sz w:val="20"/>
          <w:szCs w:val="20"/>
        </w:rPr>
        <w:t xml:space="preserve"> carried out in Cross River State Water Board Corporation (CRSWBC), Cross River State, Nigeria.</w:t>
      </w:r>
      <w:r w:rsidR="00D870FC">
        <w:rPr>
          <w:rFonts w:ascii="Times New Roman" w:hAnsi="Times New Roman" w:cs="Times New Roman"/>
          <w:b/>
          <w:sz w:val="20"/>
          <w:szCs w:val="20"/>
        </w:rPr>
        <w:t xml:space="preserve"> </w:t>
      </w:r>
    </w:p>
    <w:p w:rsidR="00A64249" w:rsidRDefault="00A64249" w:rsidP="00D870FC">
      <w:pPr>
        <w:adjustRightInd w:val="0"/>
        <w:snapToGrid w:val="0"/>
        <w:spacing w:after="0" w:line="240" w:lineRule="auto"/>
        <w:ind w:firstLine="720"/>
        <w:jc w:val="both"/>
        <w:rPr>
          <w:rFonts w:ascii="Times New Roman" w:hAnsi="Times New Roman" w:cs="Times New Roman"/>
          <w:sz w:val="20"/>
          <w:szCs w:val="20"/>
        </w:rPr>
      </w:pPr>
      <w:r w:rsidRPr="00D870FC">
        <w:rPr>
          <w:rFonts w:ascii="Times New Roman" w:hAnsi="Times New Roman" w:cs="Times New Roman"/>
          <w:sz w:val="20"/>
          <w:szCs w:val="20"/>
        </w:rPr>
        <w:t>Groundwater samples were rand</w:t>
      </w:r>
      <w:r w:rsidR="0098067A" w:rsidRPr="00D870FC">
        <w:rPr>
          <w:rFonts w:ascii="Times New Roman" w:hAnsi="Times New Roman" w:cs="Times New Roman"/>
          <w:sz w:val="20"/>
          <w:szCs w:val="20"/>
        </w:rPr>
        <w:t xml:space="preserve">omly collected from nine </w:t>
      </w:r>
      <w:r w:rsidRPr="00D870FC">
        <w:rPr>
          <w:rFonts w:ascii="Times New Roman" w:hAnsi="Times New Roman" w:cs="Times New Roman"/>
          <w:sz w:val="20"/>
          <w:szCs w:val="20"/>
        </w:rPr>
        <w:t>boreholes acro</w:t>
      </w:r>
      <w:r w:rsidR="0098067A" w:rsidRPr="00D870FC">
        <w:rPr>
          <w:rFonts w:ascii="Times New Roman" w:hAnsi="Times New Roman" w:cs="Times New Roman"/>
          <w:sz w:val="20"/>
          <w:szCs w:val="20"/>
        </w:rPr>
        <w:t xml:space="preserve">ss the </w:t>
      </w:r>
      <w:proofErr w:type="spellStart"/>
      <w:r w:rsidR="0098067A" w:rsidRPr="00D870FC">
        <w:rPr>
          <w:rFonts w:ascii="Times New Roman" w:hAnsi="Times New Roman" w:cs="Times New Roman"/>
          <w:sz w:val="20"/>
          <w:szCs w:val="20"/>
        </w:rPr>
        <w:t>Calabar</w:t>
      </w:r>
      <w:proofErr w:type="spellEnd"/>
      <w:r w:rsidR="0098067A" w:rsidRPr="00D870FC">
        <w:rPr>
          <w:rFonts w:ascii="Times New Roman" w:hAnsi="Times New Roman" w:cs="Times New Roman"/>
          <w:sz w:val="20"/>
          <w:szCs w:val="20"/>
        </w:rPr>
        <w:t xml:space="preserve"> metropolis. Borehole water sam</w:t>
      </w:r>
      <w:r w:rsidR="006E248E" w:rsidRPr="00D870FC">
        <w:rPr>
          <w:rFonts w:ascii="Times New Roman" w:hAnsi="Times New Roman" w:cs="Times New Roman"/>
          <w:sz w:val="20"/>
          <w:szCs w:val="20"/>
        </w:rPr>
        <w:t xml:space="preserve">ples were collected from </w:t>
      </w:r>
      <w:proofErr w:type="spellStart"/>
      <w:r w:rsidR="006E248E" w:rsidRPr="00D870FC">
        <w:rPr>
          <w:rFonts w:ascii="Times New Roman" w:hAnsi="Times New Roman" w:cs="Times New Roman"/>
          <w:sz w:val="20"/>
          <w:szCs w:val="20"/>
        </w:rPr>
        <w:t>Okoro</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Agbor</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Orok</w:t>
      </w:r>
      <w:proofErr w:type="spellEnd"/>
      <w:r w:rsidR="006E248E" w:rsidRPr="00D870FC">
        <w:rPr>
          <w:rFonts w:ascii="Times New Roman" w:hAnsi="Times New Roman" w:cs="Times New Roman"/>
          <w:sz w:val="20"/>
          <w:szCs w:val="20"/>
        </w:rPr>
        <w:t xml:space="preserve"> and Mount Z</w:t>
      </w:r>
      <w:r w:rsidR="0098067A" w:rsidRPr="00D870FC">
        <w:rPr>
          <w:rFonts w:ascii="Times New Roman" w:hAnsi="Times New Roman" w:cs="Times New Roman"/>
          <w:sz w:val="20"/>
          <w:szCs w:val="20"/>
        </w:rPr>
        <w:t>ion.</w:t>
      </w:r>
      <w:r w:rsidRPr="00D870FC">
        <w:rPr>
          <w:rFonts w:ascii="Times New Roman" w:hAnsi="Times New Roman" w:cs="Times New Roman"/>
          <w:sz w:val="20"/>
          <w:szCs w:val="20"/>
        </w:rPr>
        <w:t xml:space="preserve"> The samples were collected accord</w:t>
      </w:r>
      <w:r w:rsidR="00C73306" w:rsidRPr="00D870FC">
        <w:rPr>
          <w:rFonts w:ascii="Times New Roman" w:hAnsi="Times New Roman" w:cs="Times New Roman"/>
          <w:sz w:val="20"/>
          <w:szCs w:val="20"/>
        </w:rPr>
        <w:t>ing to WHO guidelines (WHO, 2002</w:t>
      </w:r>
      <w:r w:rsidRPr="00D870FC">
        <w:rPr>
          <w:rFonts w:ascii="Times New Roman" w:hAnsi="Times New Roman" w:cs="Times New Roman"/>
          <w:sz w:val="20"/>
          <w:szCs w:val="20"/>
        </w:rPr>
        <w:t>). The procedure for borehole water sample collection started with a reconnaissance survey to the areas. This was to help in identifying functional borehole</w:t>
      </w:r>
      <w:r w:rsidR="0098067A" w:rsidRPr="00D870FC">
        <w:rPr>
          <w:rFonts w:ascii="Times New Roman" w:hAnsi="Times New Roman" w:cs="Times New Roman"/>
          <w:sz w:val="20"/>
          <w:szCs w:val="20"/>
        </w:rPr>
        <w:t>s in the</w:t>
      </w:r>
      <w:r w:rsidRPr="00D870FC">
        <w:rPr>
          <w:rFonts w:ascii="Times New Roman" w:hAnsi="Times New Roman" w:cs="Times New Roman"/>
          <w:sz w:val="20"/>
          <w:szCs w:val="20"/>
        </w:rPr>
        <w:t xml:space="preserve"> areas. Functional borehole was conceptualized as one that is frequently in use with high level of usage greater than 50 persons pe</w:t>
      </w:r>
      <w:r w:rsidR="0098067A" w:rsidRPr="00D870FC">
        <w:rPr>
          <w:rFonts w:ascii="Times New Roman" w:hAnsi="Times New Roman" w:cs="Times New Roman"/>
          <w:sz w:val="20"/>
          <w:szCs w:val="20"/>
        </w:rPr>
        <w:t xml:space="preserve">r day. Through this approach, nine functional boreholes </w:t>
      </w:r>
      <w:r w:rsidRPr="00D870FC">
        <w:rPr>
          <w:rFonts w:ascii="Times New Roman" w:hAnsi="Times New Roman" w:cs="Times New Roman"/>
          <w:sz w:val="20"/>
          <w:szCs w:val="20"/>
        </w:rPr>
        <w:t xml:space="preserve">were identified, and water samples randomly collected. Water samples were collected in 2.0 </w:t>
      </w:r>
      <w:proofErr w:type="spellStart"/>
      <w:r w:rsidRPr="00D870FC">
        <w:rPr>
          <w:rFonts w:ascii="Times New Roman" w:hAnsi="Times New Roman" w:cs="Times New Roman"/>
          <w:sz w:val="20"/>
          <w:szCs w:val="20"/>
        </w:rPr>
        <w:t>litre</w:t>
      </w:r>
      <w:proofErr w:type="spellEnd"/>
      <w:r w:rsidRPr="00D870FC">
        <w:rPr>
          <w:rFonts w:ascii="Times New Roman" w:hAnsi="Times New Roman" w:cs="Times New Roman"/>
          <w:sz w:val="20"/>
          <w:szCs w:val="20"/>
        </w:rPr>
        <w:t xml:space="preserve"> plastic bottles; before the collection of water samples, the bore</w:t>
      </w:r>
      <w:r w:rsidR="005C131B" w:rsidRPr="00D870FC">
        <w:rPr>
          <w:rFonts w:ascii="Times New Roman" w:hAnsi="Times New Roman" w:cs="Times New Roman"/>
          <w:sz w:val="20"/>
          <w:szCs w:val="20"/>
        </w:rPr>
        <w:t>hole were allowed to pump for 15</w:t>
      </w:r>
      <w:r w:rsidRPr="00D870FC">
        <w:rPr>
          <w:rFonts w:ascii="Times New Roman" w:hAnsi="Times New Roman" w:cs="Times New Roman"/>
          <w:sz w:val="20"/>
          <w:szCs w:val="20"/>
        </w:rPr>
        <w:t xml:space="preserve"> minutes so that water with a constant temperature and pH, representing that from the aquifer was collected. Water samples were collected at the borehole heads. Prior to sample collection, all plastic bottles were rinsed thrice with the borehole water. </w:t>
      </w:r>
      <w:r w:rsidR="005C131B" w:rsidRPr="00D870FC">
        <w:rPr>
          <w:rFonts w:ascii="Times New Roman" w:hAnsi="Times New Roman" w:cs="Times New Roman"/>
          <w:sz w:val="20"/>
          <w:szCs w:val="20"/>
        </w:rPr>
        <w:t xml:space="preserve">Samples were collected in triplicates from each sample location. </w:t>
      </w:r>
      <w:r w:rsidRPr="00D870FC">
        <w:rPr>
          <w:rFonts w:ascii="Times New Roman" w:hAnsi="Times New Roman" w:cs="Times New Roman"/>
          <w:sz w:val="20"/>
          <w:szCs w:val="20"/>
        </w:rPr>
        <w:t>After sampling, the containers were tightly covered, labeled and taken to the laboratory for analysis.</w:t>
      </w:r>
      <w:r w:rsidR="005C131B" w:rsidRPr="00D870FC">
        <w:rPr>
          <w:rFonts w:ascii="Times New Roman" w:hAnsi="Times New Roman" w:cs="Times New Roman"/>
          <w:sz w:val="20"/>
          <w:szCs w:val="20"/>
        </w:rPr>
        <w:t xml:space="preserve"> Data collected were analyzed using a Completely</w:t>
      </w:r>
      <w:r w:rsidRPr="00D870FC">
        <w:rPr>
          <w:rFonts w:ascii="Times New Roman" w:hAnsi="Times New Roman" w:cs="Times New Roman"/>
          <w:sz w:val="20"/>
          <w:szCs w:val="20"/>
        </w:rPr>
        <w:t xml:space="preserve"> </w:t>
      </w:r>
      <w:r w:rsidR="005C131B" w:rsidRPr="00D870FC">
        <w:rPr>
          <w:rFonts w:ascii="Times New Roman" w:hAnsi="Times New Roman" w:cs="Times New Roman"/>
          <w:sz w:val="20"/>
          <w:szCs w:val="20"/>
        </w:rPr>
        <w:t>Randomized Design (CRD) and significa</w:t>
      </w:r>
      <w:r w:rsidR="00436514" w:rsidRPr="00D870FC">
        <w:rPr>
          <w:rFonts w:ascii="Times New Roman" w:hAnsi="Times New Roman" w:cs="Times New Roman"/>
          <w:sz w:val="20"/>
          <w:szCs w:val="20"/>
        </w:rPr>
        <w:t xml:space="preserve">nt means </w:t>
      </w:r>
      <w:r w:rsidR="00DC2597" w:rsidRPr="00D870FC">
        <w:rPr>
          <w:rFonts w:ascii="Times New Roman" w:hAnsi="Times New Roman" w:cs="Times New Roman"/>
          <w:sz w:val="20"/>
          <w:szCs w:val="20"/>
        </w:rPr>
        <w:t xml:space="preserve">were </w:t>
      </w:r>
      <w:r w:rsidR="00436514" w:rsidRPr="00D870FC">
        <w:rPr>
          <w:rFonts w:ascii="Times New Roman" w:hAnsi="Times New Roman" w:cs="Times New Roman"/>
          <w:sz w:val="20"/>
          <w:szCs w:val="20"/>
        </w:rPr>
        <w:t>separated using Least Significant Difference (LSD) T</w:t>
      </w:r>
      <w:r w:rsidR="005C131B" w:rsidRPr="00D870FC">
        <w:rPr>
          <w:rFonts w:ascii="Times New Roman" w:hAnsi="Times New Roman" w:cs="Times New Roman"/>
          <w:sz w:val="20"/>
          <w:szCs w:val="20"/>
        </w:rPr>
        <w:t>est.</w:t>
      </w:r>
    </w:p>
    <w:p w:rsidR="00D870FC" w:rsidRPr="00D870FC" w:rsidRDefault="00D870FC" w:rsidP="00D870FC">
      <w:pPr>
        <w:adjustRightInd w:val="0"/>
        <w:snapToGrid w:val="0"/>
        <w:spacing w:after="0" w:line="240" w:lineRule="auto"/>
        <w:ind w:firstLine="720"/>
        <w:jc w:val="both"/>
        <w:rPr>
          <w:rFonts w:ascii="Times New Roman" w:hAnsi="Times New Roman" w:cs="Times New Roman"/>
          <w:b/>
          <w:sz w:val="20"/>
          <w:szCs w:val="20"/>
        </w:rPr>
      </w:pPr>
    </w:p>
    <w:p w:rsidR="00A64249" w:rsidRPr="00D870FC" w:rsidRDefault="00622ECF" w:rsidP="00D870FC">
      <w:pPr>
        <w:adjustRightInd w:val="0"/>
        <w:snapToGrid w:val="0"/>
        <w:spacing w:after="0" w:line="240" w:lineRule="auto"/>
        <w:jc w:val="both"/>
        <w:rPr>
          <w:rFonts w:ascii="Times New Roman" w:hAnsi="Times New Roman" w:cs="Times New Roman"/>
          <w:b/>
          <w:sz w:val="20"/>
          <w:szCs w:val="20"/>
        </w:rPr>
      </w:pPr>
      <w:r w:rsidRPr="00D870FC">
        <w:rPr>
          <w:rFonts w:ascii="Times New Roman" w:hAnsi="Times New Roman" w:cs="Times New Roman"/>
          <w:b/>
          <w:sz w:val="20"/>
          <w:szCs w:val="20"/>
        </w:rPr>
        <w:t>RESULTS AND DISCUSSION</w:t>
      </w:r>
    </w:p>
    <w:p w:rsidR="00482F27" w:rsidRPr="00D870FC" w:rsidRDefault="00BD689C" w:rsidP="00D870FC">
      <w:pPr>
        <w:adjustRightInd w:val="0"/>
        <w:snapToGrid w:val="0"/>
        <w:spacing w:after="0" w:line="240" w:lineRule="auto"/>
        <w:ind w:firstLine="720"/>
        <w:jc w:val="both"/>
        <w:rPr>
          <w:rFonts w:ascii="Times New Roman" w:hAnsi="Times New Roman" w:cs="Times New Roman"/>
          <w:sz w:val="20"/>
          <w:szCs w:val="20"/>
        </w:rPr>
      </w:pPr>
      <w:r w:rsidRPr="00D870FC">
        <w:rPr>
          <w:rFonts w:ascii="Times New Roman" w:hAnsi="Times New Roman" w:cs="Times New Roman"/>
          <w:sz w:val="20"/>
          <w:szCs w:val="20"/>
        </w:rPr>
        <w:t xml:space="preserve">The pH level in </w:t>
      </w:r>
      <w:proofErr w:type="spellStart"/>
      <w:r w:rsidRPr="00D870FC">
        <w:rPr>
          <w:rFonts w:ascii="Times New Roman" w:hAnsi="Times New Roman" w:cs="Times New Roman"/>
          <w:sz w:val="20"/>
          <w:szCs w:val="20"/>
        </w:rPr>
        <w:t>O</w:t>
      </w:r>
      <w:r w:rsidR="006E248E" w:rsidRPr="00D870FC">
        <w:rPr>
          <w:rFonts w:ascii="Times New Roman" w:hAnsi="Times New Roman" w:cs="Times New Roman"/>
          <w:sz w:val="20"/>
          <w:szCs w:val="20"/>
        </w:rPr>
        <w:t>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w:t>
      </w:r>
      <w:r w:rsidR="008D2055" w:rsidRPr="00D870FC">
        <w:rPr>
          <w:rFonts w:ascii="Times New Roman" w:hAnsi="Times New Roman" w:cs="Times New Roman"/>
          <w:sz w:val="20"/>
          <w:szCs w:val="20"/>
        </w:rPr>
        <w:t>rok</w:t>
      </w:r>
      <w:proofErr w:type="spellEnd"/>
      <w:r w:rsidR="008D2055" w:rsidRPr="00D870FC">
        <w:rPr>
          <w:rFonts w:ascii="Times New Roman" w:hAnsi="Times New Roman" w:cs="Times New Roman"/>
          <w:sz w:val="20"/>
          <w:szCs w:val="20"/>
        </w:rPr>
        <w:t xml:space="preserve"> and M</w:t>
      </w:r>
      <w:r w:rsidR="006E248E" w:rsidRPr="00D870FC">
        <w:rPr>
          <w:rFonts w:ascii="Times New Roman" w:hAnsi="Times New Roman" w:cs="Times New Roman"/>
          <w:sz w:val="20"/>
          <w:szCs w:val="20"/>
        </w:rPr>
        <w:t>ount Z</w:t>
      </w:r>
      <w:r w:rsidR="00A64249" w:rsidRPr="00D870FC">
        <w:rPr>
          <w:rFonts w:ascii="Times New Roman" w:hAnsi="Times New Roman" w:cs="Times New Roman"/>
          <w:sz w:val="20"/>
          <w:szCs w:val="20"/>
        </w:rPr>
        <w:t xml:space="preserve">ion water sample was significantly </w:t>
      </w:r>
      <w:r w:rsidRPr="00D870FC">
        <w:rPr>
          <w:rFonts w:ascii="Times New Roman" w:hAnsi="Times New Roman" w:cs="Times New Roman"/>
          <w:sz w:val="20"/>
          <w:szCs w:val="20"/>
        </w:rPr>
        <w:t xml:space="preserve">higher (p&lt;0.05) than the pH of </w:t>
      </w:r>
      <w:proofErr w:type="spellStart"/>
      <w:r w:rsidRPr="00D870FC">
        <w:rPr>
          <w:rFonts w:ascii="Times New Roman" w:hAnsi="Times New Roman" w:cs="Times New Roman"/>
          <w:sz w:val="20"/>
          <w:szCs w:val="20"/>
        </w:rPr>
        <w:t>O</w:t>
      </w:r>
      <w:r w:rsidR="006E248E" w:rsidRPr="00D870FC">
        <w:rPr>
          <w:rFonts w:ascii="Times New Roman" w:hAnsi="Times New Roman" w:cs="Times New Roman"/>
          <w:sz w:val="20"/>
          <w:szCs w:val="20"/>
        </w:rPr>
        <w:t>koro</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A</w:t>
      </w:r>
      <w:r w:rsidR="00A64249" w:rsidRPr="00D870FC">
        <w:rPr>
          <w:rFonts w:ascii="Times New Roman" w:hAnsi="Times New Roman" w:cs="Times New Roman"/>
          <w:sz w:val="20"/>
          <w:szCs w:val="20"/>
        </w:rPr>
        <w:t>gbor</w:t>
      </w:r>
      <w:proofErr w:type="spellEnd"/>
      <w:r w:rsidR="00A64249" w:rsidRPr="00D870FC">
        <w:rPr>
          <w:rFonts w:ascii="Times New Roman" w:hAnsi="Times New Roman" w:cs="Times New Roman"/>
          <w:sz w:val="20"/>
          <w:szCs w:val="20"/>
        </w:rPr>
        <w:t xml:space="preserve"> water sample</w:t>
      </w:r>
      <w:r w:rsidR="00C553A2" w:rsidRPr="00D870FC">
        <w:rPr>
          <w:rFonts w:ascii="Times New Roman" w:hAnsi="Times New Roman" w:cs="Times New Roman"/>
          <w:sz w:val="20"/>
          <w:szCs w:val="20"/>
        </w:rPr>
        <w:t>. It was obs</w:t>
      </w:r>
      <w:r w:rsidRPr="00D870FC">
        <w:rPr>
          <w:rFonts w:ascii="Times New Roman" w:hAnsi="Times New Roman" w:cs="Times New Roman"/>
          <w:sz w:val="20"/>
          <w:szCs w:val="20"/>
        </w:rPr>
        <w:t xml:space="preserve">erved that the conductivity in </w:t>
      </w:r>
      <w:proofErr w:type="spellStart"/>
      <w:r w:rsidRPr="00D870FC">
        <w:rPr>
          <w:rFonts w:ascii="Times New Roman" w:hAnsi="Times New Roman" w:cs="Times New Roman"/>
          <w:sz w:val="20"/>
          <w:szCs w:val="20"/>
        </w:rPr>
        <w:t>O</w:t>
      </w:r>
      <w:r w:rsidR="006E248E" w:rsidRPr="00D870FC">
        <w:rPr>
          <w:rFonts w:ascii="Times New Roman" w:hAnsi="Times New Roman" w:cs="Times New Roman"/>
          <w:sz w:val="20"/>
          <w:szCs w:val="20"/>
        </w:rPr>
        <w:t>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w:t>
      </w:r>
      <w:r w:rsidR="00C553A2" w:rsidRPr="00D870FC">
        <w:rPr>
          <w:rFonts w:ascii="Times New Roman" w:hAnsi="Times New Roman" w:cs="Times New Roman"/>
          <w:sz w:val="20"/>
          <w:szCs w:val="20"/>
        </w:rPr>
        <w:t>rok</w:t>
      </w:r>
      <w:proofErr w:type="spellEnd"/>
      <w:r w:rsidR="00C553A2" w:rsidRPr="00D870FC">
        <w:rPr>
          <w:rFonts w:ascii="Times New Roman" w:hAnsi="Times New Roman" w:cs="Times New Roman"/>
          <w:sz w:val="20"/>
          <w:szCs w:val="20"/>
        </w:rPr>
        <w:t xml:space="preserve"> water sa</w:t>
      </w:r>
      <w:r w:rsidR="008D2055" w:rsidRPr="00D870FC">
        <w:rPr>
          <w:rFonts w:ascii="Times New Roman" w:hAnsi="Times New Roman" w:cs="Times New Roman"/>
          <w:sz w:val="20"/>
          <w:szCs w:val="20"/>
        </w:rPr>
        <w:t>mple was higher than the EC of M</w:t>
      </w:r>
      <w:r w:rsidR="006E248E" w:rsidRPr="00D870FC">
        <w:rPr>
          <w:rFonts w:ascii="Times New Roman" w:hAnsi="Times New Roman" w:cs="Times New Roman"/>
          <w:sz w:val="20"/>
          <w:szCs w:val="20"/>
        </w:rPr>
        <w:t>ount Z</w:t>
      </w:r>
      <w:r w:rsidR="00C553A2" w:rsidRPr="00D870FC">
        <w:rPr>
          <w:rFonts w:ascii="Times New Roman" w:hAnsi="Times New Roman" w:cs="Times New Roman"/>
          <w:sz w:val="20"/>
          <w:szCs w:val="20"/>
        </w:rPr>
        <w:t>ion water sa</w:t>
      </w:r>
      <w:r w:rsidRPr="00D870FC">
        <w:rPr>
          <w:rFonts w:ascii="Times New Roman" w:hAnsi="Times New Roman" w:cs="Times New Roman"/>
          <w:sz w:val="20"/>
          <w:szCs w:val="20"/>
        </w:rPr>
        <w:t xml:space="preserve">mple while the water sample of </w:t>
      </w:r>
      <w:proofErr w:type="spellStart"/>
      <w:r w:rsidRPr="00D870FC">
        <w:rPr>
          <w:rFonts w:ascii="Times New Roman" w:hAnsi="Times New Roman" w:cs="Times New Roman"/>
          <w:sz w:val="20"/>
          <w:szCs w:val="20"/>
        </w:rPr>
        <w:t>O</w:t>
      </w:r>
      <w:r w:rsidR="006E248E" w:rsidRPr="00D870FC">
        <w:rPr>
          <w:rFonts w:ascii="Times New Roman" w:hAnsi="Times New Roman" w:cs="Times New Roman"/>
          <w:sz w:val="20"/>
          <w:szCs w:val="20"/>
        </w:rPr>
        <w:t>koro</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A</w:t>
      </w:r>
      <w:r w:rsidR="00C553A2" w:rsidRPr="00D870FC">
        <w:rPr>
          <w:rFonts w:ascii="Times New Roman" w:hAnsi="Times New Roman" w:cs="Times New Roman"/>
          <w:sz w:val="20"/>
          <w:szCs w:val="20"/>
        </w:rPr>
        <w:t>gbor</w:t>
      </w:r>
      <w:proofErr w:type="spellEnd"/>
      <w:r w:rsidR="00C553A2" w:rsidRPr="00D870FC">
        <w:rPr>
          <w:rFonts w:ascii="Times New Roman" w:hAnsi="Times New Roman" w:cs="Times New Roman"/>
          <w:sz w:val="20"/>
          <w:szCs w:val="20"/>
        </w:rPr>
        <w:t xml:space="preserve"> had the lowest EC co</w:t>
      </w:r>
      <w:r w:rsidR="008D2055" w:rsidRPr="00D870FC">
        <w:rPr>
          <w:rFonts w:ascii="Times New Roman" w:hAnsi="Times New Roman" w:cs="Times New Roman"/>
          <w:sz w:val="20"/>
          <w:szCs w:val="20"/>
        </w:rPr>
        <w:t>ntent</w:t>
      </w:r>
      <w:r w:rsidR="00CD40FB" w:rsidRPr="00D870FC">
        <w:rPr>
          <w:rFonts w:ascii="Times New Roman" w:hAnsi="Times New Roman" w:cs="Times New Roman"/>
          <w:sz w:val="20"/>
          <w:szCs w:val="20"/>
        </w:rPr>
        <w:t xml:space="preserve"> but lower than the WHO standard for drinking water</w:t>
      </w:r>
      <w:r w:rsidR="008D2055" w:rsidRPr="00D870FC">
        <w:rPr>
          <w:rFonts w:ascii="Times New Roman" w:hAnsi="Times New Roman" w:cs="Times New Roman"/>
          <w:sz w:val="20"/>
          <w:szCs w:val="20"/>
        </w:rPr>
        <w:t>. The nitrates content in M</w:t>
      </w:r>
      <w:r w:rsidR="006E248E" w:rsidRPr="00D870FC">
        <w:rPr>
          <w:rFonts w:ascii="Times New Roman" w:hAnsi="Times New Roman" w:cs="Times New Roman"/>
          <w:sz w:val="20"/>
          <w:szCs w:val="20"/>
        </w:rPr>
        <w:t>ount Z</w:t>
      </w:r>
      <w:r w:rsidR="00C553A2" w:rsidRPr="00D870FC">
        <w:rPr>
          <w:rFonts w:ascii="Times New Roman" w:hAnsi="Times New Roman" w:cs="Times New Roman"/>
          <w:sz w:val="20"/>
          <w:szCs w:val="20"/>
        </w:rPr>
        <w:t>ion was significantly higher (p&lt;0.0</w:t>
      </w:r>
      <w:r w:rsidRPr="00D870FC">
        <w:rPr>
          <w:rFonts w:ascii="Times New Roman" w:hAnsi="Times New Roman" w:cs="Times New Roman"/>
          <w:sz w:val="20"/>
          <w:szCs w:val="20"/>
        </w:rPr>
        <w:t>5) tha</w:t>
      </w:r>
      <w:r w:rsidR="006E248E" w:rsidRPr="00D870FC">
        <w:rPr>
          <w:rFonts w:ascii="Times New Roman" w:hAnsi="Times New Roman" w:cs="Times New Roman"/>
          <w:sz w:val="20"/>
          <w:szCs w:val="20"/>
        </w:rPr>
        <w:t xml:space="preserve">n the nitrate content in </w:t>
      </w:r>
      <w:proofErr w:type="spellStart"/>
      <w:r w:rsidR="006E248E" w:rsidRPr="00D870FC">
        <w:rPr>
          <w:rFonts w:ascii="Times New Roman" w:hAnsi="Times New Roman" w:cs="Times New Roman"/>
          <w:sz w:val="20"/>
          <w:szCs w:val="20"/>
        </w:rPr>
        <w:t>Okoro</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A</w:t>
      </w:r>
      <w:r w:rsidRPr="00D870FC">
        <w:rPr>
          <w:rFonts w:ascii="Times New Roman" w:hAnsi="Times New Roman" w:cs="Times New Roman"/>
          <w:sz w:val="20"/>
          <w:szCs w:val="20"/>
        </w:rPr>
        <w:t>gbor</w:t>
      </w:r>
      <w:proofErr w:type="spellEnd"/>
      <w:r w:rsidRPr="00D870FC">
        <w:rPr>
          <w:rFonts w:ascii="Times New Roman" w:hAnsi="Times New Roman" w:cs="Times New Roman"/>
          <w:sz w:val="20"/>
          <w:szCs w:val="20"/>
        </w:rPr>
        <w:t xml:space="preserve"> and </w:t>
      </w:r>
      <w:proofErr w:type="spellStart"/>
      <w:r w:rsidRPr="00D870FC">
        <w:rPr>
          <w:rFonts w:ascii="Times New Roman" w:hAnsi="Times New Roman" w:cs="Times New Roman"/>
          <w:sz w:val="20"/>
          <w:szCs w:val="20"/>
        </w:rPr>
        <w:t>O</w:t>
      </w:r>
      <w:r w:rsidR="006E248E" w:rsidRPr="00D870FC">
        <w:rPr>
          <w:rFonts w:ascii="Times New Roman" w:hAnsi="Times New Roman" w:cs="Times New Roman"/>
          <w:sz w:val="20"/>
          <w:szCs w:val="20"/>
        </w:rPr>
        <w:t>rok</w:t>
      </w:r>
      <w:proofErr w:type="spellEnd"/>
      <w:r w:rsidR="006E248E" w:rsidRPr="00D870FC">
        <w:rPr>
          <w:rFonts w:ascii="Times New Roman" w:hAnsi="Times New Roman" w:cs="Times New Roman"/>
          <w:sz w:val="20"/>
          <w:szCs w:val="20"/>
        </w:rPr>
        <w:t xml:space="preserve"> </w:t>
      </w:r>
      <w:proofErr w:type="spellStart"/>
      <w:r w:rsidR="006E248E" w:rsidRPr="00D870FC">
        <w:rPr>
          <w:rFonts w:ascii="Times New Roman" w:hAnsi="Times New Roman" w:cs="Times New Roman"/>
          <w:sz w:val="20"/>
          <w:szCs w:val="20"/>
        </w:rPr>
        <w:t>O</w:t>
      </w:r>
      <w:r w:rsidR="00C553A2" w:rsidRPr="00D870FC">
        <w:rPr>
          <w:rFonts w:ascii="Times New Roman" w:hAnsi="Times New Roman" w:cs="Times New Roman"/>
          <w:sz w:val="20"/>
          <w:szCs w:val="20"/>
        </w:rPr>
        <w:t>rok</w:t>
      </w:r>
      <w:proofErr w:type="spellEnd"/>
      <w:r w:rsidR="00C553A2" w:rsidRPr="00D870FC">
        <w:rPr>
          <w:rFonts w:ascii="Times New Roman" w:hAnsi="Times New Roman" w:cs="Times New Roman"/>
          <w:sz w:val="20"/>
          <w:szCs w:val="20"/>
        </w:rPr>
        <w:t xml:space="preserve"> water samples that had no significant differences (p&gt;0.05).</w:t>
      </w:r>
      <w:r w:rsidR="0006708C" w:rsidRPr="00D870FC">
        <w:rPr>
          <w:rFonts w:ascii="Times New Roman" w:hAnsi="Times New Roman" w:cs="Times New Roman"/>
          <w:sz w:val="20"/>
          <w:szCs w:val="20"/>
        </w:rPr>
        <w:t xml:space="preserve"> B</w:t>
      </w:r>
      <w:r w:rsidR="00744F20" w:rsidRPr="00D870FC">
        <w:rPr>
          <w:rFonts w:ascii="Times New Roman" w:hAnsi="Times New Roman" w:cs="Times New Roman"/>
          <w:sz w:val="20"/>
          <w:szCs w:val="20"/>
        </w:rPr>
        <w:t xml:space="preserve">ut the nitrite content in water sample from OA was significantly higher than that of OO and MZ thus having significantly equal amount of nitrite. The result for the alkalinity of the water samples was significantly high in OO water sample followed by the alkaline content of MZ water sample which was then followed by the alkaline content of OA water sample. It was observed that the total hardness in OO water sample was </w:t>
      </w:r>
      <w:r w:rsidR="00744F20" w:rsidRPr="00D870FC">
        <w:rPr>
          <w:rFonts w:ascii="Times New Roman" w:hAnsi="Times New Roman" w:cs="Times New Roman"/>
          <w:sz w:val="20"/>
          <w:szCs w:val="20"/>
        </w:rPr>
        <w:lastRenderedPageBreak/>
        <w:t>significantly higher in OO water sample followed by the total hardness from OA and MZ that had no significant differences (P&gt;0.05) in their total hardness content. Calcium hardness was high in OO water sample followed by the calcium hardness in OA which was also followed by the calciu</w:t>
      </w:r>
      <w:r w:rsidR="00CD40FB" w:rsidRPr="00D870FC">
        <w:rPr>
          <w:rFonts w:ascii="Times New Roman" w:hAnsi="Times New Roman" w:cs="Times New Roman"/>
          <w:sz w:val="20"/>
          <w:szCs w:val="20"/>
        </w:rPr>
        <w:t>m hardness in m</w:t>
      </w:r>
      <w:r w:rsidR="00744F20" w:rsidRPr="00D870FC">
        <w:rPr>
          <w:rFonts w:ascii="Times New Roman" w:hAnsi="Times New Roman" w:cs="Times New Roman"/>
          <w:sz w:val="20"/>
          <w:szCs w:val="20"/>
        </w:rPr>
        <w:t xml:space="preserve">ount </w:t>
      </w:r>
      <w:proofErr w:type="spellStart"/>
      <w:r w:rsidR="00744F20" w:rsidRPr="00D870FC">
        <w:rPr>
          <w:rFonts w:ascii="Times New Roman" w:hAnsi="Times New Roman" w:cs="Times New Roman"/>
          <w:sz w:val="20"/>
          <w:szCs w:val="20"/>
        </w:rPr>
        <w:t>zion</w:t>
      </w:r>
      <w:proofErr w:type="spellEnd"/>
      <w:r w:rsidR="00744F20" w:rsidRPr="00D870FC">
        <w:rPr>
          <w:rFonts w:ascii="Times New Roman" w:hAnsi="Times New Roman" w:cs="Times New Roman"/>
          <w:sz w:val="20"/>
          <w:szCs w:val="20"/>
        </w:rPr>
        <w:t>. The result also shows that magnesium content was high in OO water sample while OA and MZ had similar amount of magnesium</w:t>
      </w:r>
      <w:r w:rsidR="00CD40FB" w:rsidRPr="00D870FC">
        <w:rPr>
          <w:rFonts w:ascii="Times New Roman" w:hAnsi="Times New Roman" w:cs="Times New Roman"/>
          <w:sz w:val="20"/>
          <w:szCs w:val="20"/>
        </w:rPr>
        <w:t>, the values obtained were significantly higher than the WHO standard</w:t>
      </w:r>
      <w:r w:rsidR="00482F27" w:rsidRPr="00D870FC">
        <w:rPr>
          <w:rFonts w:ascii="Times New Roman" w:hAnsi="Times New Roman" w:cs="Times New Roman"/>
          <w:sz w:val="20"/>
          <w:szCs w:val="20"/>
        </w:rPr>
        <w:t>. The TDS in OO water samples was significantly higher (p&lt;0.05) than the TDS of MZ water sample that was followed by OA water sample. It was observed that the TSS of OA water sample was higher than the TSS of OO and MZ water samples that shows no significant differences (p&gt;0.05). The result revealed that the chloride content of OA was significantly higher than the chloride content of OO and MZ water sample that had no significant difference (p&lt;0.05)</w:t>
      </w:r>
      <w:r w:rsidR="001B79C6" w:rsidRPr="00D870FC">
        <w:rPr>
          <w:rFonts w:ascii="Times New Roman" w:hAnsi="Times New Roman" w:cs="Times New Roman"/>
          <w:sz w:val="20"/>
          <w:szCs w:val="20"/>
        </w:rPr>
        <w:t>. It</w:t>
      </w:r>
      <w:r w:rsidR="00482F27" w:rsidRPr="00D870FC">
        <w:rPr>
          <w:rFonts w:ascii="Times New Roman" w:hAnsi="Times New Roman" w:cs="Times New Roman"/>
          <w:sz w:val="20"/>
          <w:szCs w:val="20"/>
        </w:rPr>
        <w:t xml:space="preserve"> was also observed that the potassium and </w:t>
      </w:r>
      <w:proofErr w:type="spellStart"/>
      <w:r w:rsidR="00482F27" w:rsidRPr="00D870FC">
        <w:rPr>
          <w:rFonts w:ascii="Times New Roman" w:hAnsi="Times New Roman" w:cs="Times New Roman"/>
          <w:sz w:val="20"/>
          <w:szCs w:val="20"/>
        </w:rPr>
        <w:t>sulphate</w:t>
      </w:r>
      <w:proofErr w:type="spellEnd"/>
      <w:r w:rsidR="00482F27" w:rsidRPr="00D870FC">
        <w:rPr>
          <w:rFonts w:ascii="Times New Roman" w:hAnsi="Times New Roman" w:cs="Times New Roman"/>
          <w:sz w:val="20"/>
          <w:szCs w:val="20"/>
        </w:rPr>
        <w:t xml:space="preserve"> content of OO and MZ water sample were significantly higher</w:t>
      </w:r>
      <w:r w:rsidR="004A4F20" w:rsidRPr="00D870FC">
        <w:rPr>
          <w:rFonts w:ascii="Times New Roman" w:hAnsi="Times New Roman" w:cs="Times New Roman"/>
          <w:sz w:val="20"/>
          <w:szCs w:val="20"/>
        </w:rPr>
        <w:t xml:space="preserve"> (p&lt;0.05)</w:t>
      </w:r>
      <w:r w:rsidR="00482F27" w:rsidRPr="00D870FC">
        <w:rPr>
          <w:rFonts w:ascii="Times New Roman" w:hAnsi="Times New Roman" w:cs="Times New Roman"/>
          <w:sz w:val="20"/>
          <w:szCs w:val="20"/>
        </w:rPr>
        <w:t xml:space="preserve"> than that of OA water sample</w:t>
      </w:r>
      <w:r w:rsidR="00622ECF" w:rsidRPr="00D870FC">
        <w:rPr>
          <w:rFonts w:ascii="Times New Roman" w:hAnsi="Times New Roman" w:cs="Times New Roman"/>
          <w:sz w:val="20"/>
          <w:szCs w:val="20"/>
        </w:rPr>
        <w:t xml:space="preserve"> (Table 1)</w:t>
      </w:r>
      <w:r w:rsidR="00482F27" w:rsidRPr="00D870FC">
        <w:rPr>
          <w:rFonts w:ascii="Times New Roman" w:hAnsi="Times New Roman" w:cs="Times New Roman"/>
          <w:sz w:val="20"/>
          <w:szCs w:val="20"/>
        </w:rPr>
        <w:t>.</w:t>
      </w:r>
      <w:r w:rsidR="00CD40FB" w:rsidRPr="00D870FC">
        <w:rPr>
          <w:rFonts w:ascii="Times New Roman" w:hAnsi="Times New Roman" w:cs="Times New Roman"/>
          <w:sz w:val="20"/>
          <w:szCs w:val="20"/>
        </w:rPr>
        <w:t xml:space="preserve"> However the values of the physical and chemical properties of the boreholes water samples were significantly lower than the WHO standard for drinking water except th</w:t>
      </w:r>
      <w:r w:rsidR="0098067A" w:rsidRPr="00D870FC">
        <w:rPr>
          <w:rFonts w:ascii="Times New Roman" w:hAnsi="Times New Roman" w:cs="Times New Roman"/>
          <w:sz w:val="20"/>
          <w:szCs w:val="20"/>
        </w:rPr>
        <w:t>e magnesium content which shows high content above the WHO standard.</w:t>
      </w:r>
    </w:p>
    <w:p w:rsidR="00754FB6" w:rsidRPr="00D870FC" w:rsidRDefault="00482F27" w:rsidP="00D870FC">
      <w:pPr>
        <w:adjustRightInd w:val="0"/>
        <w:snapToGrid w:val="0"/>
        <w:spacing w:after="0" w:line="240" w:lineRule="auto"/>
        <w:ind w:firstLine="720"/>
        <w:jc w:val="both"/>
        <w:rPr>
          <w:rFonts w:ascii="TimesNewRoman" w:hAnsi="TimesNewRoman" w:cs="TimesNewRoman"/>
          <w:sz w:val="20"/>
          <w:szCs w:val="20"/>
        </w:rPr>
      </w:pPr>
      <w:r w:rsidRPr="00D870FC">
        <w:rPr>
          <w:rFonts w:ascii="Times New Roman" w:hAnsi="Times New Roman" w:cs="Times New Roman"/>
          <w:sz w:val="20"/>
          <w:szCs w:val="20"/>
        </w:rPr>
        <w:t xml:space="preserve">The results obtained shows that there were significant differences (p&lt;0.05) in the iron content of the borehole water sample. The </w:t>
      </w:r>
      <w:r w:rsidR="009B7557" w:rsidRPr="00D870FC">
        <w:rPr>
          <w:rFonts w:ascii="Times New Roman" w:hAnsi="Times New Roman" w:cs="Times New Roman"/>
          <w:sz w:val="20"/>
          <w:szCs w:val="20"/>
        </w:rPr>
        <w:t xml:space="preserve">OA </w:t>
      </w:r>
      <w:r w:rsidR="001B79C6" w:rsidRPr="00D870FC">
        <w:rPr>
          <w:rFonts w:ascii="Times New Roman" w:hAnsi="Times New Roman" w:cs="Times New Roman"/>
          <w:sz w:val="20"/>
          <w:szCs w:val="20"/>
        </w:rPr>
        <w:t>borehole water sample contain</w:t>
      </w:r>
      <w:r w:rsidR="009B7557" w:rsidRPr="00D870FC">
        <w:rPr>
          <w:rFonts w:ascii="Times New Roman" w:hAnsi="Times New Roman" w:cs="Times New Roman"/>
          <w:sz w:val="20"/>
          <w:szCs w:val="20"/>
        </w:rPr>
        <w:t xml:space="preserve"> significantly high (p&lt;0.05) </w:t>
      </w:r>
      <w:r w:rsidR="001B79C6" w:rsidRPr="00D870FC">
        <w:rPr>
          <w:rFonts w:ascii="Times New Roman" w:hAnsi="Times New Roman" w:cs="Times New Roman"/>
          <w:sz w:val="20"/>
          <w:szCs w:val="20"/>
        </w:rPr>
        <w:t xml:space="preserve">amount of </w:t>
      </w:r>
      <w:r w:rsidR="009B7557" w:rsidRPr="00D870FC">
        <w:rPr>
          <w:rFonts w:ascii="Times New Roman" w:hAnsi="Times New Roman" w:cs="Times New Roman"/>
          <w:sz w:val="20"/>
          <w:szCs w:val="20"/>
        </w:rPr>
        <w:t>irons with m</w:t>
      </w:r>
      <w:r w:rsidR="005473B2" w:rsidRPr="00D870FC">
        <w:rPr>
          <w:rFonts w:ascii="Times New Roman" w:hAnsi="Times New Roman" w:cs="Times New Roman"/>
          <w:sz w:val="20"/>
          <w:szCs w:val="20"/>
        </w:rPr>
        <w:t>eans of 1.98 followed by the iron content present in OO and MZ that shows no significant difference (p&gt;0.05)</w:t>
      </w:r>
      <w:r w:rsidR="005500DC" w:rsidRPr="00D870FC">
        <w:rPr>
          <w:rFonts w:ascii="Times New Roman" w:hAnsi="Times New Roman" w:cs="Times New Roman"/>
          <w:sz w:val="20"/>
          <w:szCs w:val="20"/>
        </w:rPr>
        <w:t xml:space="preserve">, thus with means of 0.56 and 0.66 respectively. The manganese content in OA and OO </w:t>
      </w:r>
      <w:r w:rsidR="001B79C6" w:rsidRPr="00D870FC">
        <w:rPr>
          <w:rFonts w:ascii="Times New Roman" w:hAnsi="Times New Roman" w:cs="Times New Roman"/>
          <w:sz w:val="20"/>
          <w:szCs w:val="20"/>
        </w:rPr>
        <w:t xml:space="preserve">water samples </w:t>
      </w:r>
      <w:r w:rsidR="005500DC" w:rsidRPr="00D870FC">
        <w:rPr>
          <w:rFonts w:ascii="Times New Roman" w:hAnsi="Times New Roman" w:cs="Times New Roman"/>
          <w:sz w:val="20"/>
          <w:szCs w:val="20"/>
        </w:rPr>
        <w:t>were the same followed by the manganese content in MZ</w:t>
      </w:r>
      <w:r w:rsidR="001B79C6" w:rsidRPr="00D870FC">
        <w:rPr>
          <w:rFonts w:ascii="Times New Roman" w:hAnsi="Times New Roman" w:cs="Times New Roman"/>
          <w:sz w:val="20"/>
          <w:szCs w:val="20"/>
        </w:rPr>
        <w:t xml:space="preserve"> water sample</w:t>
      </w:r>
      <w:r w:rsidR="005500DC" w:rsidRPr="00D870FC">
        <w:rPr>
          <w:rFonts w:ascii="Times New Roman" w:hAnsi="Times New Roman" w:cs="Times New Roman"/>
          <w:sz w:val="20"/>
          <w:szCs w:val="20"/>
        </w:rPr>
        <w:t>. It was observed that the fluoride content of MZ was significantly higher</w:t>
      </w:r>
      <w:r w:rsidR="001B79C6" w:rsidRPr="00D870FC">
        <w:rPr>
          <w:rFonts w:ascii="Times New Roman" w:hAnsi="Times New Roman" w:cs="Times New Roman"/>
          <w:sz w:val="20"/>
          <w:szCs w:val="20"/>
        </w:rPr>
        <w:t xml:space="preserve"> (p&lt;0.05)</w:t>
      </w:r>
      <w:r w:rsidR="005500DC" w:rsidRPr="00D870FC">
        <w:rPr>
          <w:rFonts w:ascii="Times New Roman" w:hAnsi="Times New Roman" w:cs="Times New Roman"/>
          <w:sz w:val="20"/>
          <w:szCs w:val="20"/>
        </w:rPr>
        <w:t xml:space="preserve"> than the fluoride content in OA and OO which had significantly equal amount of fluoride. The ammonia content in OA was significantly higher (p&lt;0.05) than that of MZ while OO water sample had the lowest ammon</w:t>
      </w:r>
      <w:r w:rsidR="001B79C6" w:rsidRPr="00D870FC">
        <w:rPr>
          <w:rFonts w:ascii="Times New Roman" w:hAnsi="Times New Roman" w:cs="Times New Roman"/>
          <w:sz w:val="20"/>
          <w:szCs w:val="20"/>
        </w:rPr>
        <w:t xml:space="preserve">ia content. The result also revealed </w:t>
      </w:r>
      <w:r w:rsidR="005500DC" w:rsidRPr="00D870FC">
        <w:rPr>
          <w:rFonts w:ascii="Times New Roman" w:hAnsi="Times New Roman" w:cs="Times New Roman"/>
          <w:sz w:val="20"/>
          <w:szCs w:val="20"/>
        </w:rPr>
        <w:t>that the ammonium content in MZ</w:t>
      </w:r>
      <w:r w:rsidR="001B79C6" w:rsidRPr="00D870FC">
        <w:rPr>
          <w:rFonts w:ascii="Times New Roman" w:hAnsi="Times New Roman" w:cs="Times New Roman"/>
          <w:sz w:val="20"/>
          <w:szCs w:val="20"/>
        </w:rPr>
        <w:t>, OO and OA</w:t>
      </w:r>
      <w:r w:rsidR="005500DC" w:rsidRPr="00D870FC">
        <w:rPr>
          <w:rFonts w:ascii="Times New Roman" w:hAnsi="Times New Roman" w:cs="Times New Roman"/>
          <w:sz w:val="20"/>
          <w:szCs w:val="20"/>
        </w:rPr>
        <w:t xml:space="preserve"> water sample</w:t>
      </w:r>
      <w:r w:rsidR="001B79C6" w:rsidRPr="00D870FC">
        <w:rPr>
          <w:rFonts w:ascii="Times New Roman" w:hAnsi="Times New Roman" w:cs="Times New Roman"/>
          <w:sz w:val="20"/>
          <w:szCs w:val="20"/>
        </w:rPr>
        <w:t>s were significantly the same</w:t>
      </w:r>
      <w:r w:rsidR="005500DC" w:rsidRPr="00D870FC">
        <w:rPr>
          <w:rFonts w:ascii="Times New Roman" w:hAnsi="Times New Roman" w:cs="Times New Roman"/>
          <w:sz w:val="20"/>
          <w:szCs w:val="20"/>
        </w:rPr>
        <w:t>. The result shows that c</w:t>
      </w:r>
      <w:r w:rsidR="004C41B4" w:rsidRPr="00D870FC">
        <w:rPr>
          <w:rFonts w:ascii="Times New Roman" w:hAnsi="Times New Roman" w:cs="Times New Roman"/>
          <w:sz w:val="20"/>
          <w:szCs w:val="20"/>
        </w:rPr>
        <w:t>yanides, chromates, zinc and aluminum were not present in all the water samples while copper was only detected in small amount</w:t>
      </w:r>
      <w:r w:rsidR="006E248E" w:rsidRPr="00D870FC">
        <w:rPr>
          <w:rFonts w:ascii="Times New Roman" w:hAnsi="Times New Roman" w:cs="Times New Roman"/>
          <w:sz w:val="20"/>
          <w:szCs w:val="20"/>
        </w:rPr>
        <w:t>s</w:t>
      </w:r>
      <w:r w:rsidR="004C41B4" w:rsidRPr="00D870FC">
        <w:rPr>
          <w:rFonts w:ascii="Times New Roman" w:hAnsi="Times New Roman" w:cs="Times New Roman"/>
          <w:sz w:val="20"/>
          <w:szCs w:val="20"/>
        </w:rPr>
        <w:t xml:space="preserve"> in OA water sampl</w:t>
      </w:r>
      <w:r w:rsidR="00BD689C" w:rsidRPr="00D870FC">
        <w:rPr>
          <w:rFonts w:ascii="Times New Roman" w:hAnsi="Times New Roman" w:cs="Times New Roman"/>
          <w:sz w:val="20"/>
          <w:szCs w:val="20"/>
        </w:rPr>
        <w:t>e but not present in OO and MZ</w:t>
      </w:r>
      <w:r w:rsidR="00622ECF" w:rsidRPr="00D870FC">
        <w:rPr>
          <w:rFonts w:ascii="Times New Roman" w:hAnsi="Times New Roman" w:cs="Times New Roman"/>
          <w:sz w:val="20"/>
          <w:szCs w:val="20"/>
        </w:rPr>
        <w:t xml:space="preserve"> (Table 2)</w:t>
      </w:r>
      <w:r w:rsidR="00BD689C" w:rsidRPr="00D870FC">
        <w:rPr>
          <w:rFonts w:ascii="Times New Roman" w:hAnsi="Times New Roman" w:cs="Times New Roman"/>
          <w:sz w:val="20"/>
          <w:szCs w:val="20"/>
        </w:rPr>
        <w:t>.</w:t>
      </w:r>
      <w:r w:rsidR="0098067A" w:rsidRPr="00D870FC">
        <w:rPr>
          <w:rFonts w:ascii="Times New Roman" w:hAnsi="Times New Roman" w:cs="Times New Roman"/>
          <w:sz w:val="20"/>
          <w:szCs w:val="20"/>
        </w:rPr>
        <w:t xml:space="preserve"> The values of the heavy metal content of the boreholes water samples were significantly lower than the WHO standard for drinking water.</w:t>
      </w:r>
      <w:r w:rsidR="00BD689C" w:rsidRPr="00D870FC">
        <w:rPr>
          <w:rFonts w:ascii="Times New Roman" w:hAnsi="Times New Roman" w:cs="Times New Roman"/>
          <w:sz w:val="20"/>
          <w:szCs w:val="20"/>
        </w:rPr>
        <w:t xml:space="preserve"> </w:t>
      </w:r>
      <w:r w:rsidR="009B7904" w:rsidRPr="00D870FC">
        <w:rPr>
          <w:rFonts w:ascii="Times New Roman" w:hAnsi="Times New Roman" w:cs="Times New Roman"/>
          <w:sz w:val="20"/>
          <w:szCs w:val="20"/>
        </w:rPr>
        <w:t xml:space="preserve">Potable drinking water is essential in maintaining quality health. Contamination of streams, rivers, wells and boreholes results in accumulation of </w:t>
      </w:r>
      <w:r w:rsidR="009B7904" w:rsidRPr="00D870FC">
        <w:rPr>
          <w:rFonts w:ascii="Times New Roman" w:hAnsi="Times New Roman" w:cs="Times New Roman"/>
          <w:sz w:val="20"/>
          <w:szCs w:val="20"/>
        </w:rPr>
        <w:lastRenderedPageBreak/>
        <w:t>several</w:t>
      </w:r>
      <w:r w:rsidR="00A45923" w:rsidRPr="00D870FC">
        <w:rPr>
          <w:rFonts w:ascii="Times New Roman" w:hAnsi="Times New Roman" w:cs="Times New Roman"/>
          <w:sz w:val="20"/>
          <w:szCs w:val="20"/>
        </w:rPr>
        <w:t xml:space="preserve"> bacterial, heavy metals in the </w:t>
      </w:r>
      <w:r w:rsidR="007F7865" w:rsidRPr="00D870FC">
        <w:rPr>
          <w:rFonts w:ascii="Times New Roman" w:hAnsi="Times New Roman" w:cs="Times New Roman"/>
          <w:sz w:val="20"/>
          <w:szCs w:val="20"/>
        </w:rPr>
        <w:t>human system which leads</w:t>
      </w:r>
      <w:r w:rsidR="009B7904" w:rsidRPr="00D870FC">
        <w:rPr>
          <w:rFonts w:ascii="Times New Roman" w:hAnsi="Times New Roman" w:cs="Times New Roman"/>
          <w:sz w:val="20"/>
          <w:szCs w:val="20"/>
        </w:rPr>
        <w:t xml:space="preserve"> to </w:t>
      </w:r>
      <w:proofErr w:type="spellStart"/>
      <w:r w:rsidR="009B7904" w:rsidRPr="00D870FC">
        <w:rPr>
          <w:rFonts w:ascii="Times New Roman" w:hAnsi="Times New Roman" w:cs="Times New Roman"/>
          <w:sz w:val="20"/>
          <w:szCs w:val="20"/>
        </w:rPr>
        <w:t>neprotoxicity</w:t>
      </w:r>
      <w:proofErr w:type="spellEnd"/>
      <w:r w:rsidR="009B7904" w:rsidRPr="00D870FC">
        <w:rPr>
          <w:rFonts w:ascii="Times New Roman" w:hAnsi="Times New Roman" w:cs="Times New Roman"/>
          <w:sz w:val="20"/>
          <w:szCs w:val="20"/>
        </w:rPr>
        <w:t xml:space="preserve">, </w:t>
      </w:r>
      <w:proofErr w:type="spellStart"/>
      <w:r w:rsidR="009B7904" w:rsidRPr="00D870FC">
        <w:rPr>
          <w:rFonts w:ascii="Times New Roman" w:hAnsi="Times New Roman" w:cs="Times New Roman"/>
          <w:sz w:val="20"/>
          <w:szCs w:val="20"/>
        </w:rPr>
        <w:t>heptot</w:t>
      </w:r>
      <w:r w:rsidR="00747576" w:rsidRPr="00D870FC">
        <w:rPr>
          <w:rFonts w:ascii="Times New Roman" w:hAnsi="Times New Roman" w:cs="Times New Roman"/>
          <w:sz w:val="20"/>
          <w:szCs w:val="20"/>
        </w:rPr>
        <w:t>oxic</w:t>
      </w:r>
      <w:r w:rsidR="00A45923" w:rsidRPr="00D870FC">
        <w:rPr>
          <w:rFonts w:ascii="Times New Roman" w:hAnsi="Times New Roman" w:cs="Times New Roman"/>
          <w:sz w:val="20"/>
          <w:szCs w:val="20"/>
        </w:rPr>
        <w:t>ity</w:t>
      </w:r>
      <w:proofErr w:type="spellEnd"/>
      <w:r w:rsidR="00A45923" w:rsidRPr="00D870FC">
        <w:rPr>
          <w:rFonts w:ascii="Times New Roman" w:hAnsi="Times New Roman" w:cs="Times New Roman"/>
          <w:sz w:val="20"/>
          <w:szCs w:val="20"/>
        </w:rPr>
        <w:t xml:space="preserve">, cancer and other </w:t>
      </w:r>
      <w:proofErr w:type="spellStart"/>
      <w:r w:rsidR="00A45923" w:rsidRPr="00D870FC">
        <w:rPr>
          <w:rFonts w:ascii="Times New Roman" w:hAnsi="Times New Roman" w:cs="Times New Roman"/>
          <w:sz w:val="20"/>
          <w:szCs w:val="20"/>
        </w:rPr>
        <w:t>nephorous</w:t>
      </w:r>
      <w:proofErr w:type="spellEnd"/>
      <w:r w:rsidR="00A45923" w:rsidRPr="00D870FC">
        <w:rPr>
          <w:rFonts w:ascii="Times New Roman" w:hAnsi="Times New Roman" w:cs="Times New Roman"/>
          <w:sz w:val="20"/>
          <w:szCs w:val="20"/>
        </w:rPr>
        <w:t xml:space="preserve"> </w:t>
      </w:r>
      <w:r w:rsidR="00747576" w:rsidRPr="00D870FC">
        <w:rPr>
          <w:rFonts w:ascii="Times New Roman" w:hAnsi="Times New Roman" w:cs="Times New Roman"/>
          <w:sz w:val="20"/>
          <w:szCs w:val="20"/>
        </w:rPr>
        <w:t>diseases.</w:t>
      </w:r>
      <w:r w:rsidR="00FE2F26" w:rsidRPr="00D870FC">
        <w:rPr>
          <w:rFonts w:ascii="Times New Roman" w:hAnsi="Times New Roman" w:cs="Times New Roman"/>
          <w:sz w:val="20"/>
          <w:szCs w:val="20"/>
        </w:rPr>
        <w:t xml:space="preserve"> Although pH usually has no direct impact on water consumers, it is one of the most </w:t>
      </w:r>
      <w:r w:rsidR="00A45923" w:rsidRPr="00D870FC">
        <w:rPr>
          <w:rFonts w:ascii="Times New Roman" w:hAnsi="Times New Roman" w:cs="Times New Roman"/>
          <w:sz w:val="20"/>
          <w:szCs w:val="20"/>
        </w:rPr>
        <w:t xml:space="preserve">important </w:t>
      </w:r>
      <w:r w:rsidR="00FE2F26" w:rsidRPr="00D870FC">
        <w:rPr>
          <w:rFonts w:ascii="Times New Roman" w:hAnsi="Times New Roman" w:cs="Times New Roman"/>
          <w:sz w:val="20"/>
          <w:szCs w:val="20"/>
        </w:rPr>
        <w:t>operational water-quality parameters. Careful attention to pH control is necessary at all stages</w:t>
      </w:r>
      <w:r w:rsidR="00CD77DE" w:rsidRPr="00D870FC">
        <w:rPr>
          <w:rFonts w:ascii="Times New Roman" w:hAnsi="Times New Roman" w:cs="Times New Roman"/>
          <w:sz w:val="20"/>
          <w:szCs w:val="20"/>
        </w:rPr>
        <w:t xml:space="preserve"> </w:t>
      </w:r>
      <w:r w:rsidR="00FE2F26" w:rsidRPr="00D870FC">
        <w:rPr>
          <w:rFonts w:ascii="Times New Roman" w:hAnsi="Times New Roman" w:cs="Times New Roman"/>
          <w:sz w:val="20"/>
          <w:szCs w:val="20"/>
        </w:rPr>
        <w:t>of water treatment to ensure satisfactory water clarification and disinfection. For effective</w:t>
      </w:r>
      <w:r w:rsidR="00BD689C" w:rsidRPr="00D870FC">
        <w:rPr>
          <w:rFonts w:ascii="Times New Roman" w:hAnsi="Times New Roman" w:cs="Times New Roman"/>
          <w:sz w:val="20"/>
          <w:szCs w:val="20"/>
        </w:rPr>
        <w:t xml:space="preserve"> </w:t>
      </w:r>
      <w:r w:rsidR="00FE2F26" w:rsidRPr="00D870FC">
        <w:rPr>
          <w:rFonts w:ascii="Times New Roman" w:hAnsi="Times New Roman" w:cs="Times New Roman"/>
          <w:sz w:val="20"/>
          <w:szCs w:val="20"/>
        </w:rPr>
        <w:t>disinfection with chlorine, the pH should preferably be less than 8. The pH of the water</w:t>
      </w:r>
      <w:r w:rsidR="00A45923" w:rsidRPr="00D870FC">
        <w:rPr>
          <w:rFonts w:ascii="Times New Roman" w:hAnsi="Times New Roman" w:cs="Times New Roman"/>
          <w:sz w:val="20"/>
          <w:szCs w:val="20"/>
        </w:rPr>
        <w:t xml:space="preserve"> </w:t>
      </w:r>
      <w:r w:rsidR="00FE2F26" w:rsidRPr="00D870FC">
        <w:rPr>
          <w:rFonts w:ascii="Times New Roman" w:hAnsi="Times New Roman" w:cs="Times New Roman"/>
          <w:sz w:val="20"/>
          <w:szCs w:val="20"/>
        </w:rPr>
        <w:t>entering the distribution system must be controlled to minimize the corrosion of water mains</w:t>
      </w:r>
      <w:r w:rsidR="00CD77DE" w:rsidRPr="00D870FC">
        <w:rPr>
          <w:rFonts w:ascii="Times New Roman" w:hAnsi="Times New Roman" w:cs="Times New Roman"/>
          <w:sz w:val="20"/>
          <w:szCs w:val="20"/>
        </w:rPr>
        <w:t xml:space="preserve"> and pipes in household water systems. Failure to do so can result in the contamination of</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 xml:space="preserve">drinking-water and in adverse effects on its taste, </w:t>
      </w:r>
      <w:proofErr w:type="spellStart"/>
      <w:r w:rsidR="00CD77DE" w:rsidRPr="00D870FC">
        <w:rPr>
          <w:rFonts w:ascii="Times New Roman" w:hAnsi="Times New Roman" w:cs="Times New Roman"/>
          <w:sz w:val="20"/>
          <w:szCs w:val="20"/>
        </w:rPr>
        <w:t>odour</w:t>
      </w:r>
      <w:proofErr w:type="spellEnd"/>
      <w:r w:rsidR="00CD77DE" w:rsidRPr="00D870FC">
        <w:rPr>
          <w:rFonts w:ascii="Times New Roman" w:hAnsi="Times New Roman" w:cs="Times New Roman"/>
          <w:sz w:val="20"/>
          <w:szCs w:val="20"/>
        </w:rPr>
        <w:t>, and appearance.</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The optimum pH will vary in different supplies according to the composition of the water and</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the nature of the construction materials used in the distribution system, but is often in the</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range 6.5–9.5. Exposure to extreme pH values results in irritation to the eyes, skin, and mucous membranes.</w:t>
      </w:r>
      <w:r w:rsidR="00874B1A"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Eye irritation and exacerbation of skin disorders have been associated with pH values greater</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than 11. Below pH 4, redness and irritation of the eyes have</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been reported, the severity of which increases with decreasing pH. Below pH 2.5, damage to</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the epithelium is irreversible and extensive (</w:t>
      </w:r>
      <w:r w:rsidR="00CD77DE" w:rsidRPr="00D870FC">
        <w:rPr>
          <w:rFonts w:ascii="Times New Roman" w:hAnsi="Times New Roman" w:cs="Times New Roman"/>
          <w:iCs/>
          <w:sz w:val="20"/>
          <w:szCs w:val="20"/>
        </w:rPr>
        <w:t>WHO, 1986</w:t>
      </w:r>
      <w:r w:rsidR="00CD77DE" w:rsidRPr="00D870FC">
        <w:rPr>
          <w:rFonts w:ascii="Times New Roman" w:hAnsi="Times New Roman" w:cs="Times New Roman"/>
          <w:sz w:val="20"/>
          <w:szCs w:val="20"/>
        </w:rPr>
        <w:t>). In addition, because pH can affect the degree</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of corrosion of metals as well as disinfection efficiency, it may have an indirect effect on</w:t>
      </w:r>
      <w:r w:rsidR="00A45923" w:rsidRPr="00D870FC">
        <w:rPr>
          <w:rFonts w:ascii="Times New Roman" w:hAnsi="Times New Roman" w:cs="Times New Roman"/>
          <w:sz w:val="20"/>
          <w:szCs w:val="20"/>
        </w:rPr>
        <w:t xml:space="preserve"> </w:t>
      </w:r>
      <w:r w:rsidR="00CD77DE" w:rsidRPr="00D870FC">
        <w:rPr>
          <w:rFonts w:ascii="Times New Roman" w:hAnsi="Times New Roman" w:cs="Times New Roman"/>
          <w:sz w:val="20"/>
          <w:szCs w:val="20"/>
        </w:rPr>
        <w:t>health.</w:t>
      </w:r>
      <w:r w:rsidR="00874B1A" w:rsidRPr="00D870FC">
        <w:rPr>
          <w:rFonts w:ascii="Times New Roman" w:hAnsi="Times New Roman" w:cs="Times New Roman"/>
          <w:sz w:val="20"/>
          <w:szCs w:val="20"/>
        </w:rPr>
        <w:t xml:space="preserve"> High levels of nitrate in drinking water are a health concern primarily because of the potential for the nitrate to be</w:t>
      </w:r>
      <w:r w:rsidR="00A45923" w:rsidRPr="00D870FC">
        <w:rPr>
          <w:rFonts w:ascii="Times New Roman" w:hAnsi="Times New Roman" w:cs="Times New Roman"/>
          <w:sz w:val="20"/>
          <w:szCs w:val="20"/>
        </w:rPr>
        <w:t xml:space="preserve"> </w:t>
      </w:r>
      <w:r w:rsidR="00874B1A" w:rsidRPr="00D870FC">
        <w:rPr>
          <w:rFonts w:ascii="Times New Roman" w:hAnsi="Times New Roman" w:cs="Times New Roman"/>
          <w:sz w:val="20"/>
          <w:szCs w:val="20"/>
        </w:rPr>
        <w:t>converted to nitrite. Nitrite int</w:t>
      </w:r>
      <w:r w:rsidR="006E248E" w:rsidRPr="00D870FC">
        <w:rPr>
          <w:rFonts w:ascii="Times New Roman" w:hAnsi="Times New Roman" w:cs="Times New Roman"/>
          <w:sz w:val="20"/>
          <w:szCs w:val="20"/>
        </w:rPr>
        <w:t>erferes with the ability of the</w:t>
      </w:r>
      <w:r w:rsidR="00874B1A" w:rsidRPr="00D870FC">
        <w:rPr>
          <w:rFonts w:ascii="Times New Roman" w:hAnsi="Times New Roman" w:cs="Times New Roman"/>
          <w:sz w:val="20"/>
          <w:szCs w:val="20"/>
        </w:rPr>
        <w:t xml:space="preserve"> blood to carry oxygen. It</w:t>
      </w:r>
      <w:r w:rsidR="00A45923" w:rsidRPr="00D870FC">
        <w:rPr>
          <w:rFonts w:ascii="Times New Roman" w:hAnsi="Times New Roman" w:cs="Times New Roman"/>
          <w:sz w:val="20"/>
          <w:szCs w:val="20"/>
        </w:rPr>
        <w:t xml:space="preserve"> </w:t>
      </w:r>
      <w:r w:rsidR="00874B1A" w:rsidRPr="00D870FC">
        <w:rPr>
          <w:rFonts w:ascii="Times New Roman" w:hAnsi="Times New Roman" w:cs="Times New Roman"/>
          <w:sz w:val="20"/>
          <w:szCs w:val="20"/>
        </w:rPr>
        <w:t xml:space="preserve">does this by converting blood hemoglobin into </w:t>
      </w:r>
      <w:proofErr w:type="spellStart"/>
      <w:r w:rsidR="00874B1A" w:rsidRPr="00D870FC">
        <w:rPr>
          <w:rFonts w:ascii="Times New Roman" w:hAnsi="Times New Roman" w:cs="Times New Roman"/>
          <w:sz w:val="20"/>
          <w:szCs w:val="20"/>
        </w:rPr>
        <w:t>methemoglobin</w:t>
      </w:r>
      <w:proofErr w:type="spellEnd"/>
      <w:r w:rsidR="00874B1A" w:rsidRPr="00D870FC">
        <w:rPr>
          <w:rFonts w:ascii="Times New Roman" w:hAnsi="Times New Roman" w:cs="Times New Roman"/>
          <w:sz w:val="20"/>
          <w:szCs w:val="20"/>
        </w:rPr>
        <w:t xml:space="preserve">. Unlike hemoglobin, </w:t>
      </w:r>
      <w:proofErr w:type="spellStart"/>
      <w:r w:rsidR="00874B1A" w:rsidRPr="00D870FC">
        <w:rPr>
          <w:rFonts w:ascii="Times New Roman" w:hAnsi="Times New Roman" w:cs="Times New Roman"/>
          <w:sz w:val="20"/>
          <w:szCs w:val="20"/>
        </w:rPr>
        <w:t>methemoglobin</w:t>
      </w:r>
      <w:proofErr w:type="spellEnd"/>
      <w:r w:rsidR="00874B1A" w:rsidRPr="00D870FC">
        <w:rPr>
          <w:rFonts w:ascii="Times New Roman" w:hAnsi="Times New Roman" w:cs="Times New Roman"/>
          <w:sz w:val="20"/>
          <w:szCs w:val="20"/>
        </w:rPr>
        <w:t xml:space="preserve"> does not function as an oxygen carrier to the tissue. The resulting condition is known as </w:t>
      </w:r>
      <w:proofErr w:type="spellStart"/>
      <w:r w:rsidR="00874B1A" w:rsidRPr="00D870FC">
        <w:rPr>
          <w:rFonts w:ascii="Times New Roman" w:hAnsi="Times New Roman" w:cs="Times New Roman"/>
          <w:sz w:val="20"/>
          <w:szCs w:val="20"/>
        </w:rPr>
        <w:t>methemoglobinemia</w:t>
      </w:r>
      <w:proofErr w:type="spellEnd"/>
      <w:r w:rsidR="00874B1A" w:rsidRPr="00D870FC">
        <w:rPr>
          <w:rFonts w:ascii="Times New Roman" w:hAnsi="Times New Roman" w:cs="Times New Roman"/>
          <w:sz w:val="20"/>
          <w:szCs w:val="20"/>
        </w:rPr>
        <w:t xml:space="preserve"> and causes severe oxygen deficiency and can lead to death. The sensitive populations are infants, individuals with reduced gastric acidity, individuals with a hereditary lack of </w:t>
      </w:r>
      <w:proofErr w:type="spellStart"/>
      <w:r w:rsidR="00874B1A" w:rsidRPr="00D870FC">
        <w:rPr>
          <w:rFonts w:ascii="Times New Roman" w:hAnsi="Times New Roman" w:cs="Times New Roman"/>
          <w:sz w:val="20"/>
          <w:szCs w:val="20"/>
        </w:rPr>
        <w:t>methemoglobin</w:t>
      </w:r>
      <w:proofErr w:type="spellEnd"/>
      <w:r w:rsidR="00874B1A" w:rsidRPr="00D870FC">
        <w:rPr>
          <w:rFonts w:ascii="Times New Roman" w:hAnsi="Times New Roman" w:cs="Times New Roman"/>
          <w:sz w:val="20"/>
          <w:szCs w:val="20"/>
        </w:rPr>
        <w:t xml:space="preserve"> </w:t>
      </w:r>
      <w:proofErr w:type="spellStart"/>
      <w:r w:rsidR="00874B1A" w:rsidRPr="00D870FC">
        <w:rPr>
          <w:rFonts w:ascii="Times New Roman" w:hAnsi="Times New Roman" w:cs="Times New Roman"/>
          <w:sz w:val="20"/>
          <w:szCs w:val="20"/>
        </w:rPr>
        <w:t>reductase</w:t>
      </w:r>
      <w:proofErr w:type="spellEnd"/>
      <w:r w:rsidR="00874B1A" w:rsidRPr="00D870FC">
        <w:rPr>
          <w:rFonts w:ascii="Times New Roman" w:hAnsi="Times New Roman" w:cs="Times New Roman"/>
          <w:sz w:val="20"/>
          <w:szCs w:val="20"/>
        </w:rPr>
        <w:t>, and women who</w:t>
      </w:r>
      <w:r w:rsidR="009739EF" w:rsidRPr="00D870FC">
        <w:rPr>
          <w:rFonts w:ascii="Times New Roman" w:hAnsi="Times New Roman" w:cs="Times New Roman"/>
          <w:sz w:val="20"/>
          <w:szCs w:val="20"/>
        </w:rPr>
        <w:t xml:space="preserve"> are pregnant. </w:t>
      </w:r>
      <w:r w:rsidR="00BD689C" w:rsidRPr="00D870FC">
        <w:rPr>
          <w:rFonts w:ascii="Times New Roman" w:hAnsi="Times New Roman" w:cs="Times New Roman"/>
          <w:sz w:val="20"/>
          <w:szCs w:val="20"/>
        </w:rPr>
        <w:t xml:space="preserve"> </w:t>
      </w:r>
      <w:r w:rsidR="00A169C7" w:rsidRPr="00D870FC">
        <w:rPr>
          <w:rFonts w:ascii="Times New Roman" w:hAnsi="Times New Roman" w:cs="Times New Roman"/>
          <w:sz w:val="20"/>
          <w:szCs w:val="20"/>
        </w:rPr>
        <w:t>Sodium ion i</w:t>
      </w:r>
      <w:r w:rsidR="006D1E2B" w:rsidRPr="00D870FC">
        <w:rPr>
          <w:rFonts w:ascii="Times New Roman" w:hAnsi="Times New Roman" w:cs="Times New Roman"/>
          <w:sz w:val="20"/>
          <w:szCs w:val="20"/>
        </w:rPr>
        <w:t>s ubiquitous in water</w:t>
      </w:r>
      <w:r w:rsidR="00515A1F" w:rsidRPr="00D870FC">
        <w:rPr>
          <w:rFonts w:ascii="Times New Roman" w:hAnsi="Times New Roman" w:cs="Times New Roman"/>
          <w:sz w:val="20"/>
          <w:szCs w:val="20"/>
        </w:rPr>
        <w:t>. S</w:t>
      </w:r>
      <w:r w:rsidR="00A169C7" w:rsidRPr="00D870FC">
        <w:rPr>
          <w:rFonts w:ascii="Times New Roman" w:hAnsi="Times New Roman" w:cs="Times New Roman"/>
          <w:sz w:val="20"/>
          <w:szCs w:val="20"/>
        </w:rPr>
        <w:t xml:space="preserve">aline intrusion, mineral deposits, seawater spray, sewage effluents and salt used in road de-icing can contribute significant quantities of sodium to water. </w:t>
      </w:r>
      <w:r w:rsidR="00BD689C" w:rsidRPr="00D870FC">
        <w:rPr>
          <w:rFonts w:ascii="Times New Roman" w:hAnsi="Times New Roman" w:cs="Times New Roman"/>
          <w:sz w:val="20"/>
          <w:szCs w:val="20"/>
        </w:rPr>
        <w:t>The</w:t>
      </w:r>
      <w:r w:rsidR="00A169C7" w:rsidRPr="00D870FC">
        <w:rPr>
          <w:rFonts w:ascii="Times New Roman" w:hAnsi="Times New Roman" w:cs="Times New Roman"/>
          <w:sz w:val="20"/>
          <w:szCs w:val="20"/>
        </w:rPr>
        <w:t xml:space="preserve"> tr</w:t>
      </w:r>
      <w:r w:rsidR="006D1E2B" w:rsidRPr="00D870FC">
        <w:rPr>
          <w:rFonts w:ascii="Times New Roman" w:hAnsi="Times New Roman" w:cs="Times New Roman"/>
          <w:sz w:val="20"/>
          <w:szCs w:val="20"/>
        </w:rPr>
        <w:t xml:space="preserve">eatment of water with chemicals, such as sodium fluoride, sodium bicarbonate, and sodium </w:t>
      </w:r>
      <w:proofErr w:type="spellStart"/>
      <w:r w:rsidR="006D1E2B" w:rsidRPr="00D870FC">
        <w:rPr>
          <w:rFonts w:ascii="Times New Roman" w:hAnsi="Times New Roman" w:cs="Times New Roman"/>
          <w:sz w:val="20"/>
          <w:szCs w:val="20"/>
        </w:rPr>
        <w:t>hypochloride</w:t>
      </w:r>
      <w:proofErr w:type="spellEnd"/>
      <w:r w:rsidR="006D1E2B" w:rsidRPr="00D870FC">
        <w:rPr>
          <w:rFonts w:ascii="Times New Roman" w:hAnsi="Times New Roman" w:cs="Times New Roman"/>
          <w:sz w:val="20"/>
          <w:szCs w:val="20"/>
        </w:rPr>
        <w:t>, can together result in sodium levels as high as 30mg/litre. Excessive salt intake seriously aggravates chronic congestive heart failure, and ill effects due to high levels of sodium in drinking water.</w:t>
      </w:r>
      <w:r w:rsidR="009C2571" w:rsidRPr="00D870FC">
        <w:rPr>
          <w:rFonts w:ascii="Times New Roman" w:hAnsi="Times New Roman" w:cs="Times New Roman"/>
          <w:sz w:val="20"/>
          <w:szCs w:val="20"/>
        </w:rPr>
        <w:t xml:space="preserve"> Excessive sodium in drinking water can produce an increase in blood pressure as a</w:t>
      </w:r>
      <w:r w:rsidR="00A45923" w:rsidRPr="00D870FC">
        <w:rPr>
          <w:rFonts w:ascii="Times New Roman" w:hAnsi="Times New Roman" w:cs="Times New Roman"/>
          <w:sz w:val="20"/>
          <w:szCs w:val="20"/>
        </w:rPr>
        <w:t xml:space="preserve"> </w:t>
      </w:r>
      <w:r w:rsidR="009C2571" w:rsidRPr="00D870FC">
        <w:rPr>
          <w:rFonts w:ascii="Times New Roman" w:hAnsi="Times New Roman" w:cs="Times New Roman"/>
          <w:sz w:val="20"/>
          <w:szCs w:val="20"/>
        </w:rPr>
        <w:t>person ages. This can eventually lead to the development of hypertension in people with a</w:t>
      </w:r>
      <w:r w:rsidR="00BD689C" w:rsidRPr="00D870FC">
        <w:rPr>
          <w:rFonts w:ascii="Times New Roman" w:hAnsi="Times New Roman" w:cs="Times New Roman"/>
          <w:sz w:val="20"/>
          <w:szCs w:val="20"/>
        </w:rPr>
        <w:t xml:space="preserve"> </w:t>
      </w:r>
      <w:r w:rsidR="009C2571" w:rsidRPr="00D870FC">
        <w:rPr>
          <w:rFonts w:ascii="Times New Roman" w:hAnsi="Times New Roman" w:cs="Times New Roman"/>
          <w:sz w:val="20"/>
          <w:szCs w:val="20"/>
        </w:rPr>
        <w:t>family history of the disease.</w:t>
      </w:r>
      <w:r w:rsidR="00A65F74" w:rsidRPr="00D870FC">
        <w:rPr>
          <w:rFonts w:ascii="Times New Roman" w:hAnsi="Times New Roman" w:cs="Times New Roman"/>
          <w:sz w:val="20"/>
          <w:szCs w:val="20"/>
        </w:rPr>
        <w:t xml:space="preserve"> The amount of naturally occurring calcium and magnesium </w:t>
      </w:r>
      <w:r w:rsidR="00A65F74" w:rsidRPr="00D870FC">
        <w:rPr>
          <w:rFonts w:ascii="Times New Roman" w:hAnsi="Times New Roman" w:cs="Times New Roman"/>
          <w:sz w:val="20"/>
          <w:szCs w:val="20"/>
        </w:rPr>
        <w:lastRenderedPageBreak/>
        <w:t>compounds dissolved by</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the water as it filters through the earth will determine its hardness. Hardness varies with</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location and the types of mi</w:t>
      </w:r>
      <w:r w:rsidR="00BD689C" w:rsidRPr="00D870FC">
        <w:rPr>
          <w:rFonts w:ascii="Times New Roman" w:hAnsi="Times New Roman" w:cs="Times New Roman"/>
          <w:sz w:val="20"/>
          <w:szCs w:val="20"/>
        </w:rPr>
        <w:t>nerals and rocks in the earth. H</w:t>
      </w:r>
      <w:r w:rsidR="00A65F74" w:rsidRPr="00D870FC">
        <w:rPr>
          <w:rFonts w:ascii="Times New Roman" w:hAnsi="Times New Roman" w:cs="Times New Roman"/>
          <w:sz w:val="20"/>
          <w:szCs w:val="20"/>
        </w:rPr>
        <w:t>ard water is not considered to be a health</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hazard. Moderate amounts of hardness are desirable because of the protective coating it</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produces on exposed metal surfaces. Excessively hard water, however, will cause a hard,</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chalky scale (boiler scale) to form when the water is heated. Water heaters are especially</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affected by hardness. The boiler scale will accumulate on the heating elements, reducing</w:t>
      </w:r>
      <w:r w:rsidR="00A45923"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their heating capacity, and eventually causing them to burn-out. Hard water will form a white, powdery residue on plumbing fixtures, and will cause spots on dishes. Because calcium and magnesium compounds are not very soluble in cold water, ice made from hard water may contain white particles. Vegetables co</w:t>
      </w:r>
      <w:r w:rsidR="00BD689C" w:rsidRPr="00D870FC">
        <w:rPr>
          <w:rFonts w:ascii="Times New Roman" w:hAnsi="Times New Roman" w:cs="Times New Roman"/>
          <w:sz w:val="20"/>
          <w:szCs w:val="20"/>
        </w:rPr>
        <w:t>oked in hard water may be tough</w:t>
      </w:r>
      <w:r w:rsidR="00A65F74" w:rsidRPr="00D870FC">
        <w:rPr>
          <w:rFonts w:ascii="Times New Roman" w:hAnsi="Times New Roman" w:cs="Times New Roman"/>
          <w:sz w:val="20"/>
          <w:szCs w:val="20"/>
        </w:rPr>
        <w:t xml:space="preserve">. More soap must be added to a hard water to produce </w:t>
      </w:r>
      <w:r w:rsidR="00BD689C" w:rsidRPr="00D870FC">
        <w:rPr>
          <w:rFonts w:ascii="Times New Roman" w:hAnsi="Times New Roman" w:cs="Times New Roman"/>
          <w:sz w:val="20"/>
          <w:szCs w:val="20"/>
        </w:rPr>
        <w:t>lather</w:t>
      </w:r>
      <w:r w:rsidR="00A65F74" w:rsidRPr="00D870FC">
        <w:rPr>
          <w:rFonts w:ascii="Times New Roman" w:hAnsi="Times New Roman" w:cs="Times New Roman"/>
          <w:sz w:val="20"/>
          <w:szCs w:val="20"/>
        </w:rPr>
        <w:t>. With very hard water, soap will form a sticky “curd,” which is difficult to remove from fabrics and containers. Laundry washed in hard water will be stiff and dingy. Hair becomes dull and limp when washed in hard water.</w:t>
      </w:r>
      <w:r w:rsidR="00BD689C" w:rsidRPr="00D870FC">
        <w:rPr>
          <w:rFonts w:ascii="Times New Roman" w:hAnsi="Times New Roman" w:cs="Times New Roman"/>
          <w:sz w:val="20"/>
          <w:szCs w:val="20"/>
        </w:rPr>
        <w:t xml:space="preserve"> </w:t>
      </w:r>
      <w:r w:rsidR="00A65F74" w:rsidRPr="00D870FC">
        <w:rPr>
          <w:rFonts w:ascii="Times New Roman" w:hAnsi="Times New Roman" w:cs="Times New Roman"/>
          <w:sz w:val="20"/>
          <w:szCs w:val="20"/>
        </w:rPr>
        <w:t>Fluoride is a normal part of the human diet</w:t>
      </w:r>
      <w:r w:rsidR="00A45923" w:rsidRPr="00D870FC">
        <w:rPr>
          <w:rFonts w:ascii="Times New Roman" w:hAnsi="Times New Roman" w:cs="Times New Roman"/>
          <w:sz w:val="20"/>
          <w:szCs w:val="20"/>
        </w:rPr>
        <w:t xml:space="preserve">. Children exposed to excessive amounts of fluoride while their teeth are developing can develop dental </w:t>
      </w:r>
      <w:proofErr w:type="spellStart"/>
      <w:r w:rsidR="00A45923" w:rsidRPr="00D870FC">
        <w:rPr>
          <w:rFonts w:ascii="Times New Roman" w:hAnsi="Times New Roman" w:cs="Times New Roman"/>
          <w:sz w:val="20"/>
          <w:szCs w:val="20"/>
        </w:rPr>
        <w:t>fluorosis</w:t>
      </w:r>
      <w:proofErr w:type="spellEnd"/>
      <w:r w:rsidR="00A45923" w:rsidRPr="00D870FC">
        <w:rPr>
          <w:rFonts w:ascii="Times New Roman" w:hAnsi="Times New Roman" w:cs="Times New Roman"/>
          <w:sz w:val="20"/>
          <w:szCs w:val="20"/>
        </w:rPr>
        <w:t xml:space="preserve">. Dental </w:t>
      </w:r>
      <w:proofErr w:type="spellStart"/>
      <w:r w:rsidR="00A45923" w:rsidRPr="00D870FC">
        <w:rPr>
          <w:rFonts w:ascii="Times New Roman" w:hAnsi="Times New Roman" w:cs="Times New Roman"/>
          <w:sz w:val="20"/>
          <w:szCs w:val="20"/>
        </w:rPr>
        <w:t>fluorosis</w:t>
      </w:r>
      <w:proofErr w:type="spellEnd"/>
      <w:r w:rsidR="00A45923" w:rsidRPr="00D870FC">
        <w:rPr>
          <w:rFonts w:ascii="Times New Roman" w:hAnsi="Times New Roman" w:cs="Times New Roman"/>
          <w:sz w:val="20"/>
          <w:szCs w:val="20"/>
        </w:rPr>
        <w:t xml:space="preserve"> appears as whitish or brown spots on the teeth. The occurrence of dental </w:t>
      </w:r>
      <w:proofErr w:type="spellStart"/>
      <w:r w:rsidR="00A45923" w:rsidRPr="00D870FC">
        <w:rPr>
          <w:rFonts w:ascii="Times New Roman" w:hAnsi="Times New Roman" w:cs="Times New Roman"/>
          <w:sz w:val="20"/>
          <w:szCs w:val="20"/>
        </w:rPr>
        <w:t>fluorosis</w:t>
      </w:r>
      <w:proofErr w:type="spellEnd"/>
      <w:r w:rsidR="00A45923" w:rsidRPr="00D870FC">
        <w:rPr>
          <w:rFonts w:ascii="Times New Roman" w:hAnsi="Times New Roman" w:cs="Times New Roman"/>
          <w:sz w:val="20"/>
          <w:szCs w:val="20"/>
        </w:rPr>
        <w:t xml:space="preserve"> increases as the fluoride concentration increases.</w:t>
      </w:r>
      <w:r w:rsidR="006D1E2B" w:rsidRPr="00D870FC">
        <w:rPr>
          <w:rFonts w:ascii="Times New Roman" w:hAnsi="Times New Roman" w:cs="Times New Roman"/>
          <w:sz w:val="20"/>
          <w:szCs w:val="20"/>
        </w:rPr>
        <w:t xml:space="preserve"> Iron is an essential element in human nutrition. Estimates </w:t>
      </w:r>
      <w:r w:rsidR="00FF79F4" w:rsidRPr="00D870FC">
        <w:rPr>
          <w:rFonts w:ascii="Times New Roman" w:hAnsi="Times New Roman" w:cs="Times New Roman"/>
          <w:sz w:val="20"/>
          <w:szCs w:val="20"/>
        </w:rPr>
        <w:t>of the minimum daily requirement for iron depend on age, sex, physiological status, and iron bioavailability and range from 10 to 50mg/day (</w:t>
      </w:r>
      <w:proofErr w:type="spellStart"/>
      <w:r w:rsidR="00FF79F4" w:rsidRPr="00D870FC">
        <w:rPr>
          <w:rFonts w:ascii="Times New Roman" w:hAnsi="Times New Roman" w:cs="Times New Roman"/>
          <w:sz w:val="20"/>
          <w:szCs w:val="20"/>
        </w:rPr>
        <w:t>Fisch</w:t>
      </w:r>
      <w:proofErr w:type="spellEnd"/>
      <w:r w:rsidR="0063433C" w:rsidRPr="00D870FC">
        <w:rPr>
          <w:rFonts w:ascii="Times New Roman" w:hAnsi="Times New Roman" w:cs="Times New Roman"/>
          <w:sz w:val="20"/>
          <w:szCs w:val="20"/>
        </w:rPr>
        <w:t>,</w:t>
      </w:r>
      <w:r w:rsidR="00FF79F4" w:rsidRPr="00D870FC">
        <w:rPr>
          <w:rFonts w:ascii="Times New Roman" w:hAnsi="Times New Roman" w:cs="Times New Roman"/>
          <w:sz w:val="20"/>
          <w:szCs w:val="20"/>
        </w:rPr>
        <w:t xml:space="preserve"> 1975)</w:t>
      </w:r>
      <w:r w:rsidR="00874B1A" w:rsidRPr="00D870FC">
        <w:rPr>
          <w:rFonts w:ascii="Times New Roman" w:hAnsi="Times New Roman" w:cs="Times New Roman"/>
          <w:sz w:val="20"/>
          <w:szCs w:val="20"/>
        </w:rPr>
        <w:t>. Manganese will cause a coating to form inside the plumbing. This coating will periodically break free, causing black particles to appear in the water. Iron and manganese will give water a bitter, metallic taste. Coffee and tea prepared with the water may turn black. Deposits from these metals will cause stains on plumbing</w:t>
      </w:r>
      <w:r w:rsidR="00A45923" w:rsidRPr="00D870FC">
        <w:rPr>
          <w:rFonts w:ascii="Times New Roman" w:hAnsi="Times New Roman" w:cs="Times New Roman"/>
          <w:sz w:val="20"/>
          <w:szCs w:val="20"/>
        </w:rPr>
        <w:t xml:space="preserve"> </w:t>
      </w:r>
      <w:r w:rsidR="00874B1A" w:rsidRPr="00D870FC">
        <w:rPr>
          <w:rFonts w:ascii="Times New Roman" w:hAnsi="Times New Roman" w:cs="Times New Roman"/>
          <w:sz w:val="20"/>
          <w:szCs w:val="20"/>
        </w:rPr>
        <w:t>fixtures, appliances, and in laundry. Bleaches or scouring powders will not remove the stains and may make them worse. Special products designed to remove rust stains are available in most grocery stores.</w:t>
      </w:r>
      <w:r w:rsidR="00BD689C" w:rsidRPr="00D870FC">
        <w:rPr>
          <w:rFonts w:ascii="Times New Roman" w:hAnsi="Times New Roman" w:cs="Times New Roman"/>
          <w:sz w:val="20"/>
          <w:szCs w:val="20"/>
        </w:rPr>
        <w:t xml:space="preserve"> </w:t>
      </w:r>
      <w:r w:rsidR="00FF79F4" w:rsidRPr="00D870FC">
        <w:rPr>
          <w:rFonts w:ascii="Times New Roman" w:hAnsi="Times New Roman" w:cs="Times New Roman"/>
          <w:sz w:val="20"/>
          <w:szCs w:val="20"/>
        </w:rPr>
        <w:t xml:space="preserve">TDS in drinking water originate from natural sources, sewage, urban run-off, industrial wastewater, and chemical used in the water treatment process and the nature of the piping or hardware used to convey the water. </w:t>
      </w:r>
      <w:r w:rsidR="0006708C" w:rsidRPr="00D870FC">
        <w:rPr>
          <w:rFonts w:ascii="Times New Roman" w:hAnsi="Times New Roman" w:cs="Times New Roman"/>
          <w:sz w:val="20"/>
          <w:szCs w:val="20"/>
        </w:rPr>
        <w:t>Though</w:t>
      </w:r>
      <w:r w:rsidR="006E248E" w:rsidRPr="00D870FC">
        <w:rPr>
          <w:rFonts w:ascii="Times New Roman" w:hAnsi="Times New Roman" w:cs="Times New Roman"/>
          <w:sz w:val="20"/>
          <w:szCs w:val="20"/>
        </w:rPr>
        <w:t>, TDS produce</w:t>
      </w:r>
      <w:r w:rsidR="00FF79F4" w:rsidRPr="00D870FC">
        <w:rPr>
          <w:rFonts w:ascii="Times New Roman" w:hAnsi="Times New Roman" w:cs="Times New Roman"/>
          <w:sz w:val="20"/>
          <w:szCs w:val="20"/>
        </w:rPr>
        <w:t xml:space="preserve"> no health hazard but significantly make the water corrosive, salty, thus resulting in scale formation which interfere and decrease efficiency of hot water heaters.</w:t>
      </w:r>
      <w:r w:rsidR="00BD689C" w:rsidRPr="00D870FC">
        <w:rPr>
          <w:rFonts w:ascii="Times New Roman" w:hAnsi="Times New Roman" w:cs="Times New Roman"/>
          <w:sz w:val="20"/>
          <w:szCs w:val="20"/>
        </w:rPr>
        <w:t xml:space="preserve"> </w:t>
      </w:r>
      <w:r w:rsidR="00FF79F4" w:rsidRPr="00D870FC">
        <w:rPr>
          <w:rFonts w:ascii="Times New Roman" w:hAnsi="Times New Roman" w:cs="Times New Roman"/>
          <w:sz w:val="20"/>
          <w:szCs w:val="20"/>
        </w:rPr>
        <w:t>Calcium and magnesium are important in the human body</w:t>
      </w:r>
      <w:r w:rsidR="006E248E" w:rsidRPr="00D870FC">
        <w:rPr>
          <w:rFonts w:ascii="Times New Roman" w:hAnsi="Times New Roman" w:cs="Times New Roman"/>
          <w:sz w:val="20"/>
          <w:szCs w:val="20"/>
        </w:rPr>
        <w:t>. D</w:t>
      </w:r>
      <w:r w:rsidR="00FF79F4" w:rsidRPr="00D870FC">
        <w:rPr>
          <w:rFonts w:ascii="Times New Roman" w:hAnsi="Times New Roman" w:cs="Times New Roman"/>
          <w:sz w:val="20"/>
          <w:szCs w:val="20"/>
        </w:rPr>
        <w:t xml:space="preserve">eficiency of this element could result in osteoporosis and </w:t>
      </w:r>
      <w:proofErr w:type="spellStart"/>
      <w:r w:rsidR="00FF79F4" w:rsidRPr="00D870FC">
        <w:rPr>
          <w:rFonts w:ascii="Times New Roman" w:hAnsi="Times New Roman" w:cs="Times New Roman"/>
          <w:sz w:val="20"/>
          <w:szCs w:val="20"/>
        </w:rPr>
        <w:t>osteomalacia</w:t>
      </w:r>
      <w:proofErr w:type="spellEnd"/>
      <w:r w:rsidR="00FF79F4" w:rsidRPr="00D870FC">
        <w:rPr>
          <w:rFonts w:ascii="Times New Roman" w:hAnsi="Times New Roman" w:cs="Times New Roman"/>
          <w:sz w:val="20"/>
          <w:szCs w:val="20"/>
        </w:rPr>
        <w:t>.</w:t>
      </w:r>
      <w:r w:rsidR="006D1E2B" w:rsidRPr="00D870FC">
        <w:rPr>
          <w:rFonts w:ascii="Times New Roman" w:hAnsi="Times New Roman" w:cs="Times New Roman"/>
          <w:sz w:val="20"/>
          <w:szCs w:val="20"/>
        </w:rPr>
        <w:t xml:space="preserve"> </w:t>
      </w:r>
      <w:r w:rsidR="00FE2F26" w:rsidRPr="00D870FC">
        <w:rPr>
          <w:rFonts w:ascii="Times New Roman" w:hAnsi="Times New Roman" w:cs="Times New Roman"/>
          <w:color w:val="231F20"/>
          <w:sz w:val="20"/>
          <w:szCs w:val="20"/>
        </w:rPr>
        <w:t>C</w:t>
      </w:r>
      <w:r w:rsidR="00164006" w:rsidRPr="00D870FC">
        <w:rPr>
          <w:rFonts w:ascii="Times New Roman" w:hAnsi="Times New Roman" w:cs="Times New Roman"/>
          <w:color w:val="231F20"/>
          <w:sz w:val="20"/>
          <w:szCs w:val="20"/>
        </w:rPr>
        <w:t xml:space="preserve">hloride itself in drinking water is generally not harmful to human beings. At concentrations higher than 250 mg/L, the sodium </w:t>
      </w:r>
      <w:r w:rsidR="00164006" w:rsidRPr="00D870FC">
        <w:rPr>
          <w:rFonts w:ascii="Times New Roman" w:hAnsi="Times New Roman" w:cs="Times New Roman"/>
          <w:color w:val="231F20"/>
          <w:sz w:val="20"/>
          <w:szCs w:val="20"/>
        </w:rPr>
        <w:lastRenderedPageBreak/>
        <w:t>associated with chloride may be a concern to pe</w:t>
      </w:r>
      <w:r w:rsidR="0062606F" w:rsidRPr="00D870FC">
        <w:rPr>
          <w:rFonts w:ascii="Times New Roman" w:hAnsi="Times New Roman" w:cs="Times New Roman"/>
          <w:color w:val="231F20"/>
          <w:sz w:val="20"/>
          <w:szCs w:val="20"/>
        </w:rPr>
        <w:t>ople on sodium-restricted diets</w:t>
      </w:r>
      <w:r w:rsidR="00164006" w:rsidRPr="00D870FC">
        <w:rPr>
          <w:rFonts w:ascii="Times New Roman" w:hAnsi="Times New Roman" w:cs="Times New Roman"/>
          <w:color w:val="231F20"/>
          <w:sz w:val="20"/>
          <w:szCs w:val="20"/>
        </w:rPr>
        <w:t>.</w:t>
      </w:r>
      <w:r w:rsidR="0062606F" w:rsidRPr="00D870FC">
        <w:rPr>
          <w:rFonts w:ascii="Times New Roman" w:hAnsi="Times New Roman" w:cs="Times New Roman"/>
          <w:color w:val="231F20"/>
          <w:sz w:val="20"/>
          <w:szCs w:val="20"/>
        </w:rPr>
        <w:t xml:space="preserve"> </w:t>
      </w:r>
      <w:r w:rsidR="00164006" w:rsidRPr="00D870FC">
        <w:rPr>
          <w:rFonts w:ascii="Times New Roman" w:hAnsi="Times New Roman" w:cs="Times New Roman"/>
          <w:color w:val="231F20"/>
          <w:sz w:val="20"/>
          <w:szCs w:val="20"/>
        </w:rPr>
        <w:t>Chloride may also contribute to the total dissolved solids (TDS) in drinking water. This may affect the rate of corrosion of steel and</w:t>
      </w:r>
      <w:r w:rsidR="0062606F" w:rsidRPr="00D870FC">
        <w:rPr>
          <w:rFonts w:ascii="Times New Roman" w:hAnsi="Times New Roman" w:cs="Times New Roman"/>
          <w:color w:val="231F20"/>
          <w:sz w:val="20"/>
          <w:szCs w:val="20"/>
        </w:rPr>
        <w:t xml:space="preserve"> </w:t>
      </w:r>
      <w:r w:rsidR="00164006" w:rsidRPr="00D870FC">
        <w:rPr>
          <w:rFonts w:ascii="Times New Roman" w:hAnsi="Times New Roman" w:cs="Times New Roman"/>
          <w:color w:val="231F20"/>
          <w:sz w:val="20"/>
          <w:szCs w:val="20"/>
        </w:rPr>
        <w:t>aluminum. Chloride may cause corrosion of some metals in pipes,</w:t>
      </w:r>
      <w:r w:rsidR="0062606F" w:rsidRPr="00D870FC">
        <w:rPr>
          <w:rFonts w:ascii="Times New Roman" w:hAnsi="Times New Roman" w:cs="Times New Roman"/>
          <w:color w:val="231F20"/>
          <w:sz w:val="20"/>
          <w:szCs w:val="20"/>
        </w:rPr>
        <w:t xml:space="preserve"> </w:t>
      </w:r>
      <w:r w:rsidR="00164006" w:rsidRPr="00D870FC">
        <w:rPr>
          <w:rFonts w:ascii="Times New Roman" w:hAnsi="Times New Roman" w:cs="Times New Roman"/>
          <w:color w:val="231F20"/>
          <w:sz w:val="20"/>
          <w:szCs w:val="20"/>
        </w:rPr>
        <w:t xml:space="preserve">pumps, fixtures, and hot </w:t>
      </w:r>
      <w:r w:rsidR="0062606F" w:rsidRPr="00D870FC">
        <w:rPr>
          <w:rFonts w:ascii="Times New Roman" w:hAnsi="Times New Roman" w:cs="Times New Roman"/>
          <w:color w:val="231F20"/>
          <w:sz w:val="20"/>
          <w:szCs w:val="20"/>
        </w:rPr>
        <w:t xml:space="preserve">water heaters. </w:t>
      </w:r>
      <w:r w:rsidR="00755638" w:rsidRPr="00D870FC">
        <w:rPr>
          <w:rFonts w:ascii="Times New Roman" w:hAnsi="Times New Roman" w:cs="Times New Roman"/>
          <w:sz w:val="20"/>
          <w:szCs w:val="20"/>
        </w:rPr>
        <w:t>Lead is a cumulative general poison, with infants, children up to 6 years of age, the</w:t>
      </w:r>
      <w:r w:rsidR="00A45923" w:rsidRPr="00D870FC">
        <w:rPr>
          <w:rFonts w:ascii="Times New Roman" w:hAnsi="Times New Roman" w:cs="Times New Roman"/>
          <w:sz w:val="20"/>
          <w:szCs w:val="20"/>
        </w:rPr>
        <w:t xml:space="preserve"> </w:t>
      </w:r>
      <w:r w:rsidR="00755638" w:rsidRPr="00D870FC">
        <w:rPr>
          <w:rFonts w:ascii="Times New Roman" w:hAnsi="Times New Roman" w:cs="Times New Roman"/>
          <w:sz w:val="20"/>
          <w:szCs w:val="20"/>
        </w:rPr>
        <w:t xml:space="preserve">fetus and pregnant women being the most susceptible to adverse health effects. </w:t>
      </w:r>
      <w:r w:rsidR="00622ECF" w:rsidRPr="00D870FC">
        <w:rPr>
          <w:rFonts w:ascii="Times New Roman" w:hAnsi="Times New Roman" w:cs="Times New Roman"/>
          <w:sz w:val="20"/>
          <w:szCs w:val="20"/>
        </w:rPr>
        <w:t>On the 21</w:t>
      </w:r>
      <w:r w:rsidR="00622ECF" w:rsidRPr="00D870FC">
        <w:rPr>
          <w:rFonts w:ascii="Times New Roman" w:hAnsi="Times New Roman" w:cs="Times New Roman"/>
          <w:sz w:val="20"/>
          <w:szCs w:val="20"/>
          <w:vertAlign w:val="superscript"/>
        </w:rPr>
        <w:t>st</w:t>
      </w:r>
      <w:r w:rsidR="00622ECF" w:rsidRPr="00D870FC">
        <w:rPr>
          <w:rFonts w:ascii="Times New Roman" w:hAnsi="Times New Roman" w:cs="Times New Roman"/>
          <w:sz w:val="20"/>
          <w:szCs w:val="20"/>
        </w:rPr>
        <w:t xml:space="preserve"> April 2013 BBC report c</w:t>
      </w:r>
      <w:r w:rsidR="006E248E" w:rsidRPr="00D870FC">
        <w:rPr>
          <w:rFonts w:ascii="Times New Roman" w:hAnsi="Times New Roman" w:cs="Times New Roman"/>
          <w:sz w:val="20"/>
          <w:szCs w:val="20"/>
        </w:rPr>
        <w:t xml:space="preserve">laims that 460 children in </w:t>
      </w:r>
      <w:proofErr w:type="spellStart"/>
      <w:r w:rsidR="006E248E" w:rsidRPr="00D870FC">
        <w:rPr>
          <w:rFonts w:ascii="Times New Roman" w:hAnsi="Times New Roman" w:cs="Times New Roman"/>
          <w:sz w:val="20"/>
          <w:szCs w:val="20"/>
        </w:rPr>
        <w:t>Zamfa</w:t>
      </w:r>
      <w:r w:rsidR="00622ECF" w:rsidRPr="00D870FC">
        <w:rPr>
          <w:rFonts w:ascii="Times New Roman" w:hAnsi="Times New Roman" w:cs="Times New Roman"/>
          <w:sz w:val="20"/>
          <w:szCs w:val="20"/>
        </w:rPr>
        <w:t>ra</w:t>
      </w:r>
      <w:proofErr w:type="spellEnd"/>
      <w:r w:rsidR="00622ECF" w:rsidRPr="00D870FC">
        <w:rPr>
          <w:rFonts w:ascii="Times New Roman" w:hAnsi="Times New Roman" w:cs="Times New Roman"/>
          <w:sz w:val="20"/>
          <w:szCs w:val="20"/>
        </w:rPr>
        <w:t xml:space="preserve"> State, Nigeria have so far died as a result of lead poisoning from gold mining activities in the area since 2009 with others suffering different forms of long term and serious medical condition such as paralysis, deafness and brain damage. </w:t>
      </w:r>
      <w:r w:rsidR="00755638" w:rsidRPr="00D870FC">
        <w:rPr>
          <w:rFonts w:ascii="Times New Roman" w:hAnsi="Times New Roman" w:cs="Times New Roman"/>
          <w:sz w:val="20"/>
          <w:szCs w:val="20"/>
        </w:rPr>
        <w:t>Its</w:t>
      </w:r>
      <w:r w:rsidR="00A45923" w:rsidRPr="00D870FC">
        <w:rPr>
          <w:rFonts w:ascii="Times New Roman" w:hAnsi="Times New Roman" w:cs="Times New Roman"/>
          <w:sz w:val="20"/>
          <w:szCs w:val="20"/>
        </w:rPr>
        <w:t xml:space="preserve"> </w:t>
      </w:r>
      <w:r w:rsidR="00755638" w:rsidRPr="00D870FC">
        <w:rPr>
          <w:rFonts w:ascii="Times New Roman" w:hAnsi="Times New Roman" w:cs="Times New Roman"/>
          <w:sz w:val="20"/>
          <w:szCs w:val="20"/>
        </w:rPr>
        <w:t>effects on the central nervous system can be particularly serious. Lead in drinking-water arises from plumbing in buildings, and the remedy consists principally of removing plumbing and fittings containing lead, which requires much time and money. It is</w:t>
      </w:r>
      <w:r w:rsidR="004E0F0F" w:rsidRPr="00D870FC">
        <w:rPr>
          <w:rFonts w:ascii="Times New Roman" w:hAnsi="Times New Roman" w:cs="Times New Roman"/>
          <w:sz w:val="20"/>
          <w:szCs w:val="20"/>
        </w:rPr>
        <w:t xml:space="preserve"> </w:t>
      </w:r>
      <w:r w:rsidR="00755638" w:rsidRPr="00D870FC">
        <w:rPr>
          <w:rFonts w:ascii="Times New Roman" w:hAnsi="Times New Roman" w:cs="Times New Roman"/>
          <w:sz w:val="20"/>
          <w:szCs w:val="20"/>
        </w:rPr>
        <w:t>therefore emphasized that all other practical measures to reduce total exposure to lead,</w:t>
      </w:r>
      <w:r w:rsidR="004E0F0F" w:rsidRPr="00D870FC">
        <w:rPr>
          <w:rFonts w:ascii="Times New Roman" w:hAnsi="Times New Roman" w:cs="Times New Roman"/>
          <w:sz w:val="20"/>
          <w:szCs w:val="20"/>
        </w:rPr>
        <w:t xml:space="preserve"> </w:t>
      </w:r>
      <w:r w:rsidR="00755638" w:rsidRPr="00D870FC">
        <w:rPr>
          <w:rFonts w:ascii="Times New Roman" w:hAnsi="Times New Roman" w:cs="Times New Roman"/>
          <w:sz w:val="20"/>
          <w:szCs w:val="20"/>
        </w:rPr>
        <w:t>including corrosion control, should be implemented.</w:t>
      </w:r>
      <w:r w:rsidR="00874B1A" w:rsidRPr="00D870FC">
        <w:rPr>
          <w:rFonts w:ascii="Times New Roman" w:hAnsi="Times New Roman" w:cs="Times New Roman"/>
          <w:sz w:val="20"/>
          <w:szCs w:val="20"/>
        </w:rPr>
        <w:t xml:space="preserve"> Lead is toxic to the human body. It can cause damage to the brain, nervous system,</w:t>
      </w:r>
      <w:r w:rsidR="00A45923" w:rsidRPr="00D870FC">
        <w:rPr>
          <w:rFonts w:ascii="Times New Roman" w:hAnsi="Times New Roman" w:cs="Times New Roman"/>
          <w:sz w:val="20"/>
          <w:szCs w:val="20"/>
        </w:rPr>
        <w:t xml:space="preserve"> </w:t>
      </w:r>
      <w:r w:rsidR="00874B1A" w:rsidRPr="00D870FC">
        <w:rPr>
          <w:rFonts w:ascii="Times New Roman" w:hAnsi="Times New Roman" w:cs="Times New Roman"/>
          <w:sz w:val="20"/>
          <w:szCs w:val="20"/>
        </w:rPr>
        <w:t>kidneys, and red blood cells. Pregnant women, fetuses, infants, and young children are at the greatest risk of lead poisoning, even if exposed to lead for only a short time. Infants, who consume most of their food in liquid form (baby formula), can receive very large doses of lead through drinking water. Growing children absorb lead more rapidly than adults. Low levels of lead can have much larger impact on their small bodies than on an adult. Overexposure to lead during this stage of life can permanently stunt their growth.</w:t>
      </w:r>
      <w:r w:rsidR="00BD689C" w:rsidRPr="00D870FC">
        <w:rPr>
          <w:rFonts w:ascii="Times New Roman" w:hAnsi="Times New Roman" w:cs="Times New Roman"/>
          <w:sz w:val="20"/>
          <w:szCs w:val="20"/>
        </w:rPr>
        <w:t xml:space="preserve"> </w:t>
      </w:r>
      <w:r w:rsidR="004E0F0F" w:rsidRPr="00D870FC">
        <w:rPr>
          <w:rFonts w:ascii="Times New Roman" w:hAnsi="Times New Roman" w:cs="Times New Roman"/>
          <w:sz w:val="20"/>
          <w:szCs w:val="20"/>
        </w:rPr>
        <w:t xml:space="preserve">Individuals ingesting </w:t>
      </w:r>
      <w:r w:rsidR="004E0F0F" w:rsidRPr="00D870FC">
        <w:rPr>
          <w:rFonts w:ascii="Times New Roman" w:hAnsi="Times New Roman" w:cs="Times New Roman"/>
          <w:sz w:val="20"/>
          <w:szCs w:val="20"/>
        </w:rPr>
        <w:lastRenderedPageBreak/>
        <w:t xml:space="preserve">large doses of copper present with gastrointestinal bleeding, </w:t>
      </w:r>
      <w:proofErr w:type="spellStart"/>
      <w:r w:rsidR="004E0F0F" w:rsidRPr="00D870FC">
        <w:rPr>
          <w:rFonts w:ascii="Times New Roman" w:hAnsi="Times New Roman" w:cs="Times New Roman"/>
          <w:sz w:val="20"/>
          <w:szCs w:val="20"/>
        </w:rPr>
        <w:t>haematuria</w:t>
      </w:r>
      <w:proofErr w:type="spellEnd"/>
      <w:r w:rsidR="004E0F0F" w:rsidRPr="00D870FC">
        <w:rPr>
          <w:rFonts w:ascii="Times New Roman" w:hAnsi="Times New Roman" w:cs="Times New Roman"/>
          <w:sz w:val="20"/>
          <w:szCs w:val="20"/>
        </w:rPr>
        <w:t>, intravascular</w:t>
      </w:r>
      <w:r w:rsidR="006B7D3F" w:rsidRPr="00D870FC">
        <w:rPr>
          <w:rFonts w:ascii="Times New Roman" w:hAnsi="Times New Roman" w:cs="Times New Roman"/>
          <w:sz w:val="20"/>
          <w:szCs w:val="20"/>
        </w:rPr>
        <w:t xml:space="preserve"> </w:t>
      </w:r>
      <w:proofErr w:type="spellStart"/>
      <w:r w:rsidR="004E0F0F" w:rsidRPr="00D870FC">
        <w:rPr>
          <w:rFonts w:ascii="Times New Roman" w:hAnsi="Times New Roman" w:cs="Times New Roman"/>
          <w:sz w:val="20"/>
          <w:szCs w:val="20"/>
        </w:rPr>
        <w:t>haemolysis</w:t>
      </w:r>
      <w:proofErr w:type="spellEnd"/>
      <w:r w:rsidR="004E0F0F" w:rsidRPr="00D870FC">
        <w:rPr>
          <w:rFonts w:ascii="Times New Roman" w:hAnsi="Times New Roman" w:cs="Times New Roman"/>
          <w:sz w:val="20"/>
          <w:szCs w:val="20"/>
        </w:rPr>
        <w:t xml:space="preserve">, </w:t>
      </w:r>
      <w:proofErr w:type="spellStart"/>
      <w:r w:rsidR="004E0F0F" w:rsidRPr="00D870FC">
        <w:rPr>
          <w:rFonts w:ascii="Times New Roman" w:hAnsi="Times New Roman" w:cs="Times New Roman"/>
          <w:sz w:val="20"/>
          <w:szCs w:val="20"/>
        </w:rPr>
        <w:t>methaemoglobinaemia</w:t>
      </w:r>
      <w:proofErr w:type="spellEnd"/>
      <w:r w:rsidR="004E0F0F" w:rsidRPr="00D870FC">
        <w:rPr>
          <w:rFonts w:ascii="Times New Roman" w:hAnsi="Times New Roman" w:cs="Times New Roman"/>
          <w:sz w:val="20"/>
          <w:szCs w:val="20"/>
        </w:rPr>
        <w:t xml:space="preserve">, </w:t>
      </w:r>
      <w:proofErr w:type="spellStart"/>
      <w:r w:rsidR="004E0F0F" w:rsidRPr="00D870FC">
        <w:rPr>
          <w:rFonts w:ascii="Times New Roman" w:hAnsi="Times New Roman" w:cs="Times New Roman"/>
          <w:sz w:val="20"/>
          <w:szCs w:val="20"/>
        </w:rPr>
        <w:t>hepatocellular</w:t>
      </w:r>
      <w:proofErr w:type="spellEnd"/>
      <w:r w:rsidR="004E0F0F" w:rsidRPr="00D870FC">
        <w:rPr>
          <w:rFonts w:ascii="Times New Roman" w:hAnsi="Times New Roman" w:cs="Times New Roman"/>
          <w:sz w:val="20"/>
          <w:szCs w:val="20"/>
        </w:rPr>
        <w:t xml:space="preserve"> toxicity, acute renal failure and</w:t>
      </w:r>
      <w:r w:rsidR="00A45923" w:rsidRPr="00D870FC">
        <w:rPr>
          <w:rFonts w:ascii="Times New Roman" w:hAnsi="Times New Roman" w:cs="Times New Roman"/>
          <w:sz w:val="20"/>
          <w:szCs w:val="20"/>
        </w:rPr>
        <w:t xml:space="preserve"> </w:t>
      </w:r>
      <w:proofErr w:type="spellStart"/>
      <w:r w:rsidR="004E0F0F" w:rsidRPr="00D870FC">
        <w:rPr>
          <w:rFonts w:ascii="Times New Roman" w:hAnsi="Times New Roman" w:cs="Times New Roman"/>
          <w:sz w:val="20"/>
          <w:szCs w:val="20"/>
        </w:rPr>
        <w:t>oliguria</w:t>
      </w:r>
      <w:proofErr w:type="spellEnd"/>
      <w:r w:rsidR="004E0F0F" w:rsidRPr="00D870FC">
        <w:rPr>
          <w:rFonts w:ascii="Times New Roman" w:hAnsi="Times New Roman" w:cs="Times New Roman"/>
          <w:sz w:val="20"/>
          <w:szCs w:val="20"/>
        </w:rPr>
        <w:t xml:space="preserve"> (</w:t>
      </w:r>
      <w:proofErr w:type="spellStart"/>
      <w:r w:rsidR="004E0F0F" w:rsidRPr="00D870FC">
        <w:rPr>
          <w:rFonts w:ascii="Times New Roman" w:hAnsi="Times New Roman" w:cs="Times New Roman"/>
          <w:sz w:val="20"/>
          <w:szCs w:val="20"/>
        </w:rPr>
        <w:t>Agarwal</w:t>
      </w:r>
      <w:proofErr w:type="spellEnd"/>
      <w:r w:rsidR="004E0F0F" w:rsidRPr="00D870FC">
        <w:rPr>
          <w:rFonts w:ascii="Times New Roman" w:hAnsi="Times New Roman" w:cs="Times New Roman"/>
          <w:sz w:val="20"/>
          <w:szCs w:val="20"/>
        </w:rPr>
        <w:t xml:space="preserve"> et al., 1993). At lower doses, copper ions can cause symptoms typical of food poisoning (headache, nausea, vomiting, </w:t>
      </w:r>
      <w:proofErr w:type="spellStart"/>
      <w:r w:rsidR="004E0F0F" w:rsidRPr="00D870FC">
        <w:rPr>
          <w:rFonts w:ascii="Times New Roman" w:hAnsi="Times New Roman" w:cs="Times New Roman"/>
          <w:sz w:val="20"/>
          <w:szCs w:val="20"/>
        </w:rPr>
        <w:t>diarrhoea</w:t>
      </w:r>
      <w:proofErr w:type="spellEnd"/>
      <w:r w:rsidR="004E0F0F" w:rsidRPr="00D870FC">
        <w:rPr>
          <w:rFonts w:ascii="Times New Roman" w:hAnsi="Times New Roman" w:cs="Times New Roman"/>
          <w:sz w:val="20"/>
          <w:szCs w:val="20"/>
        </w:rPr>
        <w:t>). Staining of laundry and sanitary ware occurs at copper concentrations above 1 mg/</w:t>
      </w:r>
      <w:proofErr w:type="spellStart"/>
      <w:r w:rsidR="004E0F0F" w:rsidRPr="00D870FC">
        <w:rPr>
          <w:rFonts w:ascii="Times New Roman" w:hAnsi="Times New Roman" w:cs="Times New Roman"/>
          <w:sz w:val="20"/>
          <w:szCs w:val="20"/>
        </w:rPr>
        <w:t>litre</w:t>
      </w:r>
      <w:proofErr w:type="spellEnd"/>
      <w:r w:rsidR="004E0F0F" w:rsidRPr="00D870FC">
        <w:rPr>
          <w:rFonts w:ascii="Times New Roman" w:hAnsi="Times New Roman" w:cs="Times New Roman"/>
          <w:sz w:val="20"/>
          <w:szCs w:val="20"/>
        </w:rPr>
        <w:t>. At levels above 2.5 mg/</w:t>
      </w:r>
      <w:proofErr w:type="spellStart"/>
      <w:r w:rsidR="004E0F0F" w:rsidRPr="00D870FC">
        <w:rPr>
          <w:rFonts w:ascii="Times New Roman" w:hAnsi="Times New Roman" w:cs="Times New Roman"/>
          <w:sz w:val="20"/>
          <w:szCs w:val="20"/>
        </w:rPr>
        <w:t>litre</w:t>
      </w:r>
      <w:proofErr w:type="spellEnd"/>
      <w:r w:rsidR="004E0F0F" w:rsidRPr="00D870FC">
        <w:rPr>
          <w:rFonts w:ascii="Times New Roman" w:hAnsi="Times New Roman" w:cs="Times New Roman"/>
          <w:sz w:val="20"/>
          <w:szCs w:val="20"/>
        </w:rPr>
        <w:t xml:space="preserve">, copper imparts an undesirable bitter taste to water; at higher levels, the </w:t>
      </w:r>
      <w:proofErr w:type="spellStart"/>
      <w:r w:rsidR="004E0F0F" w:rsidRPr="00D870FC">
        <w:rPr>
          <w:rFonts w:ascii="Times New Roman" w:hAnsi="Times New Roman" w:cs="Times New Roman"/>
          <w:sz w:val="20"/>
          <w:szCs w:val="20"/>
        </w:rPr>
        <w:t>colour</w:t>
      </w:r>
      <w:proofErr w:type="spellEnd"/>
      <w:r w:rsidR="004E0F0F" w:rsidRPr="00D870FC">
        <w:rPr>
          <w:rFonts w:ascii="Times New Roman" w:hAnsi="Times New Roman" w:cs="Times New Roman"/>
          <w:sz w:val="20"/>
          <w:szCs w:val="20"/>
        </w:rPr>
        <w:t xml:space="preserve"> of water is also impacted. </w:t>
      </w:r>
      <w:r w:rsidR="009C2571" w:rsidRPr="00D870FC">
        <w:rPr>
          <w:rFonts w:ascii="Times New Roman" w:hAnsi="Times New Roman" w:cs="Times New Roman"/>
          <w:sz w:val="20"/>
          <w:szCs w:val="20"/>
        </w:rPr>
        <w:t xml:space="preserve">Zinc is a naturally occurring metallic element. The principal cause of zinc in drinking water is the corrosion of galvanized metal. Water having high concentrations of total dissolved solids or chlorides will also </w:t>
      </w:r>
      <w:r w:rsidR="004A4F20" w:rsidRPr="00D870FC">
        <w:rPr>
          <w:rFonts w:ascii="Times New Roman" w:hAnsi="Times New Roman" w:cs="Times New Roman"/>
          <w:sz w:val="20"/>
          <w:szCs w:val="20"/>
        </w:rPr>
        <w:t>dissolves</w:t>
      </w:r>
      <w:r w:rsidR="009C2571" w:rsidRPr="00D870FC">
        <w:rPr>
          <w:rFonts w:ascii="Times New Roman" w:hAnsi="Times New Roman" w:cs="Times New Roman"/>
          <w:sz w:val="20"/>
          <w:szCs w:val="20"/>
        </w:rPr>
        <w:t xml:space="preserve"> zinc from galvanized metal. Elevated levels of dissolved solids and chlorides increases the electrical conductivity of the water, making it easier for the chemical</w:t>
      </w:r>
      <w:r w:rsidR="00A45923" w:rsidRPr="00D870FC">
        <w:rPr>
          <w:rFonts w:ascii="Times New Roman" w:hAnsi="Times New Roman" w:cs="Times New Roman"/>
          <w:sz w:val="20"/>
          <w:szCs w:val="20"/>
        </w:rPr>
        <w:t xml:space="preserve"> </w:t>
      </w:r>
      <w:r w:rsidR="009C2571" w:rsidRPr="00D870FC">
        <w:rPr>
          <w:rFonts w:ascii="Times New Roman" w:hAnsi="Times New Roman" w:cs="Times New Roman"/>
          <w:sz w:val="20"/>
          <w:szCs w:val="20"/>
        </w:rPr>
        <w:t>reactions involved in corrosion to occur. Dissolved zinc can cause the water to have a bitter, medicinal taste. Concentrations of 30 mg/L may give the water a milky appearance. When the water is heated, elevated levels</w:t>
      </w:r>
      <w:r w:rsidR="00BD689C" w:rsidRPr="00D870FC">
        <w:rPr>
          <w:rFonts w:ascii="Times New Roman" w:hAnsi="Times New Roman" w:cs="Times New Roman"/>
          <w:sz w:val="20"/>
          <w:szCs w:val="20"/>
        </w:rPr>
        <w:t xml:space="preserve"> </w:t>
      </w:r>
      <w:r w:rsidR="009C2571" w:rsidRPr="00D870FC">
        <w:rPr>
          <w:rFonts w:ascii="Times New Roman" w:hAnsi="Times New Roman" w:cs="Times New Roman"/>
          <w:sz w:val="20"/>
          <w:szCs w:val="20"/>
        </w:rPr>
        <w:t>of zinc may produce a greasy film on top of the water</w:t>
      </w:r>
      <w:r w:rsidR="0042631E" w:rsidRPr="00D870FC">
        <w:rPr>
          <w:rFonts w:ascii="Times New Roman" w:hAnsi="Times New Roman" w:cs="Times New Roman"/>
          <w:sz w:val="20"/>
          <w:szCs w:val="20"/>
        </w:rPr>
        <w:t xml:space="preserve">. </w:t>
      </w:r>
      <w:r w:rsidR="00E7396D" w:rsidRPr="00D870FC">
        <w:rPr>
          <w:rFonts w:ascii="TimesNewRoman" w:hAnsi="TimesNewRoman" w:cs="TimesNewRoman"/>
          <w:sz w:val="20"/>
          <w:szCs w:val="20"/>
        </w:rPr>
        <w:t>Chromium and its salts are used in the leather tanning industry, the manufacture of catalysts,</w:t>
      </w:r>
      <w:r w:rsidR="0042631E" w:rsidRPr="00D870FC">
        <w:rPr>
          <w:rFonts w:ascii="TimesNewRoman" w:hAnsi="TimesNewRoman" w:cs="TimesNewRoman"/>
          <w:sz w:val="20"/>
          <w:szCs w:val="20"/>
        </w:rPr>
        <w:t xml:space="preserve"> </w:t>
      </w:r>
      <w:r w:rsidR="00E7396D" w:rsidRPr="00D870FC">
        <w:rPr>
          <w:rFonts w:ascii="TimesNewRoman" w:hAnsi="TimesNewRoman" w:cs="TimesNewRoman"/>
          <w:sz w:val="20"/>
          <w:szCs w:val="20"/>
        </w:rPr>
        <w:t>pigments and paints, fungicides, the ceramic and glass industry, and in photography, and for</w:t>
      </w:r>
      <w:r w:rsidR="0042631E" w:rsidRPr="00D870FC">
        <w:rPr>
          <w:rFonts w:ascii="TimesNewRoman" w:hAnsi="TimesNewRoman" w:cs="TimesNewRoman"/>
          <w:sz w:val="20"/>
          <w:szCs w:val="20"/>
        </w:rPr>
        <w:t xml:space="preserve"> </w:t>
      </w:r>
      <w:r w:rsidR="00E7396D" w:rsidRPr="00D870FC">
        <w:rPr>
          <w:rFonts w:ascii="TimesNewRoman" w:hAnsi="TimesNewRoman" w:cs="TimesNewRoman"/>
          <w:sz w:val="20"/>
          <w:szCs w:val="20"/>
        </w:rPr>
        <w:t>chrome alloy and chromium metal production, chrome plating, and corrosion contro</w:t>
      </w:r>
      <w:r w:rsidR="0042631E" w:rsidRPr="00D870FC">
        <w:rPr>
          <w:rFonts w:ascii="TimesNewRoman" w:hAnsi="TimesNewRoman" w:cs="TimesNewRoman"/>
          <w:sz w:val="20"/>
          <w:szCs w:val="20"/>
        </w:rPr>
        <w:t xml:space="preserve">l Ingestion of 1–5 g of "chromate" (not further specified) results in severe acute effects such as gastrointestinal disorders, </w:t>
      </w:r>
      <w:proofErr w:type="spellStart"/>
      <w:r w:rsidR="0042631E" w:rsidRPr="00D870FC">
        <w:rPr>
          <w:rFonts w:ascii="TimesNewRoman" w:hAnsi="TimesNewRoman" w:cs="TimesNewRoman"/>
          <w:sz w:val="20"/>
          <w:szCs w:val="20"/>
        </w:rPr>
        <w:t>haemorrhagic</w:t>
      </w:r>
      <w:proofErr w:type="spellEnd"/>
      <w:r w:rsidR="0042631E" w:rsidRPr="00D870FC">
        <w:rPr>
          <w:rFonts w:ascii="TimesNewRoman" w:hAnsi="TimesNewRoman" w:cs="TimesNewRoman"/>
          <w:sz w:val="20"/>
          <w:szCs w:val="20"/>
        </w:rPr>
        <w:t xml:space="preserve"> diathesis, and convulsions. Death may occur following cardiovascular shock (Janus and </w:t>
      </w:r>
      <w:proofErr w:type="spellStart"/>
      <w:r w:rsidR="0042631E" w:rsidRPr="00D870FC">
        <w:rPr>
          <w:rFonts w:ascii="TimesNewRoman" w:hAnsi="TimesNewRoman" w:cs="TimesNewRoman"/>
          <w:sz w:val="20"/>
          <w:szCs w:val="20"/>
        </w:rPr>
        <w:t>Krajnc</w:t>
      </w:r>
      <w:proofErr w:type="spellEnd"/>
      <w:r w:rsidR="0042631E" w:rsidRPr="00D870FC">
        <w:rPr>
          <w:rFonts w:ascii="TimesNewRoman" w:hAnsi="TimesNewRoman" w:cs="TimesNewRoman"/>
          <w:sz w:val="20"/>
          <w:szCs w:val="20"/>
        </w:rPr>
        <w:t>, 1990).</w:t>
      </w:r>
    </w:p>
    <w:p w:rsidR="00D870FC" w:rsidRDefault="00D870FC" w:rsidP="00D870FC">
      <w:pPr>
        <w:autoSpaceDE w:val="0"/>
        <w:autoSpaceDN w:val="0"/>
        <w:adjustRightInd w:val="0"/>
        <w:snapToGrid w:val="0"/>
        <w:spacing w:after="0" w:line="240" w:lineRule="auto"/>
        <w:rPr>
          <w:rFonts w:ascii="TimesNewRoman" w:hAnsi="TimesNewRoman" w:cs="TimesNewRoman"/>
          <w:sz w:val="20"/>
          <w:szCs w:val="20"/>
        </w:rPr>
        <w:sectPr w:rsidR="00D870FC" w:rsidSect="00CC3C60">
          <w:type w:val="continuous"/>
          <w:pgSz w:w="12240" w:h="15840" w:code="1"/>
          <w:pgMar w:top="1440" w:right="1440" w:bottom="1440" w:left="1440" w:header="720" w:footer="720" w:gutter="0"/>
          <w:pgNumType w:start="37"/>
          <w:cols w:num="2" w:space="550"/>
          <w:docGrid w:linePitch="360"/>
        </w:sectPr>
      </w:pPr>
    </w:p>
    <w:p w:rsidR="00754FB6" w:rsidRPr="00D870FC" w:rsidRDefault="00754FB6" w:rsidP="00D870FC">
      <w:pPr>
        <w:autoSpaceDE w:val="0"/>
        <w:autoSpaceDN w:val="0"/>
        <w:adjustRightInd w:val="0"/>
        <w:snapToGrid w:val="0"/>
        <w:spacing w:after="0" w:line="240" w:lineRule="auto"/>
        <w:rPr>
          <w:rFonts w:ascii="TimesNewRoman" w:hAnsi="TimesNewRoman" w:cs="TimesNewRoman"/>
          <w:sz w:val="20"/>
          <w:szCs w:val="20"/>
        </w:rPr>
      </w:pPr>
    </w:p>
    <w:p w:rsidR="0042631E" w:rsidRPr="00D870FC" w:rsidRDefault="0042631E" w:rsidP="00D870FC">
      <w:pPr>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sz w:val="20"/>
          <w:szCs w:val="20"/>
        </w:rPr>
        <w:t xml:space="preserve">Table 1: Physical and chemical characteristics of boreholes water samples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9"/>
        <w:gridCol w:w="2118"/>
        <w:gridCol w:w="1879"/>
        <w:gridCol w:w="1998"/>
        <w:gridCol w:w="942"/>
      </w:tblGrid>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Parameters </w:t>
            </w:r>
          </w:p>
        </w:tc>
        <w:tc>
          <w:tcPr>
            <w:tcW w:w="1106" w:type="pct"/>
          </w:tcPr>
          <w:p w:rsidR="00BB630E" w:rsidRPr="00D870FC" w:rsidRDefault="00CD40FB" w:rsidP="00D870FC">
            <w:pPr>
              <w:adjustRightInd w:val="0"/>
              <w:snapToGrid w:val="0"/>
              <w:jc w:val="center"/>
              <w:rPr>
                <w:rFonts w:ascii="Times New Roman" w:hAnsi="Times New Roman" w:cs="Times New Roman"/>
                <w:sz w:val="20"/>
                <w:szCs w:val="20"/>
              </w:rPr>
            </w:pPr>
            <w:proofErr w:type="spellStart"/>
            <w:r w:rsidRPr="00D870FC">
              <w:rPr>
                <w:rFonts w:ascii="Times New Roman" w:hAnsi="Times New Roman" w:cs="Times New Roman"/>
                <w:sz w:val="20"/>
                <w:szCs w:val="20"/>
              </w:rPr>
              <w:t>Okoro</w:t>
            </w:r>
            <w:proofErr w:type="spellEnd"/>
            <w:r w:rsidRPr="00D870FC">
              <w:rPr>
                <w:rFonts w:ascii="Times New Roman" w:hAnsi="Times New Roman" w:cs="Times New Roman"/>
                <w:sz w:val="20"/>
                <w:szCs w:val="20"/>
              </w:rPr>
              <w:t xml:space="preserve"> </w:t>
            </w:r>
            <w:proofErr w:type="spellStart"/>
            <w:r w:rsidR="004A4F20" w:rsidRPr="00D870FC">
              <w:rPr>
                <w:rFonts w:ascii="Times New Roman" w:hAnsi="Times New Roman" w:cs="Times New Roman"/>
                <w:sz w:val="20"/>
                <w:szCs w:val="20"/>
              </w:rPr>
              <w:t>A</w:t>
            </w:r>
            <w:r w:rsidR="00BB630E" w:rsidRPr="00D870FC">
              <w:rPr>
                <w:rFonts w:ascii="Times New Roman" w:hAnsi="Times New Roman" w:cs="Times New Roman"/>
                <w:sz w:val="20"/>
                <w:szCs w:val="20"/>
              </w:rPr>
              <w:t>gbor</w:t>
            </w:r>
            <w:proofErr w:type="spellEnd"/>
            <w:r w:rsidR="00BB630E" w:rsidRPr="00D870FC">
              <w:rPr>
                <w:rFonts w:ascii="Times New Roman" w:hAnsi="Times New Roman" w:cs="Times New Roman"/>
                <w:sz w:val="20"/>
                <w:szCs w:val="20"/>
              </w:rPr>
              <w:t xml:space="preserve"> (OA)</w:t>
            </w:r>
          </w:p>
        </w:tc>
        <w:tc>
          <w:tcPr>
            <w:tcW w:w="981" w:type="pct"/>
          </w:tcPr>
          <w:p w:rsidR="00BB630E" w:rsidRPr="00D870FC" w:rsidRDefault="004A4F20" w:rsidP="00D870FC">
            <w:pPr>
              <w:adjustRightInd w:val="0"/>
              <w:snapToGrid w:val="0"/>
              <w:jc w:val="center"/>
              <w:rPr>
                <w:rFonts w:ascii="Times New Roman" w:hAnsi="Times New Roman" w:cs="Times New Roman"/>
                <w:sz w:val="20"/>
                <w:szCs w:val="20"/>
              </w:rPr>
            </w:pPr>
            <w:proofErr w:type="spellStart"/>
            <w:r w:rsidRPr="00D870FC">
              <w:rPr>
                <w:rFonts w:ascii="Times New Roman" w:hAnsi="Times New Roman" w:cs="Times New Roman"/>
                <w:sz w:val="20"/>
                <w:szCs w:val="20"/>
              </w:rPr>
              <w:t>Orok</w:t>
            </w:r>
            <w:proofErr w:type="spellEnd"/>
            <w:r w:rsidRPr="00D870FC">
              <w:rPr>
                <w:rFonts w:ascii="Times New Roman" w:hAnsi="Times New Roman" w:cs="Times New Roman"/>
                <w:sz w:val="20"/>
                <w:szCs w:val="20"/>
              </w:rPr>
              <w:t xml:space="preserve"> </w:t>
            </w:r>
            <w:proofErr w:type="spellStart"/>
            <w:r w:rsidRPr="00D870FC">
              <w:rPr>
                <w:rFonts w:ascii="Times New Roman" w:hAnsi="Times New Roman" w:cs="Times New Roman"/>
                <w:sz w:val="20"/>
                <w:szCs w:val="20"/>
              </w:rPr>
              <w:t>O</w:t>
            </w:r>
            <w:r w:rsidR="00BB630E" w:rsidRPr="00D870FC">
              <w:rPr>
                <w:rFonts w:ascii="Times New Roman" w:hAnsi="Times New Roman" w:cs="Times New Roman"/>
                <w:sz w:val="20"/>
                <w:szCs w:val="20"/>
              </w:rPr>
              <w:t>rok</w:t>
            </w:r>
            <w:proofErr w:type="spellEnd"/>
            <w:r w:rsidR="00BB630E" w:rsidRPr="00D870FC">
              <w:rPr>
                <w:rFonts w:ascii="Times New Roman" w:hAnsi="Times New Roman" w:cs="Times New Roman"/>
                <w:sz w:val="20"/>
                <w:szCs w:val="20"/>
              </w:rPr>
              <w:t xml:space="preserve"> (OO)</w:t>
            </w:r>
          </w:p>
        </w:tc>
        <w:tc>
          <w:tcPr>
            <w:tcW w:w="1043" w:type="pct"/>
          </w:tcPr>
          <w:p w:rsidR="00BB630E" w:rsidRPr="00D870FC" w:rsidRDefault="004A4F20" w:rsidP="00D870FC">
            <w:pPr>
              <w:adjustRightInd w:val="0"/>
              <w:snapToGrid w:val="0"/>
              <w:jc w:val="center"/>
              <w:rPr>
                <w:rFonts w:ascii="Times New Roman" w:hAnsi="Times New Roman" w:cs="Times New Roman"/>
                <w:sz w:val="20"/>
                <w:szCs w:val="20"/>
              </w:rPr>
            </w:pPr>
            <w:r w:rsidRPr="00D870FC">
              <w:rPr>
                <w:rFonts w:ascii="Times New Roman" w:hAnsi="Times New Roman" w:cs="Times New Roman"/>
                <w:sz w:val="20"/>
                <w:szCs w:val="20"/>
              </w:rPr>
              <w:t>Mount Z</w:t>
            </w:r>
            <w:r w:rsidR="00BB630E" w:rsidRPr="00D870FC">
              <w:rPr>
                <w:rFonts w:ascii="Times New Roman" w:hAnsi="Times New Roman" w:cs="Times New Roman"/>
                <w:sz w:val="20"/>
                <w:szCs w:val="20"/>
              </w:rPr>
              <w:t>ion (MZ)</w:t>
            </w:r>
          </w:p>
        </w:tc>
        <w:tc>
          <w:tcPr>
            <w:tcW w:w="492"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WHO</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Temperature</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24.45</w:t>
            </w:r>
            <w:r w:rsidR="005C131B" w:rsidRPr="00D870FC">
              <w:rPr>
                <w:rFonts w:ascii="Times New Roman" w:hAnsi="Times New Roman" w:cs="Times New Roman"/>
                <w:sz w:val="20"/>
                <w:szCs w:val="20"/>
                <w:vertAlign w:val="superscript"/>
              </w:rPr>
              <w:t>b</w:t>
            </w:r>
            <w:r w:rsidR="000F7014" w:rsidRPr="00D870FC">
              <w:rPr>
                <w:rFonts w:ascii="Times New Roman" w:hAnsi="Times New Roman" w:cs="Times New Roman"/>
                <w:sz w:val="20"/>
                <w:szCs w:val="20"/>
              </w:rPr>
              <w:t>±0.04</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27.98</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±0.50</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27.25</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±0.08</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pH</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4.97</w:t>
            </w:r>
            <w:r w:rsidR="005C131B" w:rsidRPr="00D870FC">
              <w:rPr>
                <w:rFonts w:ascii="Times New Roman" w:hAnsi="Times New Roman" w:cs="Times New Roman"/>
                <w:sz w:val="20"/>
                <w:szCs w:val="20"/>
                <w:vertAlign w:val="superscript"/>
              </w:rPr>
              <w:t>b</w:t>
            </w:r>
            <w:r w:rsidR="000F7014" w:rsidRPr="00D870FC">
              <w:rPr>
                <w:rFonts w:ascii="Times New Roman" w:hAnsi="Times New Roman" w:cs="Times New Roman"/>
                <w:sz w:val="20"/>
                <w:szCs w:val="20"/>
              </w:rPr>
              <w:t>±0.01</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5.33</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±0.03</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5.42</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±0.02</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6.5-8.5</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Conductivity</w:t>
            </w:r>
            <w:r w:rsidR="00561C82" w:rsidRPr="00D870FC">
              <w:rPr>
                <w:rFonts w:ascii="Times New Roman" w:hAnsi="Times New Roman" w:cs="Times New Roman"/>
                <w:sz w:val="20"/>
                <w:szCs w:val="20"/>
              </w:rPr>
              <w:t xml:space="preserve"> (</w:t>
            </w:r>
            <w:r w:rsidR="00754FB6" w:rsidRPr="00D870FC">
              <w:rPr>
                <w:rFonts w:ascii="Times New Roman" w:hAnsi="Times New Roman" w:cs="Times New Roman"/>
                <w:sz w:val="20"/>
                <w:szCs w:val="20"/>
              </w:rPr>
              <w:t>µs/cm</w:t>
            </w:r>
            <w:r w:rsidR="00561C82" w:rsidRPr="00D870FC">
              <w:rPr>
                <w:rFonts w:ascii="Times New Roman" w:hAnsi="Times New Roman" w:cs="Times New Roman"/>
                <w:sz w:val="20"/>
                <w:szCs w:val="20"/>
              </w:rPr>
              <w:t>)</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46.5</w:t>
            </w:r>
            <w:r w:rsidR="005C131B" w:rsidRPr="00D870FC">
              <w:rPr>
                <w:rFonts w:ascii="Times New Roman" w:hAnsi="Times New Roman" w:cs="Times New Roman"/>
                <w:sz w:val="20"/>
                <w:szCs w:val="20"/>
                <w:vertAlign w:val="superscript"/>
              </w:rPr>
              <w:t>c</w:t>
            </w:r>
            <w:r w:rsidR="00F55711" w:rsidRPr="00D870FC">
              <w:rPr>
                <w:rFonts w:ascii="Times New Roman" w:hAnsi="Times New Roman" w:cs="Times New Roman"/>
                <w:sz w:val="20"/>
                <w:szCs w:val="20"/>
              </w:rPr>
              <w:t>±0.45</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97</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±0.24</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53.23</w:t>
            </w:r>
            <w:r w:rsidR="005C131B"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±0.16</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500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Nitrate </w:t>
            </w:r>
            <w:r w:rsidR="00754FB6" w:rsidRPr="00D870FC">
              <w:rPr>
                <w:rFonts w:ascii="Times New Roman" w:hAnsi="Times New Roman" w:cs="Times New Roman"/>
                <w:sz w:val="20"/>
                <w:szCs w:val="20"/>
              </w:rPr>
              <w:t>(mg/l)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4.28</w:t>
            </w:r>
            <w:r w:rsidR="004A4F20"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±0.07</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5.08</w:t>
            </w:r>
            <w:r w:rsidR="005C131B"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±0.02</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8.03</w:t>
            </w:r>
            <w:r w:rsidR="005C131B"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±0.02</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Nitrite </w:t>
            </w:r>
            <w:r w:rsidR="00754FB6" w:rsidRPr="00D870FC">
              <w:rPr>
                <w:rFonts w:ascii="Times New Roman" w:hAnsi="Times New Roman" w:cs="Times New Roman"/>
                <w:sz w:val="20"/>
                <w:szCs w:val="20"/>
              </w:rPr>
              <w:t xml:space="preserve"> (mg/l)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0.15</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±0.01</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0.02</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±0.01</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±0.01</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Alkalinity </w:t>
            </w:r>
            <w:r w:rsidR="00754FB6" w:rsidRPr="00D870FC">
              <w:rPr>
                <w:rFonts w:ascii="Times New Roman" w:hAnsi="Times New Roman" w:cs="Times New Roman"/>
                <w:sz w:val="20"/>
                <w:szCs w:val="20"/>
              </w:rPr>
              <w:t>(mg/l)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4.60</w:t>
            </w:r>
            <w:r w:rsidR="00561C82" w:rsidRPr="00D870FC">
              <w:rPr>
                <w:rFonts w:ascii="Times New Roman" w:hAnsi="Times New Roman" w:cs="Times New Roman"/>
                <w:sz w:val="20"/>
                <w:szCs w:val="20"/>
                <w:vertAlign w:val="superscript"/>
              </w:rPr>
              <w:t>c</w:t>
            </w:r>
            <w:r w:rsidR="00F55711" w:rsidRPr="00D870FC">
              <w:rPr>
                <w:rFonts w:ascii="Times New Roman" w:hAnsi="Times New Roman" w:cs="Times New Roman"/>
                <w:sz w:val="20"/>
                <w:szCs w:val="20"/>
              </w:rPr>
              <w:t>±0.03</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19.38</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±0.19</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8.58</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±0.12</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500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Total hardness</w:t>
            </w:r>
            <w:r w:rsidR="00754FB6" w:rsidRPr="00D870FC">
              <w:rPr>
                <w:rFonts w:ascii="Times New Roman" w:hAnsi="Times New Roman" w:cs="Times New Roman"/>
                <w:sz w:val="20"/>
                <w:szCs w:val="20"/>
              </w:rPr>
              <w:t xml:space="preserve"> (mg/l)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29.89</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±0.16</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39.78</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±0.23</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27.53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±0.23</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200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Calcium hardness</w:t>
            </w:r>
            <w:r w:rsidR="00754FB6" w:rsidRPr="00D870FC">
              <w:rPr>
                <w:rFonts w:ascii="Times New Roman" w:hAnsi="Times New Roman" w:cs="Times New Roman"/>
                <w:sz w:val="20"/>
                <w:szCs w:val="20"/>
              </w:rPr>
              <w:t xml:space="preserve"> (mg/l)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20.33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±0.10</w:t>
            </w:r>
          </w:p>
        </w:tc>
        <w:tc>
          <w:tcPr>
            <w:tcW w:w="981" w:type="pct"/>
          </w:tcPr>
          <w:p w:rsidR="00BB630E" w:rsidRPr="00D870FC" w:rsidRDefault="00BB630E" w:rsidP="00D870FC">
            <w:pPr>
              <w:adjustRightInd w:val="0"/>
              <w:snapToGrid w:val="0"/>
              <w:jc w:val="both"/>
              <w:rPr>
                <w:rFonts w:ascii="Times New Roman" w:hAnsi="Times New Roman" w:cs="Times New Roman"/>
                <w:b/>
                <w:sz w:val="20"/>
                <w:szCs w:val="20"/>
              </w:rPr>
            </w:pPr>
            <w:r w:rsidRPr="00D870FC">
              <w:rPr>
                <w:rFonts w:ascii="Times New Roman" w:hAnsi="Times New Roman" w:cs="Times New Roman"/>
                <w:sz w:val="20"/>
                <w:szCs w:val="20"/>
              </w:rPr>
              <w:t>24.</w:t>
            </w:r>
            <w:r w:rsidR="00F55711" w:rsidRPr="00D870FC">
              <w:rPr>
                <w:rFonts w:ascii="Times New Roman" w:hAnsi="Times New Roman" w:cs="Times New Roman"/>
                <w:sz w:val="20"/>
                <w:szCs w:val="20"/>
              </w:rPr>
              <w:t>5</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±0.05</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17.78</w:t>
            </w:r>
            <w:r w:rsidR="00561C82" w:rsidRPr="00D870FC">
              <w:rPr>
                <w:rFonts w:ascii="Times New Roman" w:hAnsi="Times New Roman" w:cs="Times New Roman"/>
                <w:sz w:val="20"/>
                <w:szCs w:val="20"/>
                <w:vertAlign w:val="superscript"/>
              </w:rPr>
              <w:t>c</w:t>
            </w:r>
            <w:r w:rsidR="00F55711" w:rsidRPr="00D870FC">
              <w:rPr>
                <w:rFonts w:ascii="Times New Roman" w:hAnsi="Times New Roman" w:cs="Times New Roman"/>
                <w:sz w:val="20"/>
                <w:szCs w:val="20"/>
              </w:rPr>
              <w:t>±0.20</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75</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Magnesium </w:t>
            </w:r>
            <w:r w:rsidR="00754FB6" w:rsidRPr="00D870FC">
              <w:rPr>
                <w:rFonts w:ascii="Times New Roman" w:hAnsi="Times New Roman" w:cs="Times New Roman"/>
                <w:sz w:val="20"/>
                <w:szCs w:val="20"/>
              </w:rPr>
              <w:t>(mg/l)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9.53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±0.03</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15.28</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±0.02</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9.75</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±0.04</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0.02</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TDS</w:t>
            </w:r>
            <w:r w:rsidR="00754FB6" w:rsidRPr="00D870FC">
              <w:rPr>
                <w:rFonts w:ascii="Times New Roman" w:hAnsi="Times New Roman" w:cs="Times New Roman"/>
                <w:sz w:val="20"/>
                <w:szCs w:val="20"/>
              </w:rPr>
              <w:t xml:space="preserve"> (mg/l)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31.25</w:t>
            </w:r>
            <w:r w:rsidR="004A4F20" w:rsidRPr="00D870FC">
              <w:rPr>
                <w:rFonts w:ascii="Times New Roman" w:hAnsi="Times New Roman" w:cs="Times New Roman"/>
                <w:sz w:val="20"/>
                <w:szCs w:val="20"/>
                <w:vertAlign w:val="superscript"/>
              </w:rPr>
              <w:t>c</w:t>
            </w:r>
            <w:r w:rsidR="00F55711" w:rsidRPr="00D870FC">
              <w:rPr>
                <w:rFonts w:ascii="Times New Roman" w:hAnsi="Times New Roman" w:cs="Times New Roman"/>
                <w:sz w:val="20"/>
                <w:szCs w:val="20"/>
              </w:rPr>
              <w:t>±0.32</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67.9</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±0.45</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37.23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±0.19</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1000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TSS</w:t>
            </w:r>
            <w:r w:rsidR="00754FB6" w:rsidRPr="00D870FC">
              <w:rPr>
                <w:rFonts w:ascii="Times New Roman" w:hAnsi="Times New Roman" w:cs="Times New Roman"/>
                <w:sz w:val="20"/>
                <w:szCs w:val="20"/>
              </w:rPr>
              <w:t xml:space="preserve"> (mg/l)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0.07</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±0.01</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0.001</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±0.00</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0.01</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±0.00</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Chloride </w:t>
            </w:r>
            <w:r w:rsidR="00754FB6" w:rsidRPr="00D870FC">
              <w:rPr>
                <w:rFonts w:ascii="Times New Roman" w:hAnsi="Times New Roman" w:cs="Times New Roman"/>
                <w:sz w:val="20"/>
                <w:szCs w:val="20"/>
              </w:rPr>
              <w:t>(mg/l)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3.81</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±0.02</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2.90</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±0.02</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2.25</w:t>
            </w:r>
            <w:r w:rsidR="004A4F20"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±0.01</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250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Potassium </w:t>
            </w:r>
            <w:r w:rsidR="00754FB6" w:rsidRPr="00D870FC">
              <w:rPr>
                <w:rFonts w:ascii="Times New Roman" w:hAnsi="Times New Roman" w:cs="Times New Roman"/>
                <w:sz w:val="20"/>
                <w:szCs w:val="20"/>
              </w:rPr>
              <w:t>(mg/l)</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1.13</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±0.01</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1.62</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±0.20</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1.79</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±0.02</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200</w:t>
            </w:r>
          </w:p>
        </w:tc>
      </w:tr>
      <w:tr w:rsidR="00BB630E" w:rsidRPr="00D870FC" w:rsidTr="00D870FC">
        <w:tc>
          <w:tcPr>
            <w:tcW w:w="1378" w:type="pct"/>
          </w:tcPr>
          <w:p w:rsidR="00BB630E" w:rsidRPr="00D870FC" w:rsidRDefault="00BB630E" w:rsidP="00D870FC">
            <w:pPr>
              <w:adjustRightInd w:val="0"/>
              <w:snapToGrid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Sulphate</w:t>
            </w:r>
            <w:proofErr w:type="spellEnd"/>
            <w:r w:rsidRPr="00D870FC">
              <w:rPr>
                <w:rFonts w:ascii="Times New Roman" w:hAnsi="Times New Roman" w:cs="Times New Roman"/>
                <w:sz w:val="20"/>
                <w:szCs w:val="20"/>
              </w:rPr>
              <w:t xml:space="preserve"> </w:t>
            </w:r>
          </w:p>
        </w:tc>
        <w:tc>
          <w:tcPr>
            <w:tcW w:w="1106"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1.20</w:t>
            </w:r>
            <w:r w:rsidR="00561C82" w:rsidRPr="00D870FC">
              <w:rPr>
                <w:rFonts w:ascii="Times New Roman" w:hAnsi="Times New Roman" w:cs="Times New Roman"/>
                <w:sz w:val="20"/>
                <w:szCs w:val="20"/>
                <w:vertAlign w:val="superscript"/>
              </w:rPr>
              <w:t>b</w:t>
            </w:r>
            <w:r w:rsidR="00F55711" w:rsidRPr="00D870FC">
              <w:rPr>
                <w:rFonts w:ascii="Times New Roman" w:hAnsi="Times New Roman" w:cs="Times New Roman"/>
                <w:sz w:val="20"/>
                <w:szCs w:val="20"/>
              </w:rPr>
              <w:t>±0.01</w:t>
            </w:r>
          </w:p>
        </w:tc>
        <w:tc>
          <w:tcPr>
            <w:tcW w:w="981"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3.10</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±0.03</w:t>
            </w:r>
          </w:p>
        </w:tc>
        <w:tc>
          <w:tcPr>
            <w:tcW w:w="1043" w:type="pct"/>
          </w:tcPr>
          <w:p w:rsidR="00BB630E" w:rsidRPr="00D870FC" w:rsidRDefault="00BB630E"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3.00</w:t>
            </w:r>
            <w:r w:rsidR="00561C82" w:rsidRPr="00D870FC">
              <w:rPr>
                <w:rFonts w:ascii="Times New Roman" w:hAnsi="Times New Roman" w:cs="Times New Roman"/>
                <w:sz w:val="20"/>
                <w:szCs w:val="20"/>
                <w:vertAlign w:val="superscript"/>
              </w:rPr>
              <w:t>a</w:t>
            </w:r>
            <w:r w:rsidR="00F55711" w:rsidRPr="00D870FC">
              <w:rPr>
                <w:rFonts w:ascii="Times New Roman" w:hAnsi="Times New Roman" w:cs="Times New Roman"/>
                <w:sz w:val="20"/>
                <w:szCs w:val="20"/>
              </w:rPr>
              <w:t>±0.03</w:t>
            </w:r>
          </w:p>
        </w:tc>
        <w:tc>
          <w:tcPr>
            <w:tcW w:w="492" w:type="pct"/>
          </w:tcPr>
          <w:p w:rsidR="00BB630E" w:rsidRPr="00D870FC" w:rsidRDefault="000F7014" w:rsidP="00D870FC">
            <w:pPr>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100</w:t>
            </w:r>
          </w:p>
        </w:tc>
      </w:tr>
    </w:tbl>
    <w:p w:rsidR="0042631E" w:rsidRPr="00D870FC" w:rsidRDefault="0042631E" w:rsidP="00D870FC">
      <w:pPr>
        <w:tabs>
          <w:tab w:val="left" w:pos="6960"/>
        </w:tabs>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sz w:val="20"/>
          <w:szCs w:val="20"/>
        </w:rPr>
        <w:t>Means with the same case letter along the horizontal arrays indicate no significant difference (p&gt;0.05)</w:t>
      </w:r>
    </w:p>
    <w:p w:rsidR="0042631E" w:rsidRDefault="0042631E" w:rsidP="00D870FC">
      <w:pPr>
        <w:autoSpaceDE w:val="0"/>
        <w:autoSpaceDN w:val="0"/>
        <w:adjustRightInd w:val="0"/>
        <w:snapToGrid w:val="0"/>
        <w:spacing w:after="0" w:line="240" w:lineRule="auto"/>
        <w:rPr>
          <w:rFonts w:ascii="TimesNewRomanPSMT" w:hAnsi="TimesNewRomanPSMT" w:cs="TimesNewRomanPSMT"/>
          <w:sz w:val="20"/>
          <w:szCs w:val="20"/>
        </w:rPr>
      </w:pPr>
    </w:p>
    <w:p w:rsidR="00D870FC" w:rsidRPr="00D870FC" w:rsidRDefault="00D870FC" w:rsidP="00D870FC">
      <w:pPr>
        <w:autoSpaceDE w:val="0"/>
        <w:autoSpaceDN w:val="0"/>
        <w:adjustRightInd w:val="0"/>
        <w:snapToGrid w:val="0"/>
        <w:spacing w:after="0" w:line="240" w:lineRule="auto"/>
        <w:rPr>
          <w:rFonts w:ascii="TimesNewRomanPSMT" w:hAnsi="TimesNewRomanPSMT" w:cs="TimesNewRomanPSMT"/>
          <w:sz w:val="20"/>
          <w:szCs w:val="20"/>
        </w:rPr>
      </w:pPr>
    </w:p>
    <w:p w:rsidR="0042631E" w:rsidRPr="00D870FC" w:rsidRDefault="0042631E" w:rsidP="00D870FC">
      <w:pPr>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sz w:val="20"/>
          <w:szCs w:val="20"/>
        </w:rPr>
        <w:lastRenderedPageBreak/>
        <w:t>Table 2: Heavy metal content of borehole water samples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1970"/>
        <w:gridCol w:w="1970"/>
        <w:gridCol w:w="1970"/>
        <w:gridCol w:w="1630"/>
      </w:tblGrid>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Parameters</w:t>
            </w:r>
          </w:p>
        </w:tc>
        <w:tc>
          <w:tcPr>
            <w:tcW w:w="1970" w:type="dxa"/>
          </w:tcPr>
          <w:p w:rsidR="00BB630E" w:rsidRPr="00D870FC" w:rsidRDefault="004A4F20" w:rsidP="00D870FC">
            <w:pPr>
              <w:tabs>
                <w:tab w:val="left" w:pos="6960"/>
              </w:tabs>
              <w:adjustRightInd w:val="0"/>
              <w:snapToGrid w:val="0"/>
              <w:jc w:val="center"/>
              <w:rPr>
                <w:rFonts w:ascii="Times New Roman" w:hAnsi="Times New Roman" w:cs="Times New Roman"/>
                <w:sz w:val="20"/>
                <w:szCs w:val="20"/>
              </w:rPr>
            </w:pPr>
            <w:proofErr w:type="spellStart"/>
            <w:r w:rsidRPr="00D870FC">
              <w:rPr>
                <w:rFonts w:ascii="Times New Roman" w:hAnsi="Times New Roman" w:cs="Times New Roman"/>
                <w:sz w:val="20"/>
                <w:szCs w:val="20"/>
              </w:rPr>
              <w:t>Okoro</w:t>
            </w:r>
            <w:proofErr w:type="spellEnd"/>
            <w:r w:rsidRPr="00D870FC">
              <w:rPr>
                <w:rFonts w:ascii="Times New Roman" w:hAnsi="Times New Roman" w:cs="Times New Roman"/>
                <w:sz w:val="20"/>
                <w:szCs w:val="20"/>
              </w:rPr>
              <w:t xml:space="preserve"> </w:t>
            </w:r>
            <w:proofErr w:type="spellStart"/>
            <w:r w:rsidRPr="00D870FC">
              <w:rPr>
                <w:rFonts w:ascii="Times New Roman" w:hAnsi="Times New Roman" w:cs="Times New Roman"/>
                <w:sz w:val="20"/>
                <w:szCs w:val="20"/>
              </w:rPr>
              <w:t>A</w:t>
            </w:r>
            <w:r w:rsidR="00BB630E" w:rsidRPr="00D870FC">
              <w:rPr>
                <w:rFonts w:ascii="Times New Roman" w:hAnsi="Times New Roman" w:cs="Times New Roman"/>
                <w:sz w:val="20"/>
                <w:szCs w:val="20"/>
              </w:rPr>
              <w:t>gbor</w:t>
            </w:r>
            <w:proofErr w:type="spellEnd"/>
            <w:r w:rsidR="00BB630E" w:rsidRPr="00D870FC">
              <w:rPr>
                <w:rFonts w:ascii="Times New Roman" w:hAnsi="Times New Roman" w:cs="Times New Roman"/>
                <w:sz w:val="20"/>
                <w:szCs w:val="20"/>
              </w:rPr>
              <w:t xml:space="preserve"> (OA)</w:t>
            </w:r>
          </w:p>
        </w:tc>
        <w:tc>
          <w:tcPr>
            <w:tcW w:w="1970" w:type="dxa"/>
          </w:tcPr>
          <w:p w:rsidR="00BB630E" w:rsidRPr="00D870FC" w:rsidRDefault="004A4F20" w:rsidP="00D870FC">
            <w:pPr>
              <w:tabs>
                <w:tab w:val="left" w:pos="6960"/>
              </w:tabs>
              <w:adjustRightInd w:val="0"/>
              <w:snapToGrid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Orok</w:t>
            </w:r>
            <w:proofErr w:type="spellEnd"/>
            <w:r w:rsidRPr="00D870FC">
              <w:rPr>
                <w:rFonts w:ascii="Times New Roman" w:hAnsi="Times New Roman" w:cs="Times New Roman"/>
                <w:sz w:val="20"/>
                <w:szCs w:val="20"/>
              </w:rPr>
              <w:t xml:space="preserve"> </w:t>
            </w:r>
            <w:proofErr w:type="spellStart"/>
            <w:r w:rsidRPr="00D870FC">
              <w:rPr>
                <w:rFonts w:ascii="Times New Roman" w:hAnsi="Times New Roman" w:cs="Times New Roman"/>
                <w:sz w:val="20"/>
                <w:szCs w:val="20"/>
              </w:rPr>
              <w:t>O</w:t>
            </w:r>
            <w:r w:rsidR="00BB630E" w:rsidRPr="00D870FC">
              <w:rPr>
                <w:rFonts w:ascii="Times New Roman" w:hAnsi="Times New Roman" w:cs="Times New Roman"/>
                <w:sz w:val="20"/>
                <w:szCs w:val="20"/>
              </w:rPr>
              <w:t>rok</w:t>
            </w:r>
            <w:proofErr w:type="spellEnd"/>
            <w:r w:rsidR="00BB630E" w:rsidRPr="00D870FC">
              <w:rPr>
                <w:rFonts w:ascii="Times New Roman" w:hAnsi="Times New Roman" w:cs="Times New Roman"/>
                <w:sz w:val="20"/>
                <w:szCs w:val="20"/>
              </w:rPr>
              <w:t xml:space="preserve"> (OO)</w:t>
            </w:r>
          </w:p>
        </w:tc>
        <w:tc>
          <w:tcPr>
            <w:tcW w:w="1970" w:type="dxa"/>
          </w:tcPr>
          <w:p w:rsidR="00BB630E" w:rsidRPr="00D870FC" w:rsidRDefault="004A4F20" w:rsidP="00D870FC">
            <w:pPr>
              <w:tabs>
                <w:tab w:val="left" w:pos="6960"/>
              </w:tabs>
              <w:adjustRightInd w:val="0"/>
              <w:snapToGrid w:val="0"/>
              <w:jc w:val="center"/>
              <w:rPr>
                <w:rFonts w:ascii="Times New Roman" w:hAnsi="Times New Roman" w:cs="Times New Roman"/>
                <w:sz w:val="20"/>
                <w:szCs w:val="20"/>
              </w:rPr>
            </w:pPr>
            <w:r w:rsidRPr="00D870FC">
              <w:rPr>
                <w:rFonts w:ascii="Times New Roman" w:hAnsi="Times New Roman" w:cs="Times New Roman"/>
                <w:sz w:val="20"/>
                <w:szCs w:val="20"/>
              </w:rPr>
              <w:t>Mount Z</w:t>
            </w:r>
            <w:r w:rsidR="00BB630E" w:rsidRPr="00D870FC">
              <w:rPr>
                <w:rFonts w:ascii="Times New Roman" w:hAnsi="Times New Roman" w:cs="Times New Roman"/>
                <w:sz w:val="20"/>
                <w:szCs w:val="20"/>
              </w:rPr>
              <w:t>ion (MZ)</w:t>
            </w:r>
          </w:p>
        </w:tc>
        <w:tc>
          <w:tcPr>
            <w:tcW w:w="163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WHO</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Iron</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1.98</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±0.06</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0.56</w:t>
            </w:r>
            <w:r w:rsidR="00561C82"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±0.02</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0.66</w:t>
            </w:r>
            <w:r w:rsidR="00561C82"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±0.02</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0.5-50</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Manganese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0.92</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±0.01</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0.93</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±0.03</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0.06</w:t>
            </w:r>
            <w:r w:rsidR="00561C82"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±0.01</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0.1</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Fluoride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0.49</w:t>
            </w:r>
            <w:r w:rsidR="004A4F20"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±0.02</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0.44</w:t>
            </w:r>
            <w:r w:rsidR="004A4F20"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±0.01</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0.69</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±0.03</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Ammonia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1.28</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±0.04</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0.78</w:t>
            </w:r>
            <w:r w:rsidR="004A4F20" w:rsidRPr="00D870FC">
              <w:rPr>
                <w:rFonts w:ascii="Times New Roman" w:hAnsi="Times New Roman" w:cs="Times New Roman"/>
                <w:sz w:val="20"/>
                <w:szCs w:val="20"/>
                <w:vertAlign w:val="superscript"/>
              </w:rPr>
              <w:t>c</w:t>
            </w:r>
            <w:r w:rsidRPr="00D870FC">
              <w:rPr>
                <w:rFonts w:ascii="Times New Roman" w:hAnsi="Times New Roman" w:cs="Times New Roman"/>
                <w:sz w:val="20"/>
                <w:szCs w:val="20"/>
              </w:rPr>
              <w:t>±0.02</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1.00</w:t>
            </w:r>
            <w:r w:rsidR="00561C82" w:rsidRPr="00D870FC">
              <w:rPr>
                <w:rFonts w:ascii="Times New Roman" w:hAnsi="Times New Roman" w:cs="Times New Roman"/>
                <w:sz w:val="20"/>
                <w:szCs w:val="20"/>
                <w:vertAlign w:val="superscript"/>
              </w:rPr>
              <w:t>b</w:t>
            </w:r>
            <w:r w:rsidRPr="00D870FC">
              <w:rPr>
                <w:rFonts w:ascii="Times New Roman" w:hAnsi="Times New Roman" w:cs="Times New Roman"/>
                <w:sz w:val="20"/>
                <w:szCs w:val="20"/>
              </w:rPr>
              <w:t>±0.05</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Ammonium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0.39</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±0.01</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0.39</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±0.01</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0.46</w:t>
            </w:r>
            <w:r w:rsidR="00561C82" w:rsidRPr="00D870FC">
              <w:rPr>
                <w:rFonts w:ascii="Times New Roman" w:hAnsi="Times New Roman" w:cs="Times New Roman"/>
                <w:sz w:val="20"/>
                <w:szCs w:val="20"/>
                <w:vertAlign w:val="superscript"/>
              </w:rPr>
              <w:t>a</w:t>
            </w:r>
            <w:r w:rsidRPr="00D870FC">
              <w:rPr>
                <w:rFonts w:ascii="Times New Roman" w:hAnsi="Times New Roman" w:cs="Times New Roman"/>
                <w:sz w:val="20"/>
                <w:szCs w:val="20"/>
              </w:rPr>
              <w:t>±0.01</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0.5</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Lead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0.002</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0.01</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Cyanide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Chromate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0.05</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Copper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0.001</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1.0</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Zinc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3.0</w:t>
            </w:r>
          </w:p>
        </w:tc>
      </w:tr>
      <w:tr w:rsidR="00BB630E" w:rsidRPr="00D870FC" w:rsidTr="00D870FC">
        <w:tc>
          <w:tcPr>
            <w:tcW w:w="2036"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 xml:space="preserve">Aluminum  </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970" w:type="dxa"/>
          </w:tcPr>
          <w:p w:rsidR="00BB630E" w:rsidRPr="00D870FC" w:rsidRDefault="00BB630E"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ND</w:t>
            </w:r>
          </w:p>
        </w:tc>
        <w:tc>
          <w:tcPr>
            <w:tcW w:w="1630" w:type="dxa"/>
          </w:tcPr>
          <w:p w:rsidR="00BB630E" w:rsidRPr="00D870FC" w:rsidRDefault="000F7014" w:rsidP="00D870FC">
            <w:pPr>
              <w:tabs>
                <w:tab w:val="left" w:pos="6960"/>
              </w:tabs>
              <w:adjustRightInd w:val="0"/>
              <w:snapToGrid w:val="0"/>
              <w:jc w:val="both"/>
              <w:rPr>
                <w:rFonts w:ascii="Times New Roman" w:hAnsi="Times New Roman" w:cs="Times New Roman"/>
                <w:sz w:val="20"/>
                <w:szCs w:val="20"/>
              </w:rPr>
            </w:pPr>
            <w:r w:rsidRPr="00D870FC">
              <w:rPr>
                <w:rFonts w:ascii="Times New Roman" w:hAnsi="Times New Roman" w:cs="Times New Roman"/>
                <w:sz w:val="20"/>
                <w:szCs w:val="20"/>
              </w:rPr>
              <w:t>0.2</w:t>
            </w:r>
          </w:p>
        </w:tc>
      </w:tr>
    </w:tbl>
    <w:p w:rsidR="0042631E" w:rsidRPr="00D870FC" w:rsidRDefault="0042631E" w:rsidP="00D870FC">
      <w:pPr>
        <w:tabs>
          <w:tab w:val="left" w:pos="6960"/>
        </w:tabs>
        <w:adjustRightInd w:val="0"/>
        <w:snapToGrid w:val="0"/>
        <w:spacing w:after="0" w:line="240" w:lineRule="auto"/>
        <w:jc w:val="both"/>
        <w:rPr>
          <w:rFonts w:ascii="Times New Roman" w:hAnsi="Times New Roman" w:cs="Times New Roman"/>
          <w:sz w:val="20"/>
          <w:szCs w:val="20"/>
        </w:rPr>
      </w:pPr>
      <w:r w:rsidRPr="00D870FC">
        <w:rPr>
          <w:rFonts w:ascii="Times New Roman" w:hAnsi="Times New Roman" w:cs="Times New Roman"/>
          <w:sz w:val="20"/>
          <w:szCs w:val="20"/>
        </w:rPr>
        <w:t>Means with the same case letter along the horizontal arrays indicate no significant difference (p&gt;0.05).</w:t>
      </w:r>
      <w:r w:rsidR="00754FB6" w:rsidRPr="00D870FC">
        <w:rPr>
          <w:rFonts w:ascii="Times New Roman" w:hAnsi="Times New Roman" w:cs="Times New Roman"/>
          <w:sz w:val="20"/>
          <w:szCs w:val="20"/>
        </w:rPr>
        <w:t xml:space="preserve"> All units are in mg/l</w:t>
      </w:r>
    </w:p>
    <w:p w:rsidR="009C2571" w:rsidRPr="00D870FC" w:rsidRDefault="009C2571" w:rsidP="00D870FC">
      <w:pPr>
        <w:autoSpaceDE w:val="0"/>
        <w:autoSpaceDN w:val="0"/>
        <w:adjustRightInd w:val="0"/>
        <w:snapToGrid w:val="0"/>
        <w:spacing w:after="0" w:line="240" w:lineRule="auto"/>
        <w:rPr>
          <w:rFonts w:ascii="TimesNewRomanPSMT" w:hAnsi="TimesNewRomanPSMT" w:cs="TimesNewRomanPSMT"/>
          <w:sz w:val="20"/>
          <w:szCs w:val="20"/>
        </w:rPr>
      </w:pPr>
    </w:p>
    <w:p w:rsidR="00D870FC" w:rsidRDefault="00D870FC" w:rsidP="00D870FC">
      <w:pPr>
        <w:autoSpaceDE w:val="0"/>
        <w:autoSpaceDN w:val="0"/>
        <w:adjustRightInd w:val="0"/>
        <w:snapToGrid w:val="0"/>
        <w:spacing w:after="0" w:line="240" w:lineRule="auto"/>
        <w:jc w:val="both"/>
        <w:rPr>
          <w:rFonts w:ascii="TimesNewRomanPSMT" w:hAnsi="TimesNewRomanPSMT" w:cs="TimesNewRomanPSMT"/>
          <w:b/>
          <w:sz w:val="20"/>
          <w:szCs w:val="20"/>
        </w:rPr>
        <w:sectPr w:rsidR="00D870FC" w:rsidSect="00CC3C60">
          <w:type w:val="continuous"/>
          <w:pgSz w:w="12240" w:h="15840" w:code="1"/>
          <w:pgMar w:top="1440" w:right="1440" w:bottom="1440" w:left="1440" w:header="720" w:footer="720" w:gutter="0"/>
          <w:cols w:space="720"/>
          <w:docGrid w:linePitch="360"/>
        </w:sectPr>
      </w:pPr>
    </w:p>
    <w:p w:rsidR="004E0F0F" w:rsidRPr="00D870FC" w:rsidRDefault="005E2F71" w:rsidP="00D870FC">
      <w:pPr>
        <w:autoSpaceDE w:val="0"/>
        <w:autoSpaceDN w:val="0"/>
        <w:adjustRightInd w:val="0"/>
        <w:snapToGrid w:val="0"/>
        <w:spacing w:after="0" w:line="240" w:lineRule="auto"/>
        <w:jc w:val="both"/>
        <w:rPr>
          <w:rFonts w:ascii="TimesNewRomanPSMT" w:hAnsi="TimesNewRomanPSMT" w:cs="TimesNewRomanPSMT"/>
          <w:b/>
          <w:sz w:val="20"/>
          <w:szCs w:val="20"/>
        </w:rPr>
      </w:pPr>
      <w:r w:rsidRPr="00D870FC">
        <w:rPr>
          <w:rFonts w:ascii="TimesNewRomanPSMT" w:hAnsi="TimesNewRomanPSMT" w:cs="TimesNewRomanPSMT"/>
          <w:b/>
          <w:sz w:val="20"/>
          <w:szCs w:val="20"/>
        </w:rPr>
        <w:lastRenderedPageBreak/>
        <w:t xml:space="preserve">CONCLUSION </w:t>
      </w:r>
    </w:p>
    <w:p w:rsidR="00164006" w:rsidRPr="00D870FC" w:rsidRDefault="005E2F71" w:rsidP="00D870FC">
      <w:pPr>
        <w:autoSpaceDE w:val="0"/>
        <w:autoSpaceDN w:val="0"/>
        <w:adjustRightInd w:val="0"/>
        <w:snapToGrid w:val="0"/>
        <w:spacing w:after="0" w:line="240" w:lineRule="auto"/>
        <w:ind w:firstLine="720"/>
        <w:jc w:val="both"/>
        <w:rPr>
          <w:rFonts w:ascii="TimesNewRomanPSMT" w:hAnsi="TimesNewRomanPSMT" w:cs="TimesNewRomanPSMT"/>
          <w:sz w:val="20"/>
          <w:szCs w:val="20"/>
        </w:rPr>
      </w:pPr>
      <w:r w:rsidRPr="00D870FC">
        <w:rPr>
          <w:rFonts w:ascii="TimesNewRomanPSMT" w:hAnsi="TimesNewRomanPSMT" w:cs="TimesNewRomanPSMT"/>
          <w:sz w:val="20"/>
          <w:szCs w:val="20"/>
        </w:rPr>
        <w:t xml:space="preserve">Water is health </w:t>
      </w:r>
      <w:r w:rsidR="004A4F20" w:rsidRPr="00D870FC">
        <w:rPr>
          <w:rFonts w:ascii="TimesNewRomanPSMT" w:hAnsi="TimesNewRomanPSMT" w:cs="TimesNewRomanPSMT"/>
          <w:sz w:val="20"/>
          <w:szCs w:val="20"/>
        </w:rPr>
        <w:t>and health is water. Humans rel</w:t>
      </w:r>
      <w:r w:rsidRPr="00D870FC">
        <w:rPr>
          <w:rFonts w:ascii="TimesNewRomanPSMT" w:hAnsi="TimesNewRomanPSMT" w:cs="TimesNewRomanPSMT"/>
          <w:sz w:val="20"/>
          <w:szCs w:val="20"/>
        </w:rPr>
        <w:t xml:space="preserve">y on water for everything and thus water </w:t>
      </w:r>
      <w:r w:rsidR="004A4F20" w:rsidRPr="00D870FC">
        <w:rPr>
          <w:rFonts w:ascii="TimesNewRomanPSMT" w:hAnsi="TimesNewRomanPSMT" w:cs="TimesNewRomanPSMT"/>
          <w:sz w:val="20"/>
          <w:szCs w:val="20"/>
        </w:rPr>
        <w:t>is one of the essential resources</w:t>
      </w:r>
      <w:r w:rsidRPr="00D870FC">
        <w:rPr>
          <w:rFonts w:ascii="TimesNewRomanPSMT" w:hAnsi="TimesNewRomanPSMT" w:cs="TimesNewRomanPSMT"/>
          <w:sz w:val="20"/>
          <w:szCs w:val="20"/>
        </w:rPr>
        <w:t xml:space="preserve"> for human survival. Consumption of contaminated water brings about ill health. Majority of infectious diseases is contacted through water. However, as a means of ensuring the safety o</w:t>
      </w:r>
      <w:r w:rsidR="004A4F20" w:rsidRPr="00D870FC">
        <w:rPr>
          <w:rFonts w:ascii="TimesNewRomanPSMT" w:hAnsi="TimesNewRomanPSMT" w:cs="TimesNewRomanPSMT"/>
          <w:sz w:val="20"/>
          <w:szCs w:val="20"/>
        </w:rPr>
        <w:t xml:space="preserve">f humans and occupant of </w:t>
      </w:r>
      <w:proofErr w:type="spellStart"/>
      <w:r w:rsidR="004A4F20" w:rsidRPr="00D870FC">
        <w:rPr>
          <w:rFonts w:ascii="TimesNewRomanPSMT" w:hAnsi="TimesNewRomanPSMT" w:cs="TimesNewRomanPSMT"/>
          <w:sz w:val="20"/>
          <w:szCs w:val="20"/>
        </w:rPr>
        <w:t>Okoro</w:t>
      </w:r>
      <w:proofErr w:type="spellEnd"/>
      <w:r w:rsidR="004A4F20" w:rsidRPr="00D870FC">
        <w:rPr>
          <w:rFonts w:ascii="TimesNewRomanPSMT" w:hAnsi="TimesNewRomanPSMT" w:cs="TimesNewRomanPSMT"/>
          <w:sz w:val="20"/>
          <w:szCs w:val="20"/>
        </w:rPr>
        <w:t xml:space="preserve"> </w:t>
      </w:r>
      <w:proofErr w:type="spellStart"/>
      <w:r w:rsidR="004A4F20" w:rsidRPr="00D870FC">
        <w:rPr>
          <w:rFonts w:ascii="TimesNewRomanPSMT" w:hAnsi="TimesNewRomanPSMT" w:cs="TimesNewRomanPSMT"/>
          <w:sz w:val="20"/>
          <w:szCs w:val="20"/>
        </w:rPr>
        <w:t>Agbor</w:t>
      </w:r>
      <w:proofErr w:type="spellEnd"/>
      <w:r w:rsidR="004A4F20" w:rsidRPr="00D870FC">
        <w:rPr>
          <w:rFonts w:ascii="TimesNewRomanPSMT" w:hAnsi="TimesNewRomanPSMT" w:cs="TimesNewRomanPSMT"/>
          <w:sz w:val="20"/>
          <w:szCs w:val="20"/>
        </w:rPr>
        <w:t xml:space="preserve">, </w:t>
      </w:r>
      <w:proofErr w:type="spellStart"/>
      <w:r w:rsidR="004A4F20" w:rsidRPr="00D870FC">
        <w:rPr>
          <w:rFonts w:ascii="TimesNewRomanPSMT" w:hAnsi="TimesNewRomanPSMT" w:cs="TimesNewRomanPSMT"/>
          <w:sz w:val="20"/>
          <w:szCs w:val="20"/>
        </w:rPr>
        <w:t>Orok</w:t>
      </w:r>
      <w:proofErr w:type="spellEnd"/>
      <w:r w:rsidR="004A4F20" w:rsidRPr="00D870FC">
        <w:rPr>
          <w:rFonts w:ascii="TimesNewRomanPSMT" w:hAnsi="TimesNewRomanPSMT" w:cs="TimesNewRomanPSMT"/>
          <w:sz w:val="20"/>
          <w:szCs w:val="20"/>
        </w:rPr>
        <w:t xml:space="preserve"> </w:t>
      </w:r>
      <w:proofErr w:type="spellStart"/>
      <w:r w:rsidR="004A4F20" w:rsidRPr="00D870FC">
        <w:rPr>
          <w:rFonts w:ascii="TimesNewRomanPSMT" w:hAnsi="TimesNewRomanPSMT" w:cs="TimesNewRomanPSMT"/>
          <w:sz w:val="20"/>
          <w:szCs w:val="20"/>
        </w:rPr>
        <w:t>Orok</w:t>
      </w:r>
      <w:proofErr w:type="spellEnd"/>
      <w:r w:rsidR="004A4F20" w:rsidRPr="00D870FC">
        <w:rPr>
          <w:rFonts w:ascii="TimesNewRomanPSMT" w:hAnsi="TimesNewRomanPSMT" w:cs="TimesNewRomanPSMT"/>
          <w:sz w:val="20"/>
          <w:szCs w:val="20"/>
        </w:rPr>
        <w:t xml:space="preserve"> and Mount Z</w:t>
      </w:r>
      <w:r w:rsidRPr="00D870FC">
        <w:rPr>
          <w:rFonts w:ascii="TimesNewRomanPSMT" w:hAnsi="TimesNewRomanPSMT" w:cs="TimesNewRomanPSMT"/>
          <w:sz w:val="20"/>
          <w:szCs w:val="20"/>
        </w:rPr>
        <w:t>ion some boreholes were selected and assessed on the levels of heavy metal accumulation and physicochemical properties. The result shows that the selected boreholes provide portable water for human consumption as compared with the WHO standard for drinking water.</w:t>
      </w:r>
    </w:p>
    <w:p w:rsidR="00765EDF" w:rsidRPr="00D870FC" w:rsidRDefault="00765EDF" w:rsidP="00D870FC">
      <w:pPr>
        <w:autoSpaceDE w:val="0"/>
        <w:autoSpaceDN w:val="0"/>
        <w:adjustRightInd w:val="0"/>
        <w:snapToGrid w:val="0"/>
        <w:spacing w:after="0" w:line="240" w:lineRule="auto"/>
        <w:jc w:val="both"/>
        <w:rPr>
          <w:rFonts w:ascii="TimesNewRomanPSMT" w:hAnsi="TimesNewRomanPSMT" w:cs="TimesNewRomanPSMT"/>
          <w:sz w:val="20"/>
          <w:szCs w:val="20"/>
        </w:rPr>
      </w:pPr>
    </w:p>
    <w:p w:rsidR="004E0F0F" w:rsidRPr="00D870FC" w:rsidRDefault="00515A1F" w:rsidP="00D870FC">
      <w:pPr>
        <w:tabs>
          <w:tab w:val="left" w:pos="3165"/>
          <w:tab w:val="center" w:pos="4680"/>
        </w:tabs>
        <w:adjustRightInd w:val="0"/>
        <w:snapToGrid w:val="0"/>
        <w:spacing w:after="0" w:line="240" w:lineRule="auto"/>
        <w:jc w:val="both"/>
        <w:rPr>
          <w:rFonts w:ascii="Times New Roman" w:hAnsi="Times New Roman" w:cs="Times New Roman"/>
          <w:b/>
          <w:sz w:val="20"/>
          <w:szCs w:val="20"/>
        </w:rPr>
      </w:pPr>
      <w:r w:rsidRPr="00D870FC">
        <w:rPr>
          <w:rFonts w:ascii="Times New Roman" w:hAnsi="Times New Roman" w:cs="Times New Roman"/>
          <w:b/>
          <w:sz w:val="20"/>
          <w:szCs w:val="20"/>
        </w:rPr>
        <w:t>REFERENCE</w:t>
      </w:r>
    </w:p>
    <w:p w:rsidR="00AF0E39" w:rsidRPr="00D870FC" w:rsidRDefault="004E0F0F"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Agarwal</w:t>
      </w:r>
      <w:proofErr w:type="spellEnd"/>
      <w:r w:rsidRPr="00D870FC">
        <w:rPr>
          <w:rFonts w:ascii="Times New Roman" w:hAnsi="Times New Roman" w:cs="Times New Roman"/>
          <w:sz w:val="20"/>
          <w:szCs w:val="20"/>
        </w:rPr>
        <w:t xml:space="preserve"> S</w:t>
      </w:r>
      <w:r w:rsidR="008D2055" w:rsidRPr="00D870FC">
        <w:rPr>
          <w:rFonts w:ascii="Times New Roman" w:hAnsi="Times New Roman" w:cs="Times New Roman"/>
          <w:sz w:val="20"/>
          <w:szCs w:val="20"/>
        </w:rPr>
        <w:t>.</w:t>
      </w:r>
      <w:r w:rsidRPr="00D870FC">
        <w:rPr>
          <w:rFonts w:ascii="Times New Roman" w:hAnsi="Times New Roman" w:cs="Times New Roman"/>
          <w:sz w:val="20"/>
          <w:szCs w:val="20"/>
        </w:rPr>
        <w:t xml:space="preserve">K, </w:t>
      </w:r>
      <w:proofErr w:type="spellStart"/>
      <w:r w:rsidRPr="00D870FC">
        <w:rPr>
          <w:rFonts w:ascii="Times New Roman" w:hAnsi="Times New Roman" w:cs="Times New Roman"/>
          <w:sz w:val="20"/>
          <w:szCs w:val="20"/>
        </w:rPr>
        <w:t>Tiwari</w:t>
      </w:r>
      <w:proofErr w:type="spellEnd"/>
      <w:r w:rsidRPr="00D870FC">
        <w:rPr>
          <w:rFonts w:ascii="Times New Roman" w:hAnsi="Times New Roman" w:cs="Times New Roman"/>
          <w:sz w:val="20"/>
          <w:szCs w:val="20"/>
        </w:rPr>
        <w:t xml:space="preserve"> S</w:t>
      </w:r>
      <w:r w:rsidR="008D2055" w:rsidRPr="00D870FC">
        <w:rPr>
          <w:rFonts w:ascii="Times New Roman" w:hAnsi="Times New Roman" w:cs="Times New Roman"/>
          <w:sz w:val="20"/>
          <w:szCs w:val="20"/>
        </w:rPr>
        <w:t>.</w:t>
      </w:r>
      <w:r w:rsidRPr="00D870FC">
        <w:rPr>
          <w:rFonts w:ascii="Times New Roman" w:hAnsi="Times New Roman" w:cs="Times New Roman"/>
          <w:sz w:val="20"/>
          <w:szCs w:val="20"/>
        </w:rPr>
        <w:t>C, Dash S</w:t>
      </w:r>
      <w:r w:rsidR="008D2055" w:rsidRPr="00D870FC">
        <w:rPr>
          <w:rFonts w:ascii="Times New Roman" w:hAnsi="Times New Roman" w:cs="Times New Roman"/>
          <w:sz w:val="20"/>
          <w:szCs w:val="20"/>
        </w:rPr>
        <w:t>.</w:t>
      </w:r>
      <w:r w:rsidRPr="00D870FC">
        <w:rPr>
          <w:rFonts w:ascii="Times New Roman" w:hAnsi="Times New Roman" w:cs="Times New Roman"/>
          <w:sz w:val="20"/>
          <w:szCs w:val="20"/>
        </w:rPr>
        <w:t>C (1993)</w:t>
      </w:r>
      <w:r w:rsidR="008D2055" w:rsidRPr="00D870FC">
        <w:rPr>
          <w:rFonts w:ascii="Times New Roman" w:hAnsi="Times New Roman" w:cs="Times New Roman"/>
          <w:sz w:val="20"/>
          <w:szCs w:val="20"/>
        </w:rPr>
        <w:t xml:space="preserve">. </w:t>
      </w:r>
      <w:r w:rsidRPr="00D870FC">
        <w:rPr>
          <w:rFonts w:ascii="Times New Roman" w:hAnsi="Times New Roman" w:cs="Times New Roman"/>
          <w:sz w:val="20"/>
          <w:szCs w:val="20"/>
        </w:rPr>
        <w:t xml:space="preserve"> Spectrum of poisoning requiring </w:t>
      </w:r>
      <w:proofErr w:type="spellStart"/>
      <w:r w:rsidRPr="00D870FC">
        <w:rPr>
          <w:rFonts w:ascii="Times New Roman" w:hAnsi="Times New Roman" w:cs="Times New Roman"/>
          <w:sz w:val="20"/>
          <w:szCs w:val="20"/>
        </w:rPr>
        <w:t>hemodialysis</w:t>
      </w:r>
      <w:proofErr w:type="spellEnd"/>
      <w:r w:rsidRPr="00D870FC">
        <w:rPr>
          <w:rFonts w:ascii="Times New Roman" w:hAnsi="Times New Roman" w:cs="Times New Roman"/>
          <w:sz w:val="20"/>
          <w:szCs w:val="20"/>
        </w:rPr>
        <w:t xml:space="preserve"> in a tertiary</w:t>
      </w:r>
      <w:r w:rsidR="00515A1F" w:rsidRPr="00D870FC">
        <w:rPr>
          <w:rFonts w:ascii="Times New Roman" w:hAnsi="Times New Roman" w:cs="Times New Roman"/>
          <w:sz w:val="20"/>
          <w:szCs w:val="20"/>
        </w:rPr>
        <w:t xml:space="preserve"> </w:t>
      </w:r>
      <w:r w:rsidRPr="00D870FC">
        <w:rPr>
          <w:rFonts w:ascii="Times New Roman" w:hAnsi="Times New Roman" w:cs="Times New Roman"/>
          <w:sz w:val="20"/>
          <w:szCs w:val="20"/>
        </w:rPr>
        <w:t xml:space="preserve">care hospital in India. </w:t>
      </w:r>
      <w:r w:rsidRPr="00D870FC">
        <w:rPr>
          <w:rFonts w:ascii="Times New Roman" w:hAnsi="Times New Roman" w:cs="Times New Roman"/>
          <w:i/>
          <w:iCs/>
          <w:sz w:val="20"/>
          <w:szCs w:val="20"/>
        </w:rPr>
        <w:t>International Journal of Artificial Organs</w:t>
      </w:r>
      <w:r w:rsidRPr="00D870FC">
        <w:rPr>
          <w:rFonts w:ascii="Times New Roman" w:hAnsi="Times New Roman" w:cs="Times New Roman"/>
          <w:sz w:val="20"/>
          <w:szCs w:val="20"/>
        </w:rPr>
        <w:t>, 16(1):20–22.</w:t>
      </w:r>
    </w:p>
    <w:p w:rsidR="000F5752" w:rsidRPr="00D870FC" w:rsidRDefault="000F5752"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Adindu</w:t>
      </w:r>
      <w:proofErr w:type="spellEnd"/>
      <w:r w:rsidRPr="00D870FC">
        <w:rPr>
          <w:rFonts w:ascii="Times New Roman" w:hAnsi="Times New Roman" w:cs="Times New Roman"/>
          <w:sz w:val="20"/>
          <w:szCs w:val="20"/>
        </w:rPr>
        <w:t xml:space="preserve"> R.U., </w:t>
      </w:r>
      <w:proofErr w:type="spellStart"/>
      <w:r w:rsidRPr="00D870FC">
        <w:rPr>
          <w:rFonts w:ascii="Times New Roman" w:hAnsi="Times New Roman" w:cs="Times New Roman"/>
          <w:sz w:val="20"/>
          <w:szCs w:val="20"/>
        </w:rPr>
        <w:t>Igboekwe</w:t>
      </w:r>
      <w:proofErr w:type="spellEnd"/>
      <w:r w:rsidRPr="00D870FC">
        <w:rPr>
          <w:rFonts w:ascii="Times New Roman" w:hAnsi="Times New Roman" w:cs="Times New Roman"/>
          <w:sz w:val="20"/>
          <w:szCs w:val="20"/>
        </w:rPr>
        <w:t xml:space="preserve"> M.U., </w:t>
      </w:r>
      <w:proofErr w:type="spellStart"/>
      <w:r w:rsidRPr="00D870FC">
        <w:rPr>
          <w:rFonts w:ascii="Times New Roman" w:hAnsi="Times New Roman" w:cs="Times New Roman"/>
          <w:sz w:val="20"/>
          <w:szCs w:val="20"/>
        </w:rPr>
        <w:t>Lebe</w:t>
      </w:r>
      <w:proofErr w:type="spellEnd"/>
      <w:r w:rsidRPr="00D870FC">
        <w:rPr>
          <w:rFonts w:ascii="Times New Roman" w:hAnsi="Times New Roman" w:cs="Times New Roman"/>
          <w:sz w:val="20"/>
          <w:szCs w:val="20"/>
        </w:rPr>
        <w:t xml:space="preserve"> N. (2012). Groundwater mineralization analysis of </w:t>
      </w:r>
      <w:proofErr w:type="spellStart"/>
      <w:r w:rsidRPr="00D870FC">
        <w:rPr>
          <w:rFonts w:ascii="Times New Roman" w:hAnsi="Times New Roman" w:cs="Times New Roman"/>
          <w:sz w:val="20"/>
          <w:szCs w:val="20"/>
        </w:rPr>
        <w:t>Osisioma</w:t>
      </w:r>
      <w:proofErr w:type="spellEnd"/>
      <w:r w:rsidRPr="00D870FC">
        <w:rPr>
          <w:rFonts w:ascii="Times New Roman" w:hAnsi="Times New Roman" w:cs="Times New Roman"/>
          <w:sz w:val="20"/>
          <w:szCs w:val="20"/>
        </w:rPr>
        <w:t xml:space="preserve"> local government Area of </w:t>
      </w:r>
      <w:proofErr w:type="spellStart"/>
      <w:r w:rsidRPr="00D870FC">
        <w:rPr>
          <w:rFonts w:ascii="Times New Roman" w:hAnsi="Times New Roman" w:cs="Times New Roman"/>
          <w:sz w:val="20"/>
          <w:szCs w:val="20"/>
        </w:rPr>
        <w:t>Abia</w:t>
      </w:r>
      <w:proofErr w:type="spellEnd"/>
      <w:r w:rsidRPr="00D870FC">
        <w:rPr>
          <w:rFonts w:ascii="Times New Roman" w:hAnsi="Times New Roman" w:cs="Times New Roman"/>
          <w:sz w:val="20"/>
          <w:szCs w:val="20"/>
        </w:rPr>
        <w:t xml:space="preserve"> State, Nigeria., American Journal of Chemistry., 2(3): 121-125.</w:t>
      </w:r>
      <w:r w:rsidRPr="00D870FC">
        <w:rPr>
          <w:rFonts w:ascii="Times New Roman" w:hAnsi="Times New Roman" w:cs="Times New Roman"/>
          <w:sz w:val="20"/>
          <w:szCs w:val="20"/>
        </w:rPr>
        <w:tab/>
      </w:r>
    </w:p>
    <w:p w:rsidR="002C1998" w:rsidRPr="00D870FC" w:rsidRDefault="002C1998"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Adegbola</w:t>
      </w:r>
      <w:proofErr w:type="spellEnd"/>
      <w:r w:rsidRPr="00D870FC">
        <w:rPr>
          <w:rFonts w:ascii="Times New Roman" w:hAnsi="Times New Roman" w:cs="Times New Roman"/>
          <w:sz w:val="20"/>
          <w:szCs w:val="20"/>
        </w:rPr>
        <w:t>, A.A. (2006). A review of safe water provision for residents of Ibadan City</w:t>
      </w:r>
      <w:r w:rsidR="00BB59D4" w:rsidRPr="00D870FC">
        <w:rPr>
          <w:rFonts w:ascii="Times New Roman" w:hAnsi="Times New Roman" w:cs="Times New Roman"/>
          <w:sz w:val="20"/>
          <w:szCs w:val="20"/>
        </w:rPr>
        <w:t>. Science focus: International Journal of Biological and Physical Sciences. 2(1): 139-146.</w:t>
      </w:r>
    </w:p>
    <w:p w:rsidR="008D2055" w:rsidRPr="00D870FC" w:rsidRDefault="00BB59D4"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Ekpo</w:t>
      </w:r>
      <w:proofErr w:type="spellEnd"/>
      <w:r w:rsidRPr="00D870FC">
        <w:rPr>
          <w:rFonts w:ascii="Times New Roman" w:hAnsi="Times New Roman" w:cs="Times New Roman"/>
          <w:sz w:val="20"/>
          <w:szCs w:val="20"/>
        </w:rPr>
        <w:t xml:space="preserve"> I.A., </w:t>
      </w:r>
      <w:proofErr w:type="spellStart"/>
      <w:r w:rsidRPr="00D870FC">
        <w:rPr>
          <w:rFonts w:ascii="Times New Roman" w:hAnsi="Times New Roman" w:cs="Times New Roman"/>
          <w:sz w:val="20"/>
          <w:szCs w:val="20"/>
        </w:rPr>
        <w:t>Agbor</w:t>
      </w:r>
      <w:proofErr w:type="spellEnd"/>
      <w:r w:rsidRPr="00D870FC">
        <w:rPr>
          <w:rFonts w:ascii="Times New Roman" w:hAnsi="Times New Roman" w:cs="Times New Roman"/>
          <w:sz w:val="20"/>
          <w:szCs w:val="20"/>
        </w:rPr>
        <w:t xml:space="preserve"> R.B., Albert P.E., </w:t>
      </w:r>
      <w:proofErr w:type="spellStart"/>
      <w:r w:rsidRPr="00D870FC">
        <w:rPr>
          <w:rFonts w:ascii="Times New Roman" w:hAnsi="Times New Roman" w:cs="Times New Roman"/>
          <w:sz w:val="20"/>
          <w:szCs w:val="20"/>
        </w:rPr>
        <w:t>Okpako</w:t>
      </w:r>
      <w:proofErr w:type="spellEnd"/>
      <w:r w:rsidRPr="00D870FC">
        <w:rPr>
          <w:rFonts w:ascii="Times New Roman" w:hAnsi="Times New Roman" w:cs="Times New Roman"/>
          <w:sz w:val="20"/>
          <w:szCs w:val="20"/>
        </w:rPr>
        <w:t xml:space="preserve"> E.C and </w:t>
      </w:r>
      <w:proofErr w:type="spellStart"/>
      <w:r w:rsidRPr="00D870FC">
        <w:rPr>
          <w:rFonts w:ascii="Times New Roman" w:hAnsi="Times New Roman" w:cs="Times New Roman"/>
          <w:sz w:val="20"/>
          <w:szCs w:val="20"/>
        </w:rPr>
        <w:t>Inyang</w:t>
      </w:r>
      <w:proofErr w:type="spellEnd"/>
      <w:r w:rsidRPr="00D870FC">
        <w:rPr>
          <w:rFonts w:ascii="Times New Roman" w:hAnsi="Times New Roman" w:cs="Times New Roman"/>
          <w:sz w:val="20"/>
          <w:szCs w:val="20"/>
        </w:rPr>
        <w:t xml:space="preserve"> P.I (2013). Assessment of heavy metal status and bacteria population in municipal borehole water in landfill and non-landfill areas </w:t>
      </w:r>
      <w:r w:rsidRPr="00D870FC">
        <w:rPr>
          <w:rFonts w:ascii="Times New Roman" w:hAnsi="Times New Roman" w:cs="Times New Roman"/>
          <w:sz w:val="20"/>
          <w:szCs w:val="20"/>
        </w:rPr>
        <w:lastRenderedPageBreak/>
        <w:t xml:space="preserve">in </w:t>
      </w:r>
      <w:proofErr w:type="spellStart"/>
      <w:r w:rsidRPr="00D870FC">
        <w:rPr>
          <w:rFonts w:ascii="Times New Roman" w:hAnsi="Times New Roman" w:cs="Times New Roman"/>
          <w:sz w:val="20"/>
          <w:szCs w:val="20"/>
        </w:rPr>
        <w:t>calabar</w:t>
      </w:r>
      <w:proofErr w:type="spellEnd"/>
      <w:r w:rsidRPr="00D870FC">
        <w:rPr>
          <w:rFonts w:ascii="Times New Roman" w:hAnsi="Times New Roman" w:cs="Times New Roman"/>
          <w:sz w:val="20"/>
          <w:szCs w:val="20"/>
        </w:rPr>
        <w:t xml:space="preserve"> municipality, Cross River State, Nigeria. </w:t>
      </w:r>
      <w:r w:rsidRPr="00D870FC">
        <w:rPr>
          <w:rFonts w:ascii="Times New Roman" w:hAnsi="Times New Roman" w:cs="Times New Roman"/>
          <w:i/>
          <w:sz w:val="20"/>
          <w:szCs w:val="20"/>
        </w:rPr>
        <w:t>International Journal of Engineering and Applied Sciences</w:t>
      </w:r>
      <w:r w:rsidRPr="00D870FC">
        <w:rPr>
          <w:rFonts w:ascii="Times New Roman" w:hAnsi="Times New Roman" w:cs="Times New Roman"/>
          <w:sz w:val="20"/>
          <w:szCs w:val="20"/>
        </w:rPr>
        <w:t>. 2(4): 31-</w:t>
      </w:r>
      <w:r w:rsidR="00AF323B" w:rsidRPr="00D870FC">
        <w:rPr>
          <w:rFonts w:ascii="Times New Roman" w:hAnsi="Times New Roman" w:cs="Times New Roman"/>
          <w:sz w:val="20"/>
          <w:szCs w:val="20"/>
        </w:rPr>
        <w:t xml:space="preserve"> 41</w:t>
      </w:r>
    </w:p>
    <w:p w:rsidR="00AF0E39" w:rsidRPr="00D870FC" w:rsidRDefault="00515A1F"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D870FC">
        <w:rPr>
          <w:rFonts w:ascii="Times New Roman" w:hAnsi="Times New Roman" w:cs="Times New Roman"/>
          <w:sz w:val="20"/>
          <w:szCs w:val="20"/>
        </w:rPr>
        <w:t>Fisch</w:t>
      </w:r>
      <w:proofErr w:type="spellEnd"/>
      <w:r w:rsidRPr="00D870FC">
        <w:rPr>
          <w:rFonts w:ascii="Times New Roman" w:hAnsi="Times New Roman" w:cs="Times New Roman"/>
          <w:sz w:val="20"/>
          <w:szCs w:val="20"/>
        </w:rPr>
        <w:t xml:space="preserve"> R</w:t>
      </w:r>
      <w:r w:rsidR="008D2055" w:rsidRPr="00D870FC">
        <w:rPr>
          <w:rFonts w:ascii="Times New Roman" w:hAnsi="Times New Roman" w:cs="Times New Roman"/>
          <w:sz w:val="20"/>
          <w:szCs w:val="20"/>
        </w:rPr>
        <w:t>.</w:t>
      </w:r>
      <w:r w:rsidRPr="00D870FC">
        <w:rPr>
          <w:rFonts w:ascii="Times New Roman" w:hAnsi="Times New Roman" w:cs="Times New Roman"/>
          <w:sz w:val="20"/>
          <w:szCs w:val="20"/>
        </w:rPr>
        <w:t>O (</w:t>
      </w:r>
      <w:r w:rsidR="008D2055" w:rsidRPr="00D870FC">
        <w:rPr>
          <w:rFonts w:ascii="Times New Roman" w:hAnsi="Times New Roman" w:cs="Times New Roman"/>
          <w:sz w:val="20"/>
          <w:szCs w:val="20"/>
        </w:rPr>
        <w:t>1975</w:t>
      </w:r>
      <w:r w:rsidRPr="00D870FC">
        <w:rPr>
          <w:rFonts w:ascii="Times New Roman" w:hAnsi="Times New Roman" w:cs="Times New Roman"/>
          <w:sz w:val="20"/>
          <w:szCs w:val="20"/>
        </w:rPr>
        <w:t>)</w:t>
      </w:r>
      <w:r w:rsidR="008D2055" w:rsidRPr="00D870FC">
        <w:rPr>
          <w:rFonts w:ascii="Times New Roman" w:hAnsi="Times New Roman" w:cs="Times New Roman"/>
          <w:sz w:val="20"/>
          <w:szCs w:val="20"/>
        </w:rPr>
        <w:t>.</w:t>
      </w:r>
      <w:r w:rsidR="00AF0E39" w:rsidRPr="00D870FC">
        <w:rPr>
          <w:rFonts w:ascii="Times New Roman" w:hAnsi="Times New Roman" w:cs="Times New Roman"/>
          <w:sz w:val="20"/>
          <w:szCs w:val="20"/>
        </w:rPr>
        <w:t xml:space="preserve"> Potential toxicity of iron overload in successive generations of rats. </w:t>
      </w:r>
      <w:r w:rsidR="00C73306" w:rsidRPr="00D870FC">
        <w:rPr>
          <w:rFonts w:ascii="Times New Roman" w:hAnsi="Times New Roman" w:cs="Times New Roman"/>
          <w:i/>
          <w:iCs/>
          <w:sz w:val="20"/>
          <w:szCs w:val="20"/>
        </w:rPr>
        <w:t>American Journal of Clinical N</w:t>
      </w:r>
      <w:r w:rsidR="00AF0E39" w:rsidRPr="00D870FC">
        <w:rPr>
          <w:rFonts w:ascii="Times New Roman" w:hAnsi="Times New Roman" w:cs="Times New Roman"/>
          <w:i/>
          <w:iCs/>
          <w:sz w:val="20"/>
          <w:szCs w:val="20"/>
        </w:rPr>
        <w:t>utrition</w:t>
      </w:r>
      <w:r w:rsidR="008D2055" w:rsidRPr="00D870FC">
        <w:rPr>
          <w:rFonts w:ascii="Times New Roman" w:hAnsi="Times New Roman" w:cs="Times New Roman"/>
          <w:sz w:val="20"/>
          <w:szCs w:val="20"/>
        </w:rPr>
        <w:t xml:space="preserve">, </w:t>
      </w:r>
      <w:r w:rsidR="00AF0E39" w:rsidRPr="00D870FC">
        <w:rPr>
          <w:rFonts w:ascii="Times New Roman" w:hAnsi="Times New Roman" w:cs="Times New Roman"/>
          <w:sz w:val="20"/>
          <w:szCs w:val="20"/>
        </w:rPr>
        <w:t>28:136-139.</w:t>
      </w:r>
    </w:p>
    <w:p w:rsidR="008D2055" w:rsidRPr="00D870FC" w:rsidRDefault="00CD77DE"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D870FC">
        <w:rPr>
          <w:rFonts w:ascii="Times New Roman" w:hAnsi="Times New Roman" w:cs="Times New Roman"/>
          <w:sz w:val="20"/>
          <w:szCs w:val="20"/>
        </w:rPr>
        <w:t>World Health Organization Working Group</w:t>
      </w:r>
      <w:r w:rsidR="00515A1F" w:rsidRPr="00D870FC">
        <w:rPr>
          <w:rFonts w:ascii="Times New Roman" w:hAnsi="Times New Roman" w:cs="Times New Roman"/>
          <w:sz w:val="20"/>
          <w:szCs w:val="20"/>
        </w:rPr>
        <w:t xml:space="preserve"> (1986)</w:t>
      </w:r>
      <w:r w:rsidRPr="00D870FC">
        <w:rPr>
          <w:rFonts w:ascii="Times New Roman" w:hAnsi="Times New Roman" w:cs="Times New Roman"/>
          <w:sz w:val="20"/>
          <w:szCs w:val="20"/>
        </w:rPr>
        <w:t xml:space="preserve">. Health impact of acidic deposition. </w:t>
      </w:r>
      <w:r w:rsidRPr="00D870FC">
        <w:rPr>
          <w:rFonts w:ascii="Times New Roman" w:hAnsi="Times New Roman" w:cs="Times New Roman"/>
          <w:i/>
          <w:iCs/>
          <w:sz w:val="20"/>
          <w:szCs w:val="20"/>
        </w:rPr>
        <w:t>Science</w:t>
      </w:r>
      <w:r w:rsidR="00515A1F" w:rsidRPr="00D870FC">
        <w:rPr>
          <w:rFonts w:ascii="Times New Roman" w:hAnsi="Times New Roman" w:cs="Times New Roman"/>
          <w:i/>
          <w:iCs/>
          <w:sz w:val="20"/>
          <w:szCs w:val="20"/>
        </w:rPr>
        <w:t xml:space="preserve"> </w:t>
      </w:r>
      <w:r w:rsidRPr="00D870FC">
        <w:rPr>
          <w:rFonts w:ascii="Times New Roman" w:hAnsi="Times New Roman" w:cs="Times New Roman"/>
          <w:i/>
          <w:iCs/>
          <w:sz w:val="20"/>
          <w:szCs w:val="20"/>
        </w:rPr>
        <w:t>of the total environment</w:t>
      </w:r>
      <w:r w:rsidR="00515A1F" w:rsidRPr="00D870FC">
        <w:rPr>
          <w:rFonts w:ascii="Times New Roman" w:hAnsi="Times New Roman" w:cs="Times New Roman"/>
          <w:sz w:val="20"/>
          <w:szCs w:val="20"/>
        </w:rPr>
        <w:t xml:space="preserve">, </w:t>
      </w:r>
      <w:r w:rsidRPr="00D870FC">
        <w:rPr>
          <w:rFonts w:ascii="Times New Roman" w:hAnsi="Times New Roman" w:cs="Times New Roman"/>
          <w:sz w:val="20"/>
          <w:szCs w:val="20"/>
        </w:rPr>
        <w:t>52:157-187.</w:t>
      </w:r>
    </w:p>
    <w:p w:rsidR="006B2FBB" w:rsidRPr="00D870FC" w:rsidRDefault="0042631E"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i/>
          <w:iCs/>
          <w:sz w:val="20"/>
          <w:szCs w:val="20"/>
        </w:rPr>
      </w:pPr>
      <w:r w:rsidRPr="00D870FC">
        <w:rPr>
          <w:rFonts w:ascii="Times New Roman" w:hAnsi="Times New Roman" w:cs="Times New Roman"/>
          <w:sz w:val="20"/>
          <w:szCs w:val="20"/>
        </w:rPr>
        <w:t>Janus J</w:t>
      </w:r>
      <w:r w:rsidR="00515A1F" w:rsidRPr="00D870FC">
        <w:rPr>
          <w:rFonts w:ascii="Times New Roman" w:hAnsi="Times New Roman" w:cs="Times New Roman"/>
          <w:sz w:val="20"/>
          <w:szCs w:val="20"/>
        </w:rPr>
        <w:t>.</w:t>
      </w:r>
      <w:r w:rsidRPr="00D870FC">
        <w:rPr>
          <w:rFonts w:ascii="Times New Roman" w:hAnsi="Times New Roman" w:cs="Times New Roman"/>
          <w:sz w:val="20"/>
          <w:szCs w:val="20"/>
        </w:rPr>
        <w:t xml:space="preserve">A, </w:t>
      </w:r>
      <w:proofErr w:type="spellStart"/>
      <w:r w:rsidRPr="00D870FC">
        <w:rPr>
          <w:rFonts w:ascii="Times New Roman" w:hAnsi="Times New Roman" w:cs="Times New Roman"/>
          <w:sz w:val="20"/>
          <w:szCs w:val="20"/>
        </w:rPr>
        <w:t>Krajnc</w:t>
      </w:r>
      <w:proofErr w:type="spellEnd"/>
      <w:r w:rsidRPr="00D870FC">
        <w:rPr>
          <w:rFonts w:ascii="Times New Roman" w:hAnsi="Times New Roman" w:cs="Times New Roman"/>
          <w:sz w:val="20"/>
          <w:szCs w:val="20"/>
        </w:rPr>
        <w:t xml:space="preserve"> E</w:t>
      </w:r>
      <w:r w:rsidR="00515A1F" w:rsidRPr="00D870FC">
        <w:rPr>
          <w:rFonts w:ascii="Times New Roman" w:hAnsi="Times New Roman" w:cs="Times New Roman"/>
          <w:sz w:val="20"/>
          <w:szCs w:val="20"/>
        </w:rPr>
        <w:t>.</w:t>
      </w:r>
      <w:r w:rsidRPr="00D870FC">
        <w:rPr>
          <w:rFonts w:ascii="Times New Roman" w:hAnsi="Times New Roman" w:cs="Times New Roman"/>
          <w:sz w:val="20"/>
          <w:szCs w:val="20"/>
        </w:rPr>
        <w:t>I.</w:t>
      </w:r>
      <w:r w:rsidR="00515A1F" w:rsidRPr="00D870FC">
        <w:rPr>
          <w:rFonts w:ascii="Times New Roman" w:hAnsi="Times New Roman" w:cs="Times New Roman"/>
          <w:sz w:val="20"/>
          <w:szCs w:val="20"/>
        </w:rPr>
        <w:t xml:space="preserve"> (1990).</w:t>
      </w:r>
      <w:r w:rsidRPr="00D870FC">
        <w:rPr>
          <w:rFonts w:ascii="Times New Roman" w:hAnsi="Times New Roman" w:cs="Times New Roman"/>
          <w:sz w:val="20"/>
          <w:szCs w:val="20"/>
        </w:rPr>
        <w:t xml:space="preserve"> Integrated criteria document chromium: effects. Appendix.</w:t>
      </w:r>
      <w:r w:rsidR="008D2055" w:rsidRPr="00D870FC">
        <w:rPr>
          <w:rFonts w:ascii="Times New Roman" w:hAnsi="Times New Roman" w:cs="Times New Roman"/>
          <w:i/>
          <w:iCs/>
          <w:sz w:val="20"/>
          <w:szCs w:val="20"/>
        </w:rPr>
        <w:t xml:space="preserve"> </w:t>
      </w:r>
      <w:proofErr w:type="spellStart"/>
      <w:r w:rsidRPr="00D870FC">
        <w:rPr>
          <w:rFonts w:ascii="Times New Roman" w:hAnsi="Times New Roman" w:cs="Times New Roman"/>
          <w:sz w:val="20"/>
          <w:szCs w:val="20"/>
        </w:rPr>
        <w:t>Bilthoven</w:t>
      </w:r>
      <w:proofErr w:type="spellEnd"/>
      <w:r w:rsidRPr="00D870FC">
        <w:rPr>
          <w:rFonts w:ascii="Times New Roman" w:hAnsi="Times New Roman" w:cs="Times New Roman"/>
          <w:sz w:val="20"/>
          <w:szCs w:val="20"/>
        </w:rPr>
        <w:t>, Netherlands, National Institute of Public Health and Environmental Protection,</w:t>
      </w:r>
    </w:p>
    <w:p w:rsidR="006B2FBB" w:rsidRPr="00D870FC" w:rsidRDefault="002169F1"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proofErr w:type="spellStart"/>
      <w:r w:rsidRPr="00D870FC">
        <w:rPr>
          <w:rFonts w:ascii="Times New Roman" w:hAnsi="Times New Roman" w:cs="Times New Roman"/>
          <w:color w:val="000000"/>
          <w:sz w:val="20"/>
          <w:szCs w:val="20"/>
        </w:rPr>
        <w:t>Isirimah</w:t>
      </w:r>
      <w:proofErr w:type="spellEnd"/>
      <w:r w:rsidRPr="00D870FC">
        <w:rPr>
          <w:rFonts w:ascii="Times New Roman" w:hAnsi="Times New Roman" w:cs="Times New Roman"/>
          <w:color w:val="000000"/>
          <w:sz w:val="20"/>
          <w:szCs w:val="20"/>
        </w:rPr>
        <w:t xml:space="preserve"> N. O, </w:t>
      </w:r>
      <w:r w:rsidRPr="00D870FC">
        <w:rPr>
          <w:rFonts w:ascii="Times New Roman" w:hAnsi="Times New Roman" w:cs="Times New Roman"/>
          <w:i/>
          <w:iCs/>
          <w:color w:val="000000"/>
          <w:sz w:val="20"/>
          <w:szCs w:val="20"/>
        </w:rPr>
        <w:t>Understanding the Nature, properties and sources of Wastes for Quality Environment</w:t>
      </w:r>
      <w:r w:rsidRPr="00D870FC">
        <w:rPr>
          <w:rFonts w:ascii="Times New Roman" w:hAnsi="Times New Roman" w:cs="Times New Roman"/>
          <w:color w:val="000000"/>
          <w:sz w:val="20"/>
          <w:szCs w:val="20"/>
        </w:rPr>
        <w:t>.</w:t>
      </w:r>
      <w:r w:rsidR="00C73306" w:rsidRPr="00D870FC">
        <w:rPr>
          <w:rFonts w:ascii="Times New Roman" w:hAnsi="Times New Roman" w:cs="Times New Roman"/>
          <w:color w:val="000000"/>
          <w:sz w:val="20"/>
          <w:szCs w:val="20"/>
        </w:rPr>
        <w:t xml:space="preserve"> </w:t>
      </w:r>
      <w:r w:rsidRPr="00D870FC">
        <w:rPr>
          <w:rFonts w:ascii="Times New Roman" w:hAnsi="Times New Roman" w:cs="Times New Roman"/>
          <w:color w:val="000000"/>
          <w:sz w:val="20"/>
          <w:szCs w:val="20"/>
        </w:rPr>
        <w:t xml:space="preserve">Tom and Harry Publications Port Harcourt Nigeria. 19 – 25. (2002). </w:t>
      </w:r>
    </w:p>
    <w:p w:rsidR="00BB59D4" w:rsidRPr="00D870FC" w:rsidRDefault="002169F1"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iCs/>
          <w:sz w:val="20"/>
          <w:szCs w:val="20"/>
        </w:rPr>
      </w:pPr>
      <w:r w:rsidRPr="00D870FC">
        <w:rPr>
          <w:rFonts w:ascii="Times New Roman" w:hAnsi="Times New Roman" w:cs="Times New Roman"/>
          <w:sz w:val="20"/>
          <w:szCs w:val="20"/>
        </w:rPr>
        <w:t xml:space="preserve">Chow, V. T., </w:t>
      </w:r>
      <w:proofErr w:type="spellStart"/>
      <w:r w:rsidRPr="00D870FC">
        <w:rPr>
          <w:rFonts w:ascii="Times New Roman" w:hAnsi="Times New Roman" w:cs="Times New Roman"/>
          <w:sz w:val="20"/>
          <w:szCs w:val="20"/>
        </w:rPr>
        <w:t>Maidment</w:t>
      </w:r>
      <w:proofErr w:type="spellEnd"/>
      <w:r w:rsidRPr="00D870FC">
        <w:rPr>
          <w:rFonts w:ascii="Times New Roman" w:hAnsi="Times New Roman" w:cs="Times New Roman"/>
          <w:sz w:val="20"/>
          <w:szCs w:val="20"/>
        </w:rPr>
        <w:t>, D. R., Mays, L. W., Applied Hydrology, McGraw-Hill</w:t>
      </w:r>
      <w:r w:rsidR="006B2FBB" w:rsidRPr="00D870FC">
        <w:rPr>
          <w:rFonts w:ascii="Times New Roman" w:hAnsi="Times New Roman" w:cs="Times New Roman"/>
          <w:iCs/>
          <w:sz w:val="20"/>
          <w:szCs w:val="20"/>
        </w:rPr>
        <w:t xml:space="preserve"> </w:t>
      </w:r>
      <w:r w:rsidRPr="00D870FC">
        <w:rPr>
          <w:rFonts w:ascii="Times New Roman" w:hAnsi="Times New Roman" w:cs="Times New Roman"/>
          <w:sz w:val="20"/>
          <w:szCs w:val="20"/>
        </w:rPr>
        <w:t>International Editions, 1988 (GB 661.2 .C43 1988).</w:t>
      </w:r>
    </w:p>
    <w:p w:rsidR="00BB59D4" w:rsidRPr="00D870FC" w:rsidRDefault="002C1998"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iCs/>
          <w:sz w:val="20"/>
          <w:szCs w:val="20"/>
        </w:rPr>
      </w:pPr>
      <w:r w:rsidRPr="00D870FC">
        <w:rPr>
          <w:rFonts w:ascii="Times New Roman" w:hAnsi="Times New Roman" w:cs="Times New Roman"/>
          <w:sz w:val="20"/>
          <w:szCs w:val="20"/>
        </w:rPr>
        <w:t>United States Environmental Protection Agency (USEPA) (2002).</w:t>
      </w:r>
      <w:r w:rsidR="00BB59D4" w:rsidRPr="00D870FC">
        <w:rPr>
          <w:rFonts w:ascii="Times New Roman" w:hAnsi="Times New Roman" w:cs="Times New Roman"/>
          <w:sz w:val="20"/>
          <w:szCs w:val="20"/>
        </w:rPr>
        <w:t xml:space="preserve"> </w:t>
      </w:r>
      <w:r w:rsidRPr="00D870FC">
        <w:rPr>
          <w:rFonts w:ascii="Times New Roman" w:hAnsi="Times New Roman" w:cs="Times New Roman"/>
          <w:sz w:val="20"/>
          <w:szCs w:val="20"/>
        </w:rPr>
        <w:t>Current drinking water Standard Office of Groundwater and drinking</w:t>
      </w:r>
      <w:r w:rsidR="00BB59D4" w:rsidRPr="00D870FC">
        <w:rPr>
          <w:rFonts w:ascii="Times New Roman" w:hAnsi="Times New Roman" w:cs="Times New Roman"/>
          <w:sz w:val="20"/>
          <w:szCs w:val="20"/>
        </w:rPr>
        <w:t xml:space="preserve"> </w:t>
      </w:r>
      <w:r w:rsidRPr="00D870FC">
        <w:rPr>
          <w:rFonts w:ascii="Times New Roman" w:hAnsi="Times New Roman" w:cs="Times New Roman"/>
          <w:sz w:val="20"/>
          <w:szCs w:val="20"/>
        </w:rPr>
        <w:t>water, Government Printing Office, Washington D.C.</w:t>
      </w:r>
    </w:p>
    <w:p w:rsidR="002C1998" w:rsidRPr="00D870FC" w:rsidRDefault="00C73306" w:rsidP="00D870FC">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iCs/>
          <w:sz w:val="20"/>
          <w:szCs w:val="20"/>
        </w:rPr>
      </w:pPr>
      <w:r w:rsidRPr="00D870FC">
        <w:rPr>
          <w:rFonts w:ascii="Times New Roman" w:hAnsi="Times New Roman" w:cs="Times New Roman"/>
          <w:sz w:val="20"/>
          <w:szCs w:val="20"/>
        </w:rPr>
        <w:t>WHO, (2002</w:t>
      </w:r>
      <w:r w:rsidR="002C1998" w:rsidRPr="00D870FC">
        <w:rPr>
          <w:rFonts w:ascii="Times New Roman" w:hAnsi="Times New Roman" w:cs="Times New Roman"/>
          <w:sz w:val="20"/>
          <w:szCs w:val="20"/>
        </w:rPr>
        <w:t>): Water for Health. World</w:t>
      </w:r>
      <w:r w:rsidR="00BB59D4" w:rsidRPr="00D870FC">
        <w:rPr>
          <w:rFonts w:ascii="Times New Roman" w:hAnsi="Times New Roman" w:cs="Times New Roman"/>
          <w:iCs/>
          <w:sz w:val="20"/>
          <w:szCs w:val="20"/>
        </w:rPr>
        <w:t xml:space="preserve"> </w:t>
      </w:r>
      <w:r w:rsidRPr="00D870FC">
        <w:rPr>
          <w:rFonts w:ascii="Times New Roman" w:hAnsi="Times New Roman" w:cs="Times New Roman"/>
          <w:sz w:val="20"/>
          <w:szCs w:val="20"/>
        </w:rPr>
        <w:t>Water Day 2002</w:t>
      </w:r>
      <w:r w:rsidR="002C1998" w:rsidRPr="00D870FC">
        <w:rPr>
          <w:rFonts w:ascii="Times New Roman" w:hAnsi="Times New Roman" w:cs="Times New Roman"/>
          <w:sz w:val="20"/>
          <w:szCs w:val="20"/>
        </w:rPr>
        <w:t>, Washington.</w:t>
      </w:r>
    </w:p>
    <w:p w:rsidR="00D870FC" w:rsidRDefault="0063433C" w:rsidP="00D870FC">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pPr>
      <w:r w:rsidRPr="00D870FC">
        <w:rPr>
          <w:rFonts w:ascii="Times New Roman" w:hAnsi="Times New Roman" w:cs="Times New Roman"/>
          <w:color w:val="000000" w:themeColor="text1"/>
          <w:sz w:val="20"/>
          <w:szCs w:val="20"/>
        </w:rPr>
        <w:t>Dennis M., and Parker, J. (2000)</w:t>
      </w:r>
      <w:r w:rsidRPr="00D870FC">
        <w:rPr>
          <w:rFonts w:ascii="Times New Roman" w:hAnsi="Times New Roman" w:cs="Times New Roman"/>
          <w:i/>
          <w:color w:val="000000" w:themeColor="text1"/>
          <w:sz w:val="20"/>
          <w:szCs w:val="20"/>
        </w:rPr>
        <w:t xml:space="preserve"> Groundwater Contamination and Remediation.</w:t>
      </w:r>
      <w:r w:rsidRPr="00D870FC">
        <w:rPr>
          <w:rFonts w:ascii="Times New Roman" w:hAnsi="Times New Roman" w:cs="Times New Roman"/>
          <w:color w:val="000000" w:themeColor="text1"/>
          <w:sz w:val="20"/>
          <w:szCs w:val="20"/>
        </w:rPr>
        <w:t xml:space="preserve"> New Mexico Environment Department Groundwater Quality Bureau.</w:t>
      </w:r>
    </w:p>
    <w:p w:rsidR="00D870FC" w:rsidRDefault="00D870FC" w:rsidP="00D870FC">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color w:val="000000" w:themeColor="text1"/>
          <w:sz w:val="20"/>
          <w:szCs w:val="20"/>
        </w:rPr>
        <w:sectPr w:rsidR="00D870FC" w:rsidSect="00CC3C60">
          <w:type w:val="continuous"/>
          <w:pgSz w:w="12240" w:h="15840" w:code="1"/>
          <w:pgMar w:top="1440" w:right="1440" w:bottom="1440" w:left="1440" w:header="720" w:footer="720" w:gutter="0"/>
          <w:pgNumType w:start="37"/>
          <w:cols w:num="2" w:space="550"/>
          <w:docGrid w:linePitch="360"/>
        </w:sectPr>
      </w:pPr>
    </w:p>
    <w:p w:rsidR="0063433C" w:rsidRPr="00D870FC" w:rsidRDefault="0063433C" w:rsidP="00D870FC">
      <w:pPr>
        <w:adjustRightInd w:val="0"/>
        <w:snapToGrid w:val="0"/>
        <w:spacing w:after="0" w:line="240" w:lineRule="auto"/>
        <w:ind w:left="66"/>
        <w:jc w:val="both"/>
        <w:rPr>
          <w:rFonts w:ascii="Times New Roman" w:hAnsi="Times New Roman" w:cs="Times New Roman"/>
          <w:color w:val="000000" w:themeColor="text1"/>
          <w:sz w:val="20"/>
          <w:szCs w:val="20"/>
        </w:rPr>
      </w:pPr>
    </w:p>
    <w:p w:rsidR="00D870FC" w:rsidRPr="00D870FC" w:rsidRDefault="00D870FC" w:rsidP="00D870FC">
      <w:pPr>
        <w:adjustRightInd w:val="0"/>
        <w:snapToGrid w:val="0"/>
        <w:spacing w:after="0" w:line="240" w:lineRule="auto"/>
        <w:ind w:left="720" w:hanging="720"/>
        <w:jc w:val="both"/>
        <w:rPr>
          <w:rFonts w:ascii="Times New Roman" w:hAnsi="Times New Roman" w:cs="Times New Roman"/>
          <w:sz w:val="20"/>
          <w:szCs w:val="20"/>
        </w:rPr>
      </w:pPr>
    </w:p>
    <w:p w:rsidR="007F7355" w:rsidRPr="00D870FC" w:rsidRDefault="007F7355" w:rsidP="00D870FC">
      <w:pPr>
        <w:adjustRightInd w:val="0"/>
        <w:snapToGrid w:val="0"/>
        <w:spacing w:after="0" w:line="240" w:lineRule="auto"/>
        <w:ind w:left="720" w:hanging="720"/>
        <w:jc w:val="both"/>
        <w:rPr>
          <w:rFonts w:ascii="Times New Roman" w:hAnsi="Times New Roman" w:cs="Times New Roman"/>
          <w:sz w:val="20"/>
          <w:szCs w:val="20"/>
        </w:rPr>
      </w:pPr>
      <w:r w:rsidRPr="00D870FC">
        <w:rPr>
          <w:rFonts w:ascii="Times New Roman" w:hAnsi="Times New Roman" w:cs="Times New Roman"/>
          <w:sz w:val="20"/>
          <w:szCs w:val="20"/>
        </w:rPr>
        <w:t>8/2/2013</w:t>
      </w:r>
    </w:p>
    <w:sectPr w:rsidR="007F7355" w:rsidRPr="00D870FC" w:rsidSect="00CC3C60">
      <w:type w:val="continuous"/>
      <w:pgSz w:w="12240" w:h="15840" w:code="1"/>
      <w:pgMar w:top="1440" w:right="1440" w:bottom="1440" w:left="1440" w:header="720" w:footer="720"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F9" w:rsidRDefault="001D3AF9" w:rsidP="001D3AF9">
      <w:pPr>
        <w:spacing w:after="0" w:line="240" w:lineRule="auto"/>
      </w:pPr>
      <w:r>
        <w:separator/>
      </w:r>
    </w:p>
  </w:endnote>
  <w:endnote w:type="continuationSeparator" w:id="0">
    <w:p w:rsidR="001D3AF9" w:rsidRDefault="001D3AF9" w:rsidP="001D3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054"/>
      <w:docPartObj>
        <w:docPartGallery w:val="Page Numbers (Bottom of Page)"/>
        <w:docPartUnique/>
      </w:docPartObj>
    </w:sdtPr>
    <w:sdtContent>
      <w:p w:rsidR="001D3AF9" w:rsidRDefault="00FA4C30">
        <w:pPr>
          <w:pStyle w:val="Footer"/>
          <w:jc w:val="center"/>
        </w:pPr>
        <w:fldSimple w:instr=" PAGE   \* MERGEFORMAT ">
          <w:r w:rsidR="00CC3C60" w:rsidRPr="00CC3C60">
            <w:rPr>
              <w:noProof/>
              <w:lang w:val="zh-CN"/>
            </w:rPr>
            <w:t>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F9" w:rsidRDefault="001D3AF9" w:rsidP="001D3AF9">
      <w:pPr>
        <w:spacing w:after="0" w:line="240" w:lineRule="auto"/>
      </w:pPr>
      <w:r>
        <w:separator/>
      </w:r>
    </w:p>
  </w:footnote>
  <w:footnote w:type="continuationSeparator" w:id="0">
    <w:p w:rsidR="001D3AF9" w:rsidRDefault="001D3AF9" w:rsidP="001D3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F9" w:rsidRDefault="001D3AF9" w:rsidP="001D3AF9">
    <w:pPr>
      <w:pBdr>
        <w:bottom w:val="thinThickMediumGap" w:sz="12" w:space="1" w:color="auto"/>
      </w:pBdr>
      <w:tabs>
        <w:tab w:val="left" w:pos="9360"/>
      </w:tabs>
      <w:adjustRightInd w:val="0"/>
      <w:snapToGrid w:val="0"/>
      <w:spacing w:after="0" w:line="240" w:lineRule="auto"/>
      <w:jc w:val="center"/>
      <w:rPr>
        <w:color w:val="0070C0"/>
      </w:rPr>
    </w:pPr>
    <w:r>
      <w:rPr>
        <w:rFonts w:ascii="Times New Roman" w:hAnsi="Times New Roman"/>
        <w:sz w:val="20"/>
        <w:szCs w:val="20"/>
      </w:rPr>
      <w:t>World Rural Observations 2013;5(</w:t>
    </w:r>
    <w:r>
      <w:rPr>
        <w:rFonts w:ascii="Times New Roman" w:hAnsi="Times New Roman"/>
        <w:sz w:val="20"/>
        <w:szCs w:val="20"/>
        <w:lang w:eastAsia="zh-CN"/>
      </w:rPr>
      <w:t>3</w:t>
    </w:r>
    <w:r>
      <w:rPr>
        <w:rFonts w:ascii="Times New Roman" w:hAnsi="Times New Roman"/>
        <w:sz w:val="20"/>
        <w:szCs w:val="20"/>
      </w:rPr>
      <w:t>)</w:t>
    </w:r>
    <w:r>
      <w:rPr>
        <w:rFonts w:ascii="Times New Roman" w:hAnsi="Times New Roman"/>
        <w:color w:val="0070C0"/>
        <w:sz w:val="20"/>
        <w:szCs w:val="20"/>
      </w:rPr>
      <w:t xml:space="preserve">                                                               http://www.sciencepub.net/rural</w:t>
    </w:r>
    <w:r>
      <w:rPr>
        <w:color w:val="0070C0"/>
      </w:rPr>
      <w:t xml:space="preserve"> </w:t>
    </w:r>
  </w:p>
  <w:p w:rsidR="001D3AF9" w:rsidRDefault="001D3AF9" w:rsidP="001D3AF9">
    <w:pPr>
      <w:pStyle w:val="Header"/>
      <w:adjustRightInd w:val="0"/>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86789"/>
    <w:multiLevelType w:val="hybridMultilevel"/>
    <w:tmpl w:val="A2DA72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88636ED"/>
    <w:multiLevelType w:val="hybridMultilevel"/>
    <w:tmpl w:val="7E94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365872"/>
    <w:rsid w:val="0006708C"/>
    <w:rsid w:val="000831B8"/>
    <w:rsid w:val="000D2181"/>
    <w:rsid w:val="000F5752"/>
    <w:rsid w:val="000F7014"/>
    <w:rsid w:val="00134747"/>
    <w:rsid w:val="00164006"/>
    <w:rsid w:val="001B79C6"/>
    <w:rsid w:val="001D3AF9"/>
    <w:rsid w:val="002169F1"/>
    <w:rsid w:val="00223BB8"/>
    <w:rsid w:val="00292E22"/>
    <w:rsid w:val="002C1998"/>
    <w:rsid w:val="002F5A86"/>
    <w:rsid w:val="002F7EA1"/>
    <w:rsid w:val="003125A1"/>
    <w:rsid w:val="003545AD"/>
    <w:rsid w:val="00365872"/>
    <w:rsid w:val="00374F10"/>
    <w:rsid w:val="003E7F64"/>
    <w:rsid w:val="0041249D"/>
    <w:rsid w:val="00416FEF"/>
    <w:rsid w:val="0042631E"/>
    <w:rsid w:val="00436514"/>
    <w:rsid w:val="00482F27"/>
    <w:rsid w:val="004A4F20"/>
    <w:rsid w:val="004B4B69"/>
    <w:rsid w:val="004C41B4"/>
    <w:rsid w:val="004C741A"/>
    <w:rsid w:val="004E0F0F"/>
    <w:rsid w:val="004F6D37"/>
    <w:rsid w:val="00515A1F"/>
    <w:rsid w:val="005473B2"/>
    <w:rsid w:val="005500DC"/>
    <w:rsid w:val="00561C82"/>
    <w:rsid w:val="005C131B"/>
    <w:rsid w:val="005E2F71"/>
    <w:rsid w:val="00614B89"/>
    <w:rsid w:val="00622ECF"/>
    <w:rsid w:val="006258D4"/>
    <w:rsid w:val="0062606F"/>
    <w:rsid w:val="0063433C"/>
    <w:rsid w:val="00653843"/>
    <w:rsid w:val="006B2FBB"/>
    <w:rsid w:val="006B7D3F"/>
    <w:rsid w:val="006C033B"/>
    <w:rsid w:val="006D1E2B"/>
    <w:rsid w:val="006E248E"/>
    <w:rsid w:val="00701A83"/>
    <w:rsid w:val="007128A0"/>
    <w:rsid w:val="00744F20"/>
    <w:rsid w:val="00747576"/>
    <w:rsid w:val="00754FB6"/>
    <w:rsid w:val="00755638"/>
    <w:rsid w:val="00765EDF"/>
    <w:rsid w:val="007A72A9"/>
    <w:rsid w:val="007F7355"/>
    <w:rsid w:val="007F7865"/>
    <w:rsid w:val="00841483"/>
    <w:rsid w:val="00874B1A"/>
    <w:rsid w:val="008810B7"/>
    <w:rsid w:val="008A1F5D"/>
    <w:rsid w:val="008D2055"/>
    <w:rsid w:val="008F42A7"/>
    <w:rsid w:val="00916A12"/>
    <w:rsid w:val="00924909"/>
    <w:rsid w:val="00953C7E"/>
    <w:rsid w:val="009739EF"/>
    <w:rsid w:val="0098067A"/>
    <w:rsid w:val="009B7557"/>
    <w:rsid w:val="009B7904"/>
    <w:rsid w:val="009C2571"/>
    <w:rsid w:val="009E4739"/>
    <w:rsid w:val="009F4B2F"/>
    <w:rsid w:val="00A169C7"/>
    <w:rsid w:val="00A45923"/>
    <w:rsid w:val="00A64249"/>
    <w:rsid w:val="00A65F74"/>
    <w:rsid w:val="00AF0E39"/>
    <w:rsid w:val="00AF323B"/>
    <w:rsid w:val="00AF6F86"/>
    <w:rsid w:val="00B73EB0"/>
    <w:rsid w:val="00BB59D4"/>
    <w:rsid w:val="00BB630E"/>
    <w:rsid w:val="00BD689C"/>
    <w:rsid w:val="00C25D66"/>
    <w:rsid w:val="00C553A2"/>
    <w:rsid w:val="00C73306"/>
    <w:rsid w:val="00C8584F"/>
    <w:rsid w:val="00CC3C60"/>
    <w:rsid w:val="00CD40FB"/>
    <w:rsid w:val="00CD481D"/>
    <w:rsid w:val="00CD77DE"/>
    <w:rsid w:val="00D737E2"/>
    <w:rsid w:val="00D802EE"/>
    <w:rsid w:val="00D870FC"/>
    <w:rsid w:val="00D96C16"/>
    <w:rsid w:val="00DC2597"/>
    <w:rsid w:val="00DF1DB0"/>
    <w:rsid w:val="00E1610F"/>
    <w:rsid w:val="00E65D68"/>
    <w:rsid w:val="00E7396D"/>
    <w:rsid w:val="00E77D94"/>
    <w:rsid w:val="00F01B7E"/>
    <w:rsid w:val="00F2047D"/>
    <w:rsid w:val="00F55711"/>
    <w:rsid w:val="00F76994"/>
    <w:rsid w:val="00FA4C30"/>
    <w:rsid w:val="00FA6AB2"/>
    <w:rsid w:val="00FB324B"/>
    <w:rsid w:val="00FE2F26"/>
    <w:rsid w:val="00FF7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E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53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34747"/>
    <w:rPr>
      <w:color w:val="0000FF" w:themeColor="hyperlink"/>
      <w:u w:val="single"/>
    </w:rPr>
  </w:style>
  <w:style w:type="paragraph" w:styleId="ListParagraph">
    <w:name w:val="List Paragraph"/>
    <w:basedOn w:val="Normal"/>
    <w:uiPriority w:val="34"/>
    <w:qFormat/>
    <w:rsid w:val="006B7D3F"/>
    <w:pPr>
      <w:ind w:left="720"/>
      <w:contextualSpacing/>
    </w:pPr>
  </w:style>
  <w:style w:type="paragraph" w:styleId="Header">
    <w:name w:val="header"/>
    <w:basedOn w:val="Normal"/>
    <w:link w:val="HeaderChar"/>
    <w:uiPriority w:val="99"/>
    <w:unhideWhenUsed/>
    <w:rsid w:val="001D3A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3AF9"/>
  </w:style>
  <w:style w:type="paragraph" w:styleId="Footer">
    <w:name w:val="footer"/>
    <w:basedOn w:val="Normal"/>
    <w:link w:val="FooterChar"/>
    <w:uiPriority w:val="99"/>
    <w:unhideWhenUsed/>
    <w:rsid w:val="001D3A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3AF9"/>
  </w:style>
  <w:style w:type="paragraph" w:styleId="BalloonText">
    <w:name w:val="Balloon Text"/>
    <w:basedOn w:val="Normal"/>
    <w:link w:val="BalloonTextChar"/>
    <w:uiPriority w:val="99"/>
    <w:semiHidden/>
    <w:unhideWhenUsed/>
    <w:rsid w:val="001D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207" TargetMode="External"/><Relationship Id="rId3" Type="http://schemas.openxmlformats.org/officeDocument/2006/relationships/settings" Target="settings.xml"/><Relationship Id="rId7" Type="http://schemas.openxmlformats.org/officeDocument/2006/relationships/hyperlink" Target="mailto:agborreaga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9589</TotalTime>
  <Pages>5</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dc:creator>
  <cp:lastModifiedBy>Administrator</cp:lastModifiedBy>
  <cp:revision>34</cp:revision>
  <cp:lastPrinted>2013-05-17T11:59:00Z</cp:lastPrinted>
  <dcterms:created xsi:type="dcterms:W3CDTF">2013-04-03T13:01:00Z</dcterms:created>
  <dcterms:modified xsi:type="dcterms:W3CDTF">2013-08-17T23:03:00Z</dcterms:modified>
</cp:coreProperties>
</file>