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charts/chart4.xml" ContentType="application/vnd.openxmlformats-officedocument.drawingml.chart+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126" w:rsidRPr="00505F99" w:rsidRDefault="00314CF6" w:rsidP="00505F99">
      <w:pPr>
        <w:autoSpaceDE w:val="0"/>
        <w:autoSpaceDN w:val="0"/>
        <w:adjustRightInd w:val="0"/>
        <w:snapToGrid w:val="0"/>
        <w:spacing w:before="0"/>
        <w:ind w:left="0"/>
        <w:jc w:val="center"/>
        <w:rPr>
          <w:rFonts w:ascii="Times New Roman" w:hAnsi="Times New Roman" w:cs="Times New Roman"/>
          <w:b/>
          <w:bCs/>
          <w:sz w:val="20"/>
          <w:szCs w:val="20"/>
        </w:rPr>
      </w:pPr>
      <w:r w:rsidRPr="00505F99">
        <w:rPr>
          <w:rFonts w:ascii="Times New Roman" w:hAnsi="Times New Roman" w:cs="Times New Roman"/>
          <w:b/>
          <w:bCs/>
          <w:sz w:val="20"/>
          <w:szCs w:val="20"/>
        </w:rPr>
        <w:t xml:space="preserve">Performance of Tertiary Sector in J&amp;K Economy </w:t>
      </w:r>
      <w:r w:rsidR="00FA2126" w:rsidRPr="00505F99">
        <w:rPr>
          <w:rFonts w:ascii="Times New Roman" w:hAnsi="Times New Roman" w:cs="Times New Roman"/>
          <w:b/>
          <w:bCs/>
          <w:sz w:val="20"/>
          <w:szCs w:val="20"/>
        </w:rPr>
        <w:t>(1981-2011)</w:t>
      </w:r>
    </w:p>
    <w:p w:rsidR="00FA2126" w:rsidRPr="00505F99" w:rsidRDefault="00FA2126" w:rsidP="00505F99">
      <w:pPr>
        <w:autoSpaceDE w:val="0"/>
        <w:autoSpaceDN w:val="0"/>
        <w:adjustRightInd w:val="0"/>
        <w:snapToGrid w:val="0"/>
        <w:spacing w:before="0"/>
        <w:ind w:left="0"/>
        <w:jc w:val="center"/>
        <w:rPr>
          <w:rFonts w:ascii="Times New Roman" w:hAnsi="Times New Roman" w:cs="Times New Roman"/>
          <w:b/>
          <w:bCs/>
          <w:sz w:val="20"/>
          <w:szCs w:val="20"/>
        </w:rPr>
      </w:pPr>
    </w:p>
    <w:p w:rsidR="00452A40" w:rsidRPr="00505F99" w:rsidRDefault="00FA2126" w:rsidP="00505F99">
      <w:pPr>
        <w:autoSpaceDE w:val="0"/>
        <w:autoSpaceDN w:val="0"/>
        <w:adjustRightInd w:val="0"/>
        <w:snapToGrid w:val="0"/>
        <w:spacing w:before="0"/>
        <w:ind w:left="0"/>
        <w:jc w:val="center"/>
        <w:rPr>
          <w:rFonts w:ascii="Times New Roman" w:hAnsi="Times New Roman" w:cs="Times New Roman"/>
          <w:color w:val="000000"/>
          <w:sz w:val="20"/>
          <w:szCs w:val="20"/>
          <w:lang w:val="en-IN" w:eastAsia="zh-CN"/>
        </w:rPr>
      </w:pPr>
      <w:proofErr w:type="spellStart"/>
      <w:r w:rsidRPr="00505F99">
        <w:rPr>
          <w:rFonts w:ascii="Times New Roman" w:hAnsi="Times New Roman" w:cs="Times New Roman"/>
          <w:bCs/>
          <w:sz w:val="20"/>
          <w:szCs w:val="20"/>
        </w:rPr>
        <w:t>Bilal</w:t>
      </w:r>
      <w:proofErr w:type="spellEnd"/>
      <w:r w:rsidRPr="00505F99">
        <w:rPr>
          <w:rFonts w:ascii="Times New Roman" w:hAnsi="Times New Roman" w:cs="Times New Roman"/>
          <w:bCs/>
          <w:sz w:val="20"/>
          <w:szCs w:val="20"/>
        </w:rPr>
        <w:t xml:space="preserve"> Ahmad Sheikh</w:t>
      </w:r>
      <w:r w:rsidR="00452A40" w:rsidRPr="00505F99">
        <w:rPr>
          <w:rFonts w:ascii="Times New Roman" w:hAnsi="Times New Roman" w:cs="Times New Roman"/>
          <w:bCs/>
          <w:sz w:val="20"/>
          <w:szCs w:val="20"/>
        </w:rPr>
        <w:t xml:space="preserve"> and </w:t>
      </w:r>
      <w:r w:rsidR="00452A40" w:rsidRPr="00505F99">
        <w:rPr>
          <w:rFonts w:ascii="Times New Roman" w:eastAsia="Times New Roman" w:hAnsi="Times New Roman" w:cs="Times New Roman"/>
          <w:color w:val="000000"/>
          <w:sz w:val="20"/>
          <w:szCs w:val="20"/>
          <w:lang w:val="en-IN" w:eastAsia="en-GB"/>
        </w:rPr>
        <w:t xml:space="preserve">Dr. </w:t>
      </w:r>
      <w:proofErr w:type="spellStart"/>
      <w:r w:rsidR="00452A40" w:rsidRPr="00505F99">
        <w:rPr>
          <w:rFonts w:ascii="Times New Roman" w:eastAsia="Times New Roman" w:hAnsi="Times New Roman" w:cs="Times New Roman"/>
          <w:color w:val="000000"/>
          <w:sz w:val="20"/>
          <w:szCs w:val="20"/>
          <w:lang w:val="en-IN" w:eastAsia="en-GB"/>
        </w:rPr>
        <w:t>Imtiyaz-ul-haq</w:t>
      </w:r>
      <w:proofErr w:type="spellEnd"/>
    </w:p>
    <w:p w:rsidR="00505F99" w:rsidRPr="00505F99" w:rsidRDefault="00505F99" w:rsidP="00505F99">
      <w:pPr>
        <w:autoSpaceDE w:val="0"/>
        <w:autoSpaceDN w:val="0"/>
        <w:adjustRightInd w:val="0"/>
        <w:snapToGrid w:val="0"/>
        <w:spacing w:before="0"/>
        <w:ind w:left="0"/>
        <w:jc w:val="center"/>
        <w:rPr>
          <w:rFonts w:ascii="Times New Roman" w:hAnsi="Times New Roman" w:cs="Times New Roman"/>
          <w:color w:val="000000"/>
          <w:sz w:val="20"/>
          <w:szCs w:val="27"/>
          <w:lang w:val="en-GB" w:eastAsia="zh-CN"/>
        </w:rPr>
      </w:pPr>
    </w:p>
    <w:p w:rsidR="00452A40" w:rsidRPr="00505F99" w:rsidRDefault="00452A40" w:rsidP="00505F99">
      <w:pPr>
        <w:shd w:val="clear" w:color="auto" w:fill="FFFFFF"/>
        <w:snapToGrid w:val="0"/>
        <w:spacing w:before="0"/>
        <w:ind w:left="0"/>
        <w:jc w:val="center"/>
        <w:rPr>
          <w:rFonts w:ascii="Times New Roman" w:eastAsia="Times New Roman" w:hAnsi="Times New Roman" w:cs="Times New Roman"/>
          <w:color w:val="000000"/>
          <w:sz w:val="20"/>
          <w:szCs w:val="27"/>
          <w:lang w:val="en-GB" w:eastAsia="en-GB"/>
        </w:rPr>
      </w:pPr>
      <w:r w:rsidRPr="00505F99">
        <w:rPr>
          <w:rFonts w:ascii="Times New Roman" w:eastAsia="Times New Roman" w:hAnsi="Times New Roman" w:cs="Times New Roman"/>
          <w:color w:val="000000"/>
          <w:sz w:val="20"/>
          <w:szCs w:val="20"/>
          <w:vertAlign w:val="superscript"/>
          <w:lang w:val="en-IN" w:eastAsia="en-GB"/>
        </w:rPr>
        <w:t>1.</w:t>
      </w:r>
      <w:r w:rsidRPr="00505F99">
        <w:rPr>
          <w:rFonts w:ascii="Times New Roman" w:eastAsia="Times New Roman" w:hAnsi="Times New Roman" w:cs="Times New Roman"/>
          <w:color w:val="000000"/>
          <w:sz w:val="20"/>
          <w:szCs w:val="20"/>
          <w:lang w:val="en-IN" w:eastAsia="en-GB"/>
        </w:rPr>
        <w:t>Research Scholar, Department of Economics, University of Kashmir</w:t>
      </w:r>
    </w:p>
    <w:p w:rsidR="00452A40" w:rsidRPr="00505F99" w:rsidRDefault="00452A40" w:rsidP="00505F99">
      <w:pPr>
        <w:shd w:val="clear" w:color="auto" w:fill="FFFFFF"/>
        <w:snapToGrid w:val="0"/>
        <w:spacing w:before="0"/>
        <w:ind w:left="0"/>
        <w:jc w:val="center"/>
        <w:rPr>
          <w:rFonts w:ascii="Times New Roman" w:eastAsia="Times New Roman" w:hAnsi="Times New Roman" w:cs="Times New Roman"/>
          <w:color w:val="000000"/>
          <w:sz w:val="20"/>
          <w:szCs w:val="27"/>
          <w:lang w:val="en-GB" w:eastAsia="en-GB"/>
        </w:rPr>
      </w:pPr>
      <w:r w:rsidRPr="00505F99">
        <w:rPr>
          <w:rFonts w:ascii="Times New Roman" w:eastAsia="Times New Roman" w:hAnsi="Times New Roman" w:cs="Times New Roman"/>
          <w:color w:val="000000"/>
          <w:sz w:val="20"/>
          <w:szCs w:val="20"/>
          <w:vertAlign w:val="superscript"/>
          <w:lang w:val="en-GB" w:eastAsia="en-GB"/>
        </w:rPr>
        <w:t>2.</w:t>
      </w:r>
      <w:r w:rsidRPr="00505F99">
        <w:rPr>
          <w:rFonts w:ascii="Times New Roman" w:eastAsia="Times New Roman" w:hAnsi="Times New Roman" w:cs="Times New Roman"/>
          <w:color w:val="000000"/>
          <w:sz w:val="20"/>
          <w:szCs w:val="20"/>
          <w:lang w:val="en-IN" w:eastAsia="en-GB"/>
        </w:rPr>
        <w:t>Sr.</w:t>
      </w:r>
      <w:r w:rsidRPr="00505F99">
        <w:rPr>
          <w:rFonts w:ascii="Times New Roman" w:eastAsia="Times New Roman" w:hAnsi="Times New Roman" w:cs="Times New Roman"/>
          <w:color w:val="000000"/>
          <w:sz w:val="20"/>
          <w:lang w:val="en-IN" w:eastAsia="en-GB"/>
        </w:rPr>
        <w:t> </w:t>
      </w:r>
      <w:r w:rsidRPr="00505F99">
        <w:rPr>
          <w:rFonts w:ascii="Times New Roman" w:eastAsia="Times New Roman" w:hAnsi="Times New Roman" w:cs="Times New Roman"/>
          <w:color w:val="000000"/>
          <w:sz w:val="20"/>
          <w:szCs w:val="20"/>
          <w:lang w:val="en-GB" w:eastAsia="en-GB"/>
        </w:rPr>
        <w:t>Assistant Professor,</w:t>
      </w:r>
      <w:r w:rsidRPr="00505F99">
        <w:rPr>
          <w:rFonts w:ascii="Times New Roman" w:eastAsia="Times New Roman" w:hAnsi="Times New Roman" w:cs="Times New Roman"/>
          <w:color w:val="000000"/>
          <w:sz w:val="20"/>
          <w:lang w:val="en-IN" w:eastAsia="en-GB"/>
        </w:rPr>
        <w:t> </w:t>
      </w:r>
      <w:r w:rsidRPr="00505F99">
        <w:rPr>
          <w:rFonts w:ascii="Times New Roman" w:eastAsia="Times New Roman" w:hAnsi="Times New Roman" w:cs="Times New Roman"/>
          <w:color w:val="000000"/>
          <w:sz w:val="20"/>
          <w:szCs w:val="20"/>
          <w:lang w:val="en-IN" w:eastAsia="en-GB"/>
        </w:rPr>
        <w:t xml:space="preserve">Department of Economics, University of </w:t>
      </w:r>
      <w:proofErr w:type="spellStart"/>
      <w:r w:rsidRPr="00505F99">
        <w:rPr>
          <w:rFonts w:ascii="Times New Roman" w:eastAsia="Times New Roman" w:hAnsi="Times New Roman" w:cs="Times New Roman"/>
          <w:color w:val="000000"/>
          <w:sz w:val="20"/>
          <w:szCs w:val="20"/>
          <w:lang w:val="en-IN" w:eastAsia="en-GB"/>
        </w:rPr>
        <w:t>Kashmi</w:t>
      </w:r>
      <w:proofErr w:type="spellEnd"/>
    </w:p>
    <w:p w:rsidR="00452A40" w:rsidRPr="00505F99" w:rsidRDefault="00452A40" w:rsidP="00505F99">
      <w:pPr>
        <w:autoSpaceDE w:val="0"/>
        <w:autoSpaceDN w:val="0"/>
        <w:adjustRightInd w:val="0"/>
        <w:snapToGrid w:val="0"/>
        <w:spacing w:before="0"/>
        <w:ind w:left="0"/>
        <w:jc w:val="center"/>
        <w:rPr>
          <w:rFonts w:ascii="Times New Roman" w:hAnsi="Times New Roman" w:cs="Times New Roman"/>
          <w:bCs/>
          <w:sz w:val="20"/>
          <w:szCs w:val="20"/>
        </w:rPr>
      </w:pPr>
      <w:r w:rsidRPr="00505F99">
        <w:rPr>
          <w:rFonts w:ascii="Times New Roman" w:hAnsi="Times New Roman" w:cs="Times New Roman"/>
          <w:bCs/>
          <w:sz w:val="20"/>
          <w:szCs w:val="20"/>
        </w:rPr>
        <w:t xml:space="preserve">E-mail: </w:t>
      </w:r>
      <w:hyperlink r:id="rId7" w:history="1">
        <w:r w:rsidRPr="00505F99">
          <w:rPr>
            <w:rStyle w:val="Hyperlink"/>
            <w:rFonts w:ascii="Times New Roman" w:hAnsi="Times New Roman" w:cs="Times New Roman"/>
            <w:bCs/>
            <w:sz w:val="20"/>
            <w:szCs w:val="20"/>
          </w:rPr>
          <w:t>showkat80ahmad@gmail.com</w:t>
        </w:r>
      </w:hyperlink>
    </w:p>
    <w:p w:rsidR="00FA2126" w:rsidRPr="00505F99" w:rsidRDefault="00FA2126" w:rsidP="00505F99">
      <w:pPr>
        <w:autoSpaceDE w:val="0"/>
        <w:autoSpaceDN w:val="0"/>
        <w:adjustRightInd w:val="0"/>
        <w:snapToGrid w:val="0"/>
        <w:spacing w:before="0"/>
        <w:ind w:left="0"/>
        <w:jc w:val="center"/>
        <w:rPr>
          <w:rFonts w:ascii="Times New Roman" w:hAnsi="Times New Roman" w:cs="Times New Roman"/>
          <w:b/>
          <w:bCs/>
          <w:sz w:val="20"/>
          <w:szCs w:val="20"/>
        </w:rPr>
      </w:pPr>
    </w:p>
    <w:p w:rsidR="00724D72" w:rsidRPr="00505F99" w:rsidRDefault="00505F99" w:rsidP="00505F99">
      <w:pPr>
        <w:autoSpaceDE w:val="0"/>
        <w:autoSpaceDN w:val="0"/>
        <w:adjustRightInd w:val="0"/>
        <w:snapToGrid w:val="0"/>
        <w:spacing w:before="0"/>
        <w:ind w:left="0"/>
        <w:rPr>
          <w:rFonts w:ascii="Times New Roman" w:hAnsi="Times New Roman" w:cs="Times New Roman"/>
          <w:b/>
          <w:bCs/>
          <w:sz w:val="20"/>
          <w:szCs w:val="20"/>
        </w:rPr>
      </w:pPr>
      <w:r w:rsidRPr="00505F99">
        <w:rPr>
          <w:rFonts w:ascii="Times New Roman" w:hAnsi="Times New Roman" w:cs="Times New Roman"/>
          <w:b/>
          <w:bCs/>
          <w:sz w:val="20"/>
          <w:szCs w:val="20"/>
        </w:rPr>
        <w:t>Abstract</w:t>
      </w:r>
      <w:r w:rsidR="00FA2126" w:rsidRPr="00505F99">
        <w:rPr>
          <w:rFonts w:ascii="Times New Roman" w:hAnsi="Times New Roman" w:cs="Times New Roman"/>
          <w:b/>
          <w:bCs/>
          <w:sz w:val="20"/>
          <w:szCs w:val="20"/>
        </w:rPr>
        <w:t xml:space="preserve"> </w:t>
      </w:r>
      <w:r w:rsidR="00724D72" w:rsidRPr="00505F99">
        <w:rPr>
          <w:rFonts w:ascii="Times New Roman" w:hAnsi="Times New Roman" w:cs="Times New Roman"/>
          <w:sz w:val="20"/>
          <w:szCs w:val="20"/>
        </w:rPr>
        <w:t xml:space="preserve">The Tertiary Sector (also known as the Services Sector) plays a pivotal role in the Jammu &amp; Kashmir’s economic development and constitutes a major part of the economy of the State both in terms of employment potential and its contribution to the State Income. </w:t>
      </w:r>
      <w:r w:rsidR="00285D9C" w:rsidRPr="00505F99">
        <w:rPr>
          <w:rFonts w:ascii="Times New Roman" w:hAnsi="Times New Roman" w:cs="Times New Roman"/>
          <w:sz w:val="20"/>
          <w:szCs w:val="20"/>
        </w:rPr>
        <w:t>In 2011</w:t>
      </w:r>
      <w:r w:rsidR="005A4626" w:rsidRPr="00505F99">
        <w:rPr>
          <w:rFonts w:ascii="Times New Roman" w:hAnsi="Times New Roman" w:cs="Times New Roman"/>
          <w:sz w:val="20"/>
          <w:szCs w:val="20"/>
        </w:rPr>
        <w:t>,</w:t>
      </w:r>
      <w:r w:rsidR="00285D9C" w:rsidRPr="00505F99">
        <w:rPr>
          <w:rFonts w:ascii="Times New Roman" w:hAnsi="Times New Roman" w:cs="Times New Roman"/>
          <w:sz w:val="20"/>
          <w:szCs w:val="20"/>
        </w:rPr>
        <w:t xml:space="preserve"> i</w:t>
      </w:r>
      <w:r w:rsidR="00724D72" w:rsidRPr="00505F99">
        <w:rPr>
          <w:rFonts w:ascii="Times New Roman" w:hAnsi="Times New Roman" w:cs="Times New Roman"/>
          <w:sz w:val="20"/>
          <w:szCs w:val="20"/>
        </w:rPr>
        <w:t>t constitutes more than 52 percent of the NS</w:t>
      </w:r>
      <w:r w:rsidR="00285D9C" w:rsidRPr="00505F99">
        <w:rPr>
          <w:rFonts w:ascii="Times New Roman" w:hAnsi="Times New Roman" w:cs="Times New Roman"/>
          <w:sz w:val="20"/>
          <w:szCs w:val="20"/>
        </w:rPr>
        <w:t>DP as well as 54 percent in employment share in the state economy. There is high degree of output and employment equality in the tertiary sector of the state economy</w:t>
      </w:r>
      <w:r w:rsidR="005A4626" w:rsidRPr="00505F99">
        <w:rPr>
          <w:rFonts w:ascii="Times New Roman" w:hAnsi="Times New Roman" w:cs="Times New Roman"/>
          <w:sz w:val="20"/>
          <w:szCs w:val="20"/>
        </w:rPr>
        <w:t xml:space="preserve"> which represents income and productivity equalities in the tertiary sector in the state economy</w:t>
      </w:r>
      <w:r w:rsidR="00285D9C" w:rsidRPr="00505F99">
        <w:rPr>
          <w:rFonts w:ascii="Times New Roman" w:hAnsi="Times New Roman" w:cs="Times New Roman"/>
          <w:sz w:val="20"/>
          <w:szCs w:val="20"/>
        </w:rPr>
        <w:t>.</w:t>
      </w:r>
      <w:r w:rsidR="005A4626" w:rsidRPr="00505F99">
        <w:rPr>
          <w:rFonts w:ascii="Times New Roman" w:hAnsi="Times New Roman" w:cs="Times New Roman"/>
          <w:sz w:val="20"/>
          <w:szCs w:val="20"/>
        </w:rPr>
        <w:t xml:space="preserve"> </w:t>
      </w:r>
      <w:r w:rsidR="00285D9C" w:rsidRPr="00505F99">
        <w:rPr>
          <w:rFonts w:ascii="Times New Roman" w:hAnsi="Times New Roman" w:cs="Times New Roman"/>
          <w:sz w:val="20"/>
          <w:szCs w:val="20"/>
        </w:rPr>
        <w:t>The study</w:t>
      </w:r>
      <w:r w:rsidR="005A4626" w:rsidRPr="00505F99">
        <w:rPr>
          <w:rFonts w:ascii="Times New Roman" w:hAnsi="Times New Roman" w:cs="Times New Roman"/>
          <w:sz w:val="20"/>
          <w:szCs w:val="20"/>
        </w:rPr>
        <w:t>,</w:t>
      </w:r>
      <w:r w:rsidR="00285D9C" w:rsidRPr="00505F99">
        <w:rPr>
          <w:rFonts w:ascii="Times New Roman" w:hAnsi="Times New Roman" w:cs="Times New Roman"/>
          <w:sz w:val="20"/>
          <w:szCs w:val="20"/>
        </w:rPr>
        <w:t xml:space="preserve"> as a whole</w:t>
      </w:r>
      <w:r w:rsidR="005A4626" w:rsidRPr="00505F99">
        <w:rPr>
          <w:rFonts w:ascii="Times New Roman" w:hAnsi="Times New Roman" w:cs="Times New Roman"/>
          <w:sz w:val="20"/>
          <w:szCs w:val="20"/>
        </w:rPr>
        <w:t>,</w:t>
      </w:r>
      <w:r w:rsidR="00285D9C" w:rsidRPr="00505F99">
        <w:rPr>
          <w:rFonts w:ascii="Times New Roman" w:hAnsi="Times New Roman" w:cs="Times New Roman"/>
          <w:sz w:val="20"/>
          <w:szCs w:val="20"/>
        </w:rPr>
        <w:t xml:space="preserve"> highlights the performance of tertiary sector in the state economy</w:t>
      </w:r>
      <w:r w:rsidR="005A4626" w:rsidRPr="00505F99">
        <w:rPr>
          <w:rFonts w:ascii="Times New Roman" w:hAnsi="Times New Roman" w:cs="Times New Roman"/>
          <w:sz w:val="20"/>
          <w:szCs w:val="20"/>
        </w:rPr>
        <w:t>.</w:t>
      </w:r>
    </w:p>
    <w:p w:rsidR="002443FD" w:rsidRPr="00505F99" w:rsidRDefault="002443FD" w:rsidP="00505F99">
      <w:pPr>
        <w:pStyle w:val="Default"/>
        <w:snapToGrid w:val="0"/>
        <w:jc w:val="both"/>
        <w:rPr>
          <w:sz w:val="20"/>
          <w:szCs w:val="20"/>
          <w:lang w:eastAsia="zh-CN"/>
        </w:rPr>
      </w:pPr>
      <w:r w:rsidRPr="00505F99">
        <w:rPr>
          <w:sz w:val="20"/>
          <w:szCs w:val="20"/>
        </w:rPr>
        <w:t>[</w:t>
      </w:r>
      <w:r w:rsidR="00505F99" w:rsidRPr="00505F99">
        <w:rPr>
          <w:bCs/>
          <w:sz w:val="20"/>
          <w:szCs w:val="20"/>
        </w:rPr>
        <w:t>Sheikh</w:t>
      </w:r>
      <w:r w:rsidR="004B22CE">
        <w:rPr>
          <w:bCs/>
          <w:sz w:val="20"/>
          <w:szCs w:val="20"/>
        </w:rPr>
        <w:t xml:space="preserve"> BA,</w:t>
      </w:r>
      <w:r w:rsidR="00505F99" w:rsidRPr="00505F99">
        <w:rPr>
          <w:bCs/>
          <w:sz w:val="20"/>
          <w:szCs w:val="20"/>
        </w:rPr>
        <w:t xml:space="preserve"> </w:t>
      </w:r>
      <w:proofErr w:type="spellStart"/>
      <w:r w:rsidR="00505F99" w:rsidRPr="00505F99">
        <w:rPr>
          <w:rFonts w:eastAsia="Times New Roman"/>
          <w:sz w:val="20"/>
          <w:szCs w:val="20"/>
          <w:lang w:val="en-IN" w:eastAsia="en-GB"/>
        </w:rPr>
        <w:t>Imtiyaz-ul-haq</w:t>
      </w:r>
      <w:proofErr w:type="spellEnd"/>
      <w:r w:rsidRPr="00505F99">
        <w:rPr>
          <w:sz w:val="20"/>
          <w:szCs w:val="20"/>
        </w:rPr>
        <w:t xml:space="preserve">. </w:t>
      </w:r>
      <w:r w:rsidR="00505F99" w:rsidRPr="00505F99">
        <w:rPr>
          <w:b/>
          <w:bCs/>
          <w:sz w:val="20"/>
          <w:szCs w:val="20"/>
        </w:rPr>
        <w:t>Performance of Tertiary Sector in J&amp;K Economy (1981-2011)</w:t>
      </w:r>
      <w:r w:rsidRPr="00505F99">
        <w:rPr>
          <w:rFonts w:eastAsia="Times New Roman"/>
          <w:b/>
          <w:bCs/>
          <w:sz w:val="20"/>
          <w:szCs w:val="20"/>
          <w:lang w:bidi="fa-IR"/>
        </w:rPr>
        <w:t>.</w:t>
      </w:r>
      <w:r w:rsidRPr="00505F99">
        <w:rPr>
          <w:rFonts w:hint="eastAsia"/>
          <w:iCs/>
          <w:sz w:val="20"/>
          <w:szCs w:val="20"/>
        </w:rPr>
        <w:t xml:space="preserve"> </w:t>
      </w:r>
      <w:r w:rsidRPr="00505F99">
        <w:rPr>
          <w:rFonts w:eastAsia="Times New Roman"/>
          <w:bCs/>
          <w:i/>
          <w:sz w:val="20"/>
          <w:szCs w:val="20"/>
        </w:rPr>
        <w:t xml:space="preserve">World Rural </w:t>
      </w:r>
      <w:proofErr w:type="spellStart"/>
      <w:r w:rsidRPr="00505F99">
        <w:rPr>
          <w:rFonts w:eastAsia="Times New Roman"/>
          <w:bCs/>
          <w:i/>
          <w:sz w:val="20"/>
          <w:szCs w:val="20"/>
        </w:rPr>
        <w:t>Observ</w:t>
      </w:r>
      <w:proofErr w:type="spellEnd"/>
      <w:r w:rsidRPr="00505F99">
        <w:rPr>
          <w:rFonts w:eastAsia="Times New Roman"/>
          <w:bCs/>
          <w:sz w:val="20"/>
          <w:szCs w:val="20"/>
        </w:rPr>
        <w:t xml:space="preserve"> </w:t>
      </w:r>
      <w:r w:rsidRPr="00505F99">
        <w:rPr>
          <w:sz w:val="20"/>
          <w:szCs w:val="20"/>
        </w:rPr>
        <w:t>201</w:t>
      </w:r>
      <w:r w:rsidRPr="00505F99">
        <w:rPr>
          <w:rFonts w:hint="eastAsia"/>
          <w:sz w:val="20"/>
          <w:szCs w:val="20"/>
        </w:rPr>
        <w:t>4</w:t>
      </w:r>
      <w:r w:rsidRPr="00505F99">
        <w:rPr>
          <w:sz w:val="20"/>
          <w:szCs w:val="20"/>
        </w:rPr>
        <w:t>;</w:t>
      </w:r>
      <w:r w:rsidRPr="00505F99">
        <w:rPr>
          <w:rFonts w:hint="eastAsia"/>
          <w:sz w:val="20"/>
          <w:szCs w:val="20"/>
        </w:rPr>
        <w:t>6</w:t>
      </w:r>
      <w:r w:rsidRPr="00505F99">
        <w:rPr>
          <w:sz w:val="20"/>
          <w:szCs w:val="20"/>
        </w:rPr>
        <w:t>(</w:t>
      </w:r>
      <w:r w:rsidRPr="00505F99">
        <w:rPr>
          <w:rFonts w:hint="eastAsia"/>
          <w:sz w:val="20"/>
          <w:szCs w:val="20"/>
        </w:rPr>
        <w:t>3</w:t>
      </w:r>
      <w:r w:rsidRPr="00505F99">
        <w:rPr>
          <w:sz w:val="20"/>
          <w:szCs w:val="20"/>
        </w:rPr>
        <w:t>):</w:t>
      </w:r>
      <w:r w:rsidR="001D040A">
        <w:rPr>
          <w:noProof/>
          <w:sz w:val="20"/>
          <w:szCs w:val="20"/>
        </w:rPr>
        <w:t>1</w:t>
      </w:r>
      <w:r w:rsidRPr="00505F99">
        <w:rPr>
          <w:sz w:val="20"/>
          <w:szCs w:val="20"/>
        </w:rPr>
        <w:t>-</w:t>
      </w:r>
      <w:r w:rsidR="001D040A">
        <w:rPr>
          <w:noProof/>
          <w:sz w:val="20"/>
          <w:szCs w:val="20"/>
        </w:rPr>
        <w:t>7</w:t>
      </w:r>
      <w:r w:rsidRPr="00505F99">
        <w:rPr>
          <w:sz w:val="20"/>
          <w:szCs w:val="20"/>
        </w:rPr>
        <w:t>]</w:t>
      </w:r>
      <w:r w:rsidRPr="00505F99">
        <w:rPr>
          <w:rFonts w:hint="eastAsia"/>
          <w:sz w:val="20"/>
          <w:szCs w:val="20"/>
        </w:rPr>
        <w:t>.</w:t>
      </w:r>
      <w:r w:rsidRPr="00505F99">
        <w:rPr>
          <w:sz w:val="20"/>
          <w:szCs w:val="20"/>
        </w:rPr>
        <w:t xml:space="preserve"> ISSN: 1944-6543 (Print); ISSN: 1944-6551 (Online). </w:t>
      </w:r>
      <w:hyperlink r:id="rId8" w:history="1">
        <w:r w:rsidRPr="00505F99">
          <w:rPr>
            <w:rStyle w:val="Hyperlink"/>
            <w:color w:val="0000FF"/>
            <w:sz w:val="20"/>
            <w:szCs w:val="20"/>
          </w:rPr>
          <w:t>http://www.sciencepub.net/rural</w:t>
        </w:r>
      </w:hyperlink>
      <w:r w:rsidRPr="00505F99">
        <w:rPr>
          <w:sz w:val="20"/>
          <w:szCs w:val="20"/>
        </w:rPr>
        <w:t>.</w:t>
      </w:r>
      <w:r w:rsidRPr="00505F99">
        <w:rPr>
          <w:rFonts w:hint="eastAsia"/>
          <w:sz w:val="20"/>
          <w:szCs w:val="20"/>
        </w:rPr>
        <w:t xml:space="preserve"> </w:t>
      </w:r>
      <w:r w:rsidR="00505F99">
        <w:rPr>
          <w:rFonts w:hint="eastAsia"/>
          <w:sz w:val="20"/>
          <w:szCs w:val="20"/>
          <w:lang w:eastAsia="zh-CN"/>
        </w:rPr>
        <w:t>1</w:t>
      </w:r>
    </w:p>
    <w:p w:rsidR="001877EA" w:rsidRPr="00505F99" w:rsidRDefault="001877EA" w:rsidP="00505F99">
      <w:pPr>
        <w:autoSpaceDE w:val="0"/>
        <w:autoSpaceDN w:val="0"/>
        <w:adjustRightInd w:val="0"/>
        <w:snapToGrid w:val="0"/>
        <w:spacing w:before="0"/>
        <w:ind w:left="0"/>
        <w:rPr>
          <w:rFonts w:ascii="Times New Roman" w:hAnsi="Times New Roman" w:cs="Times New Roman"/>
          <w:b/>
          <w:bCs/>
          <w:sz w:val="20"/>
          <w:szCs w:val="20"/>
        </w:rPr>
      </w:pPr>
    </w:p>
    <w:p w:rsidR="005A4626" w:rsidRPr="00505F99" w:rsidRDefault="005A4626" w:rsidP="00505F99">
      <w:pPr>
        <w:autoSpaceDE w:val="0"/>
        <w:autoSpaceDN w:val="0"/>
        <w:adjustRightInd w:val="0"/>
        <w:snapToGrid w:val="0"/>
        <w:spacing w:before="0"/>
        <w:ind w:left="0"/>
        <w:rPr>
          <w:rFonts w:ascii="Times New Roman" w:hAnsi="Times New Roman" w:cs="Times New Roman"/>
          <w:sz w:val="20"/>
          <w:szCs w:val="20"/>
        </w:rPr>
      </w:pPr>
      <w:r w:rsidRPr="00505F99">
        <w:rPr>
          <w:rFonts w:ascii="Times New Roman" w:hAnsi="Times New Roman" w:cs="Times New Roman"/>
          <w:b/>
          <w:bCs/>
          <w:sz w:val="20"/>
          <w:szCs w:val="20"/>
        </w:rPr>
        <w:t>Keywords</w:t>
      </w:r>
      <w:r w:rsidR="00FA2126" w:rsidRPr="00505F99">
        <w:rPr>
          <w:rFonts w:ascii="Times New Roman" w:hAnsi="Times New Roman" w:cs="Times New Roman"/>
          <w:b/>
          <w:bCs/>
          <w:sz w:val="20"/>
          <w:szCs w:val="20"/>
        </w:rPr>
        <w:t xml:space="preserve">: </w:t>
      </w:r>
      <w:r w:rsidRPr="00505F99">
        <w:rPr>
          <w:rFonts w:ascii="Times New Roman" w:hAnsi="Times New Roman" w:cs="Times New Roman"/>
          <w:sz w:val="20"/>
          <w:szCs w:val="20"/>
        </w:rPr>
        <w:t>Tertiary sector, NSDP, Linking Factor, output and employment equality, Employment elasticity of output.</w:t>
      </w:r>
    </w:p>
    <w:p w:rsidR="00505F99" w:rsidRDefault="00505F99" w:rsidP="00505F99">
      <w:pPr>
        <w:autoSpaceDE w:val="0"/>
        <w:autoSpaceDN w:val="0"/>
        <w:adjustRightInd w:val="0"/>
        <w:snapToGrid w:val="0"/>
        <w:spacing w:before="0"/>
        <w:ind w:left="0"/>
        <w:rPr>
          <w:rFonts w:ascii="Times New Roman" w:hAnsi="Times New Roman" w:cs="Times New Roman"/>
          <w:b/>
          <w:bCs/>
          <w:sz w:val="20"/>
          <w:szCs w:val="20"/>
        </w:rPr>
      </w:pPr>
    </w:p>
    <w:p w:rsidR="00505F99" w:rsidRPr="00505F99" w:rsidRDefault="00505F99" w:rsidP="00505F99">
      <w:pPr>
        <w:autoSpaceDE w:val="0"/>
        <w:autoSpaceDN w:val="0"/>
        <w:adjustRightInd w:val="0"/>
        <w:snapToGrid w:val="0"/>
        <w:spacing w:before="0"/>
        <w:ind w:left="0"/>
        <w:rPr>
          <w:rFonts w:ascii="Times New Roman" w:hAnsi="Times New Roman" w:cs="Times New Roman"/>
          <w:b/>
          <w:bCs/>
          <w:sz w:val="20"/>
          <w:szCs w:val="20"/>
        </w:rPr>
        <w:sectPr w:rsidR="00505F99" w:rsidRPr="00505F99" w:rsidSect="00177793">
          <w:headerReference w:type="default" r:id="rId9"/>
          <w:footerReference w:type="default" r:id="rId10"/>
          <w:type w:val="continuous"/>
          <w:pgSz w:w="12240" w:h="15840" w:code="1"/>
          <w:pgMar w:top="1440" w:right="1440" w:bottom="1440" w:left="1440" w:header="720" w:footer="720" w:gutter="0"/>
          <w:cols w:space="720"/>
          <w:docGrid w:linePitch="360"/>
        </w:sectPr>
      </w:pPr>
    </w:p>
    <w:p w:rsidR="00724D72" w:rsidRPr="00505F99" w:rsidRDefault="00505F99" w:rsidP="00505F99">
      <w:pPr>
        <w:autoSpaceDE w:val="0"/>
        <w:autoSpaceDN w:val="0"/>
        <w:adjustRightInd w:val="0"/>
        <w:snapToGrid w:val="0"/>
        <w:spacing w:before="0"/>
        <w:ind w:left="0"/>
        <w:rPr>
          <w:rFonts w:ascii="Times New Roman" w:hAnsi="Times New Roman" w:cs="Times New Roman"/>
          <w:b/>
          <w:bCs/>
          <w:sz w:val="20"/>
          <w:szCs w:val="20"/>
        </w:rPr>
      </w:pPr>
      <w:r w:rsidRPr="00505F99">
        <w:rPr>
          <w:rFonts w:ascii="Times New Roman" w:hAnsi="Times New Roman" w:cs="Times New Roman"/>
          <w:b/>
          <w:bCs/>
          <w:sz w:val="20"/>
          <w:szCs w:val="20"/>
        </w:rPr>
        <w:lastRenderedPageBreak/>
        <w:t>Introduction</w:t>
      </w:r>
    </w:p>
    <w:p w:rsidR="00743D18" w:rsidRPr="00505F99" w:rsidRDefault="00743D18" w:rsidP="00505F99">
      <w:pPr>
        <w:autoSpaceDE w:val="0"/>
        <w:autoSpaceDN w:val="0"/>
        <w:adjustRightInd w:val="0"/>
        <w:snapToGrid w:val="0"/>
        <w:spacing w:before="0"/>
        <w:ind w:left="0" w:firstLine="425"/>
        <w:rPr>
          <w:rFonts w:ascii="Times New Roman" w:hAnsi="Times New Roman" w:cs="Times New Roman"/>
          <w:sz w:val="20"/>
          <w:szCs w:val="20"/>
        </w:rPr>
      </w:pPr>
      <w:r w:rsidRPr="00505F99">
        <w:rPr>
          <w:rFonts w:ascii="Times New Roman" w:hAnsi="Times New Roman" w:cs="Times New Roman"/>
          <w:sz w:val="20"/>
          <w:szCs w:val="20"/>
        </w:rPr>
        <w:t xml:space="preserve">Jammu and Kashmir State is the northernmost state of India. It is situated mostly in the Himalayan Mountains. J&amp;K State shares a border with the states of Himachal Pradesh and Punjab to the south and internationally with China to the north and east and the Pakistan occupied Kashmir and </w:t>
      </w:r>
      <w:proofErr w:type="spellStart"/>
      <w:r w:rsidRPr="00505F99">
        <w:rPr>
          <w:rFonts w:ascii="Times New Roman" w:hAnsi="Times New Roman" w:cs="Times New Roman"/>
          <w:sz w:val="20"/>
          <w:szCs w:val="20"/>
        </w:rPr>
        <w:t>Gilgit</w:t>
      </w:r>
      <w:proofErr w:type="spellEnd"/>
      <w:r w:rsidRPr="00505F99">
        <w:rPr>
          <w:rFonts w:ascii="Times New Roman" w:hAnsi="Times New Roman" w:cs="Times New Roman"/>
          <w:sz w:val="20"/>
          <w:szCs w:val="20"/>
        </w:rPr>
        <w:t>-Baluchistan, to the west and northwest respectively.</w:t>
      </w:r>
    </w:p>
    <w:p w:rsidR="00743D18" w:rsidRPr="00505F99" w:rsidRDefault="00743D18" w:rsidP="00505F99">
      <w:pPr>
        <w:autoSpaceDE w:val="0"/>
        <w:autoSpaceDN w:val="0"/>
        <w:adjustRightInd w:val="0"/>
        <w:snapToGrid w:val="0"/>
        <w:spacing w:before="0"/>
        <w:ind w:left="0" w:firstLine="425"/>
        <w:rPr>
          <w:rFonts w:ascii="Times New Roman" w:hAnsi="Times New Roman" w:cs="Times New Roman"/>
          <w:sz w:val="20"/>
          <w:szCs w:val="20"/>
        </w:rPr>
      </w:pPr>
      <w:r w:rsidRPr="00505F99">
        <w:rPr>
          <w:rFonts w:ascii="Times New Roman" w:hAnsi="Times New Roman" w:cs="Times New Roman"/>
          <w:sz w:val="20"/>
          <w:szCs w:val="20"/>
        </w:rPr>
        <w:t>The Jammu and Kashmir state is bestowed with natural glamour of snow-clad mountains, lakes, streams and rare flora and fauna and holds a prospering tourism sector. Famous for small-scale and cottage industries including carpet weaving, silks, and copper and silverware, the state’s economy is mainly dependent on tertiary sector in respect of both output and employment. Also, the state has concentration of a good mineral base and significant power potential.</w:t>
      </w:r>
    </w:p>
    <w:p w:rsidR="00112CEA" w:rsidRPr="00505F99" w:rsidRDefault="00112CEA" w:rsidP="00505F99">
      <w:pPr>
        <w:autoSpaceDE w:val="0"/>
        <w:autoSpaceDN w:val="0"/>
        <w:adjustRightInd w:val="0"/>
        <w:snapToGrid w:val="0"/>
        <w:spacing w:before="0"/>
        <w:ind w:left="0" w:firstLine="425"/>
        <w:rPr>
          <w:rFonts w:ascii="Times New Roman" w:eastAsia="Times New Roman" w:hAnsi="Times New Roman" w:cs="Times New Roman"/>
          <w:sz w:val="20"/>
          <w:szCs w:val="20"/>
        </w:rPr>
      </w:pPr>
      <w:r w:rsidRPr="00505F99">
        <w:rPr>
          <w:rFonts w:ascii="Times New Roman" w:hAnsi="Times New Roman" w:cs="Times New Roman"/>
          <w:sz w:val="20"/>
          <w:szCs w:val="20"/>
        </w:rPr>
        <w:t xml:space="preserve">The Tertiary Sector (also known as the Services Sector) has a pivotal role in the Jammu &amp; Kashmir’s economic development and constitutes a major part of the economy of the State both in terms of employment potential and its contribution to the State Income. The sector covers a wide range of activities from the most sophisticated in the field of Information and Communication Technology to simple services pursued by the unorganized/informal </w:t>
      </w:r>
      <w:r w:rsidRPr="00505F99">
        <w:rPr>
          <w:rFonts w:ascii="Times New Roman" w:hAnsi="Times New Roman" w:cs="Times New Roman"/>
          <w:sz w:val="20"/>
          <w:szCs w:val="20"/>
        </w:rPr>
        <w:lastRenderedPageBreak/>
        <w:t xml:space="preserve">sector workers, such as, vegetable sellers, hawkers, rickshaw pullers, etc. The percentage contribution of tertiary Sector to NSDP indicates that Jammu &amp; Kashmir economy is a service led economy. The percentage contribution of tertiary Sector to NSDP increases continuously during the period of analysis. It increases from 39.7 percent in 1980-81 to 44.71 in 1990-91 to 47.19 percent in 2000-01 and to 52.26 percent in 2010-11. There is a terrific and continuous rise in the percentage of labor force also employed in service sector since 1981 </w:t>
      </w:r>
      <w:proofErr w:type="spellStart"/>
      <w:r w:rsidRPr="00505F99">
        <w:rPr>
          <w:rFonts w:ascii="Times New Roman" w:hAnsi="Times New Roman" w:cs="Times New Roman"/>
          <w:sz w:val="20"/>
          <w:szCs w:val="20"/>
        </w:rPr>
        <w:t>upto</w:t>
      </w:r>
      <w:proofErr w:type="spellEnd"/>
      <w:r w:rsidRPr="00505F99">
        <w:rPr>
          <w:rFonts w:ascii="Times New Roman" w:hAnsi="Times New Roman" w:cs="Times New Roman"/>
          <w:sz w:val="20"/>
          <w:szCs w:val="20"/>
        </w:rPr>
        <w:t xml:space="preserve"> 2011. In 1981 the total labor force employed in tertiary sector was 21.87% which rises to 32.53%, 43.67% and 54.53% in 1991, 2001 and 2011 census respectively. The output and employment share move in the same direction. In other words, there is equality in the shift of out-put and employment in the tertiary sector of the economy which is a positive sign for the Jammu &amp; Kashmir economy as it represents income and productivity equalities in the  tertiary sector on the one hand and economy as a whole on the other hand. In terms of industrial categories, this sector inter-alia includes subsectors like ‘Trade</w:t>
      </w:r>
      <w:r w:rsidRPr="00505F99">
        <w:rPr>
          <w:rFonts w:ascii="Times New Roman" w:eastAsia="Times New Roman" w:hAnsi="Times New Roman" w:cs="Times New Roman"/>
          <w:sz w:val="20"/>
          <w:szCs w:val="20"/>
        </w:rPr>
        <w:t>, Hotels and Restaurants’,</w:t>
      </w:r>
      <w:r w:rsidR="0079057B" w:rsidRPr="00505F99">
        <w:rPr>
          <w:rFonts w:ascii="Times New Roman" w:eastAsia="Times New Roman" w:hAnsi="Times New Roman" w:cs="Times New Roman"/>
          <w:sz w:val="20"/>
          <w:szCs w:val="20"/>
        </w:rPr>
        <w:t xml:space="preserve"> </w:t>
      </w:r>
      <w:r w:rsidRPr="00505F99">
        <w:rPr>
          <w:rFonts w:ascii="Times New Roman" w:eastAsia="Times New Roman" w:hAnsi="Times New Roman" w:cs="Times New Roman"/>
          <w:sz w:val="20"/>
          <w:szCs w:val="20"/>
        </w:rPr>
        <w:t>‘Transport, Storage and Communication’, ‘Banking and Insurance’, ‘Real estate, Ownership dwellings and business services’, ‘Public administration’ and ‘Other Service’.</w:t>
      </w:r>
    </w:p>
    <w:p w:rsidR="00505F99" w:rsidRPr="00505F99" w:rsidRDefault="00505F99" w:rsidP="00505F99">
      <w:pPr>
        <w:autoSpaceDE w:val="0"/>
        <w:autoSpaceDN w:val="0"/>
        <w:adjustRightInd w:val="0"/>
        <w:snapToGrid w:val="0"/>
        <w:spacing w:before="0"/>
        <w:ind w:left="0"/>
        <w:rPr>
          <w:rFonts w:ascii="Times New Roman" w:eastAsia="Times New Roman" w:hAnsi="Times New Roman" w:cs="Times New Roman"/>
          <w:b/>
          <w:bCs/>
          <w:color w:val="000000"/>
          <w:sz w:val="20"/>
          <w:szCs w:val="20"/>
        </w:rPr>
        <w:sectPr w:rsidR="00505F99" w:rsidRPr="00505F99" w:rsidSect="00177793">
          <w:headerReference w:type="default" r:id="rId11"/>
          <w:footerReference w:type="default" r:id="rId12"/>
          <w:type w:val="continuous"/>
          <w:pgSz w:w="12240" w:h="15840" w:code="1"/>
          <w:pgMar w:top="1440" w:right="1440" w:bottom="1440" w:left="1440" w:header="720" w:footer="720" w:gutter="0"/>
          <w:cols w:num="2" w:space="720"/>
          <w:docGrid w:linePitch="360"/>
        </w:sectPr>
      </w:pPr>
    </w:p>
    <w:p w:rsidR="001877EA" w:rsidRPr="00505F99" w:rsidRDefault="001877EA" w:rsidP="00505F99">
      <w:pPr>
        <w:autoSpaceDE w:val="0"/>
        <w:autoSpaceDN w:val="0"/>
        <w:adjustRightInd w:val="0"/>
        <w:snapToGrid w:val="0"/>
        <w:spacing w:before="0"/>
        <w:ind w:left="0"/>
        <w:rPr>
          <w:rFonts w:ascii="Times New Roman" w:eastAsia="Times New Roman" w:hAnsi="Times New Roman" w:cs="Times New Roman"/>
          <w:b/>
          <w:bCs/>
          <w:color w:val="000000"/>
          <w:sz w:val="20"/>
          <w:szCs w:val="20"/>
        </w:rPr>
      </w:pPr>
    </w:p>
    <w:p w:rsidR="00112CEA" w:rsidRPr="00505F99" w:rsidRDefault="00112CEA" w:rsidP="00ED6D70">
      <w:pPr>
        <w:autoSpaceDE w:val="0"/>
        <w:autoSpaceDN w:val="0"/>
        <w:adjustRightInd w:val="0"/>
        <w:snapToGrid w:val="0"/>
        <w:spacing w:before="0"/>
        <w:ind w:left="0"/>
        <w:jc w:val="center"/>
        <w:rPr>
          <w:rFonts w:ascii="Times New Roman" w:eastAsia="Times New Roman" w:hAnsi="Times New Roman" w:cs="Times New Roman"/>
          <w:sz w:val="20"/>
          <w:szCs w:val="20"/>
        </w:rPr>
      </w:pPr>
      <w:r w:rsidRPr="00505F99">
        <w:rPr>
          <w:rFonts w:ascii="Times New Roman" w:eastAsia="Times New Roman" w:hAnsi="Times New Roman" w:cs="Times New Roman"/>
          <w:b/>
          <w:bCs/>
          <w:color w:val="000000"/>
          <w:sz w:val="20"/>
          <w:szCs w:val="20"/>
        </w:rPr>
        <w:t xml:space="preserve">Classification of output and Workforce in J&amp;K State Economy by </w:t>
      </w:r>
      <w:r w:rsidR="00074A01" w:rsidRPr="00505F99">
        <w:rPr>
          <w:rFonts w:ascii="Times New Roman" w:eastAsia="Times New Roman" w:hAnsi="Times New Roman" w:cs="Times New Roman"/>
          <w:b/>
          <w:bCs/>
          <w:color w:val="000000"/>
          <w:sz w:val="20"/>
          <w:szCs w:val="20"/>
        </w:rPr>
        <w:t>Tertiary</w:t>
      </w:r>
    </w:p>
    <w:tbl>
      <w:tblPr>
        <w:tblW w:w="4582" w:type="pct"/>
        <w:jc w:val="center"/>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3"/>
        <w:gridCol w:w="1076"/>
        <w:gridCol w:w="1076"/>
        <w:gridCol w:w="1076"/>
        <w:gridCol w:w="1074"/>
      </w:tblGrid>
      <w:tr w:rsidR="00112CEA" w:rsidRPr="00505F99" w:rsidTr="004B22CE">
        <w:trPr>
          <w:jc w:val="center"/>
        </w:trPr>
        <w:tc>
          <w:tcPr>
            <w:tcW w:w="2549" w:type="pct"/>
            <w:tcBorders>
              <w:top w:val="single" w:sz="4" w:space="0" w:color="auto"/>
              <w:left w:val="single" w:sz="4" w:space="0" w:color="auto"/>
              <w:bottom w:val="single" w:sz="4" w:space="0" w:color="auto"/>
              <w:right w:val="single" w:sz="4" w:space="0" w:color="auto"/>
            </w:tcBorders>
            <w:vAlign w:val="center"/>
            <w:hideMark/>
          </w:tcPr>
          <w:p w:rsidR="00112CEA" w:rsidRPr="00505F99" w:rsidRDefault="00112CEA" w:rsidP="00505F99">
            <w:pPr>
              <w:snapToGrid w:val="0"/>
              <w:spacing w:before="0"/>
              <w:ind w:left="0"/>
              <w:jc w:val="center"/>
              <w:rPr>
                <w:rFonts w:ascii="Times New Roman" w:eastAsia="Times New Roman" w:hAnsi="Times New Roman" w:cs="Times New Roman"/>
                <w:color w:val="000000"/>
                <w:sz w:val="20"/>
                <w:szCs w:val="20"/>
              </w:rPr>
            </w:pPr>
            <w:r w:rsidRPr="00505F99">
              <w:rPr>
                <w:rFonts w:ascii="Times New Roman" w:eastAsia="Times New Roman" w:hAnsi="Times New Roman" w:cs="Times New Roman"/>
                <w:color w:val="000000"/>
                <w:sz w:val="20"/>
                <w:szCs w:val="20"/>
              </w:rPr>
              <w:t>Year (Decadal)</w:t>
            </w:r>
          </w:p>
        </w:tc>
        <w:tc>
          <w:tcPr>
            <w:tcW w:w="613" w:type="pct"/>
            <w:tcBorders>
              <w:top w:val="single" w:sz="4" w:space="0" w:color="auto"/>
              <w:left w:val="single" w:sz="4" w:space="0" w:color="auto"/>
              <w:bottom w:val="single" w:sz="4" w:space="0" w:color="auto"/>
              <w:right w:val="single" w:sz="4" w:space="0" w:color="auto"/>
            </w:tcBorders>
            <w:vAlign w:val="center"/>
            <w:hideMark/>
          </w:tcPr>
          <w:p w:rsidR="00112CEA" w:rsidRPr="00505F99" w:rsidRDefault="00112CEA" w:rsidP="00505F99">
            <w:pPr>
              <w:snapToGrid w:val="0"/>
              <w:spacing w:before="0"/>
              <w:ind w:left="0"/>
              <w:jc w:val="center"/>
              <w:rPr>
                <w:rFonts w:ascii="Times New Roman" w:eastAsia="Times New Roman" w:hAnsi="Times New Roman" w:cs="Times New Roman"/>
                <w:color w:val="000000"/>
                <w:sz w:val="20"/>
                <w:szCs w:val="20"/>
              </w:rPr>
            </w:pPr>
            <w:r w:rsidRPr="00505F99">
              <w:rPr>
                <w:rFonts w:ascii="Times New Roman" w:eastAsia="Times New Roman" w:hAnsi="Times New Roman" w:cs="Times New Roman"/>
                <w:color w:val="000000"/>
                <w:sz w:val="20"/>
                <w:szCs w:val="20"/>
              </w:rPr>
              <w:t>1981</w:t>
            </w:r>
          </w:p>
        </w:tc>
        <w:tc>
          <w:tcPr>
            <w:tcW w:w="613" w:type="pct"/>
            <w:tcBorders>
              <w:top w:val="single" w:sz="4" w:space="0" w:color="auto"/>
              <w:left w:val="single" w:sz="4" w:space="0" w:color="auto"/>
              <w:bottom w:val="single" w:sz="4" w:space="0" w:color="auto"/>
              <w:right w:val="single" w:sz="4" w:space="0" w:color="auto"/>
            </w:tcBorders>
            <w:vAlign w:val="center"/>
            <w:hideMark/>
          </w:tcPr>
          <w:p w:rsidR="00112CEA" w:rsidRPr="00505F99" w:rsidRDefault="00112CEA" w:rsidP="00505F99">
            <w:pPr>
              <w:snapToGrid w:val="0"/>
              <w:spacing w:before="0"/>
              <w:ind w:left="0"/>
              <w:jc w:val="center"/>
              <w:rPr>
                <w:rFonts w:ascii="Times New Roman" w:eastAsia="Times New Roman" w:hAnsi="Times New Roman" w:cs="Times New Roman"/>
                <w:color w:val="000000"/>
                <w:sz w:val="20"/>
                <w:szCs w:val="20"/>
              </w:rPr>
            </w:pPr>
            <w:r w:rsidRPr="00505F99">
              <w:rPr>
                <w:rFonts w:ascii="Times New Roman" w:eastAsia="Times New Roman" w:hAnsi="Times New Roman" w:cs="Times New Roman"/>
                <w:color w:val="000000"/>
                <w:sz w:val="20"/>
                <w:szCs w:val="20"/>
              </w:rPr>
              <w:t>1991</w:t>
            </w:r>
          </w:p>
        </w:tc>
        <w:tc>
          <w:tcPr>
            <w:tcW w:w="613" w:type="pct"/>
            <w:tcBorders>
              <w:top w:val="single" w:sz="4" w:space="0" w:color="auto"/>
              <w:left w:val="single" w:sz="4" w:space="0" w:color="auto"/>
              <w:bottom w:val="single" w:sz="4" w:space="0" w:color="auto"/>
              <w:right w:val="single" w:sz="4" w:space="0" w:color="auto"/>
            </w:tcBorders>
            <w:vAlign w:val="center"/>
            <w:hideMark/>
          </w:tcPr>
          <w:p w:rsidR="00112CEA" w:rsidRPr="00505F99" w:rsidRDefault="00112CEA" w:rsidP="00505F99">
            <w:pPr>
              <w:snapToGrid w:val="0"/>
              <w:spacing w:before="0"/>
              <w:ind w:left="0"/>
              <w:jc w:val="center"/>
              <w:rPr>
                <w:rFonts w:ascii="Times New Roman" w:eastAsia="Times New Roman" w:hAnsi="Times New Roman" w:cs="Times New Roman"/>
                <w:color w:val="000000"/>
                <w:sz w:val="20"/>
                <w:szCs w:val="20"/>
              </w:rPr>
            </w:pPr>
            <w:r w:rsidRPr="00505F99">
              <w:rPr>
                <w:rFonts w:ascii="Times New Roman" w:eastAsia="Times New Roman" w:hAnsi="Times New Roman" w:cs="Times New Roman"/>
                <w:color w:val="000000"/>
                <w:sz w:val="20"/>
                <w:szCs w:val="20"/>
              </w:rPr>
              <w:t>2001</w:t>
            </w:r>
          </w:p>
        </w:tc>
        <w:tc>
          <w:tcPr>
            <w:tcW w:w="612" w:type="pct"/>
            <w:tcBorders>
              <w:top w:val="single" w:sz="4" w:space="0" w:color="auto"/>
              <w:left w:val="single" w:sz="4" w:space="0" w:color="auto"/>
              <w:bottom w:val="single" w:sz="4" w:space="0" w:color="auto"/>
              <w:right w:val="single" w:sz="4" w:space="0" w:color="auto"/>
            </w:tcBorders>
            <w:vAlign w:val="center"/>
            <w:hideMark/>
          </w:tcPr>
          <w:p w:rsidR="00112CEA" w:rsidRPr="00505F99" w:rsidRDefault="00112CEA" w:rsidP="00505F99">
            <w:pPr>
              <w:snapToGrid w:val="0"/>
              <w:spacing w:before="0"/>
              <w:ind w:left="0"/>
              <w:jc w:val="center"/>
              <w:rPr>
                <w:rFonts w:ascii="Times New Roman" w:eastAsia="Times New Roman" w:hAnsi="Times New Roman" w:cs="Times New Roman"/>
                <w:color w:val="000000"/>
                <w:sz w:val="20"/>
                <w:szCs w:val="20"/>
              </w:rPr>
            </w:pPr>
            <w:r w:rsidRPr="00505F99">
              <w:rPr>
                <w:rFonts w:ascii="Times New Roman" w:eastAsia="Times New Roman" w:hAnsi="Times New Roman" w:cs="Times New Roman"/>
                <w:color w:val="000000"/>
                <w:sz w:val="20"/>
                <w:szCs w:val="20"/>
              </w:rPr>
              <w:t>2011</w:t>
            </w:r>
          </w:p>
        </w:tc>
      </w:tr>
      <w:tr w:rsidR="00112CEA" w:rsidRPr="00505F99" w:rsidTr="004B22CE">
        <w:trPr>
          <w:jc w:val="center"/>
        </w:trPr>
        <w:tc>
          <w:tcPr>
            <w:tcW w:w="2549" w:type="pct"/>
            <w:tcBorders>
              <w:top w:val="single" w:sz="4" w:space="0" w:color="auto"/>
              <w:left w:val="single" w:sz="4" w:space="0" w:color="auto"/>
              <w:bottom w:val="single" w:sz="4" w:space="0" w:color="auto"/>
              <w:right w:val="single" w:sz="4" w:space="0" w:color="auto"/>
            </w:tcBorders>
            <w:vAlign w:val="center"/>
            <w:hideMark/>
          </w:tcPr>
          <w:p w:rsidR="00112CEA" w:rsidRPr="00505F99" w:rsidRDefault="00112CEA" w:rsidP="00505F99">
            <w:pPr>
              <w:snapToGrid w:val="0"/>
              <w:spacing w:before="0"/>
              <w:ind w:left="0"/>
              <w:jc w:val="center"/>
              <w:rPr>
                <w:rFonts w:ascii="Times New Roman" w:eastAsia="Times New Roman" w:hAnsi="Times New Roman" w:cs="Times New Roman"/>
                <w:color w:val="000000"/>
                <w:sz w:val="20"/>
                <w:szCs w:val="20"/>
              </w:rPr>
            </w:pPr>
            <w:r w:rsidRPr="00505F99">
              <w:rPr>
                <w:rFonts w:ascii="Times New Roman" w:eastAsia="Times New Roman" w:hAnsi="Times New Roman" w:cs="Times New Roman"/>
                <w:color w:val="000000"/>
                <w:sz w:val="20"/>
                <w:szCs w:val="20"/>
              </w:rPr>
              <w:t>Workforce in Secondary sector (in %)</w:t>
            </w:r>
          </w:p>
        </w:tc>
        <w:tc>
          <w:tcPr>
            <w:tcW w:w="613" w:type="pct"/>
            <w:tcBorders>
              <w:top w:val="single" w:sz="4" w:space="0" w:color="auto"/>
              <w:left w:val="single" w:sz="4" w:space="0" w:color="auto"/>
              <w:bottom w:val="single" w:sz="4" w:space="0" w:color="auto"/>
              <w:right w:val="single" w:sz="4" w:space="0" w:color="auto"/>
            </w:tcBorders>
            <w:noWrap/>
            <w:vAlign w:val="center"/>
            <w:hideMark/>
          </w:tcPr>
          <w:p w:rsidR="00112CEA" w:rsidRPr="00505F99" w:rsidRDefault="00112CEA" w:rsidP="00505F99">
            <w:pPr>
              <w:snapToGrid w:val="0"/>
              <w:spacing w:before="0"/>
              <w:ind w:left="0"/>
              <w:jc w:val="center"/>
              <w:rPr>
                <w:rFonts w:ascii="Times New Roman" w:eastAsia="Times New Roman" w:hAnsi="Times New Roman" w:cs="Times New Roman"/>
                <w:color w:val="000000"/>
                <w:sz w:val="20"/>
                <w:szCs w:val="20"/>
              </w:rPr>
            </w:pPr>
            <w:r w:rsidRPr="00505F99">
              <w:rPr>
                <w:rFonts w:ascii="Times New Roman" w:eastAsia="Times New Roman" w:hAnsi="Times New Roman" w:cs="Times New Roman"/>
                <w:color w:val="000000"/>
                <w:sz w:val="20"/>
                <w:szCs w:val="20"/>
              </w:rPr>
              <w:t>21.87</w:t>
            </w:r>
          </w:p>
        </w:tc>
        <w:tc>
          <w:tcPr>
            <w:tcW w:w="613" w:type="pct"/>
            <w:tcBorders>
              <w:top w:val="single" w:sz="4" w:space="0" w:color="auto"/>
              <w:left w:val="single" w:sz="4" w:space="0" w:color="auto"/>
              <w:bottom w:val="single" w:sz="4" w:space="0" w:color="auto"/>
              <w:right w:val="single" w:sz="4" w:space="0" w:color="auto"/>
            </w:tcBorders>
            <w:noWrap/>
            <w:vAlign w:val="center"/>
            <w:hideMark/>
          </w:tcPr>
          <w:p w:rsidR="00112CEA" w:rsidRPr="00505F99" w:rsidRDefault="00112CEA" w:rsidP="00505F99">
            <w:pPr>
              <w:snapToGrid w:val="0"/>
              <w:spacing w:before="0"/>
              <w:ind w:left="0"/>
              <w:jc w:val="center"/>
              <w:rPr>
                <w:rFonts w:ascii="Times New Roman" w:eastAsia="Times New Roman" w:hAnsi="Times New Roman" w:cs="Times New Roman"/>
                <w:color w:val="000000"/>
                <w:sz w:val="20"/>
                <w:szCs w:val="20"/>
              </w:rPr>
            </w:pPr>
            <w:r w:rsidRPr="00505F99">
              <w:rPr>
                <w:rFonts w:ascii="Times New Roman" w:eastAsia="Times New Roman" w:hAnsi="Times New Roman" w:cs="Times New Roman"/>
                <w:color w:val="000000"/>
                <w:sz w:val="20"/>
                <w:szCs w:val="20"/>
              </w:rPr>
              <w:t>32.53</w:t>
            </w:r>
          </w:p>
        </w:tc>
        <w:tc>
          <w:tcPr>
            <w:tcW w:w="613" w:type="pct"/>
            <w:tcBorders>
              <w:top w:val="single" w:sz="4" w:space="0" w:color="auto"/>
              <w:left w:val="single" w:sz="4" w:space="0" w:color="auto"/>
              <w:bottom w:val="single" w:sz="4" w:space="0" w:color="auto"/>
              <w:right w:val="single" w:sz="4" w:space="0" w:color="auto"/>
            </w:tcBorders>
            <w:noWrap/>
            <w:vAlign w:val="center"/>
            <w:hideMark/>
          </w:tcPr>
          <w:p w:rsidR="00112CEA" w:rsidRPr="00505F99" w:rsidRDefault="00112CEA" w:rsidP="00505F99">
            <w:pPr>
              <w:snapToGrid w:val="0"/>
              <w:spacing w:before="0"/>
              <w:ind w:left="0"/>
              <w:jc w:val="center"/>
              <w:rPr>
                <w:rFonts w:ascii="Times New Roman" w:eastAsia="Times New Roman" w:hAnsi="Times New Roman" w:cs="Times New Roman"/>
                <w:color w:val="000000"/>
                <w:sz w:val="20"/>
                <w:szCs w:val="20"/>
              </w:rPr>
            </w:pPr>
            <w:r w:rsidRPr="00505F99">
              <w:rPr>
                <w:rFonts w:ascii="Times New Roman" w:eastAsia="Times New Roman" w:hAnsi="Times New Roman" w:cs="Times New Roman"/>
                <w:color w:val="000000"/>
                <w:sz w:val="20"/>
                <w:szCs w:val="20"/>
              </w:rPr>
              <w:t>43.67</w:t>
            </w:r>
          </w:p>
        </w:tc>
        <w:tc>
          <w:tcPr>
            <w:tcW w:w="612" w:type="pct"/>
            <w:tcBorders>
              <w:top w:val="single" w:sz="4" w:space="0" w:color="auto"/>
              <w:left w:val="single" w:sz="4" w:space="0" w:color="auto"/>
              <w:bottom w:val="single" w:sz="4" w:space="0" w:color="auto"/>
              <w:right w:val="single" w:sz="4" w:space="0" w:color="auto"/>
            </w:tcBorders>
            <w:noWrap/>
            <w:vAlign w:val="center"/>
            <w:hideMark/>
          </w:tcPr>
          <w:p w:rsidR="00112CEA" w:rsidRPr="00505F99" w:rsidRDefault="00112CEA" w:rsidP="00505F99">
            <w:pPr>
              <w:snapToGrid w:val="0"/>
              <w:spacing w:before="0"/>
              <w:ind w:left="0"/>
              <w:jc w:val="center"/>
              <w:rPr>
                <w:rFonts w:ascii="Times New Roman" w:eastAsia="Times New Roman" w:hAnsi="Times New Roman" w:cs="Times New Roman"/>
                <w:color w:val="000000"/>
                <w:sz w:val="20"/>
                <w:szCs w:val="20"/>
              </w:rPr>
            </w:pPr>
            <w:r w:rsidRPr="00505F99">
              <w:rPr>
                <w:rFonts w:ascii="Times New Roman" w:eastAsia="Times New Roman" w:hAnsi="Times New Roman" w:cs="Times New Roman"/>
                <w:color w:val="000000"/>
                <w:sz w:val="20"/>
                <w:szCs w:val="20"/>
              </w:rPr>
              <w:t>54.53</w:t>
            </w:r>
          </w:p>
        </w:tc>
      </w:tr>
      <w:tr w:rsidR="00112CEA" w:rsidRPr="00505F99" w:rsidTr="004B22CE">
        <w:trPr>
          <w:jc w:val="center"/>
        </w:trPr>
        <w:tc>
          <w:tcPr>
            <w:tcW w:w="2549" w:type="pct"/>
            <w:tcBorders>
              <w:top w:val="single" w:sz="4" w:space="0" w:color="auto"/>
              <w:left w:val="single" w:sz="4" w:space="0" w:color="auto"/>
              <w:bottom w:val="single" w:sz="4" w:space="0" w:color="auto"/>
              <w:right w:val="single" w:sz="4" w:space="0" w:color="auto"/>
            </w:tcBorders>
            <w:vAlign w:val="center"/>
            <w:hideMark/>
          </w:tcPr>
          <w:p w:rsidR="00112CEA" w:rsidRPr="00505F99" w:rsidRDefault="00112CEA" w:rsidP="00505F99">
            <w:pPr>
              <w:snapToGrid w:val="0"/>
              <w:spacing w:before="0"/>
              <w:ind w:left="0"/>
              <w:jc w:val="center"/>
              <w:rPr>
                <w:rFonts w:ascii="Times New Roman" w:eastAsia="Times New Roman" w:hAnsi="Times New Roman" w:cs="Times New Roman"/>
                <w:color w:val="000000"/>
                <w:sz w:val="20"/>
                <w:szCs w:val="20"/>
              </w:rPr>
            </w:pPr>
            <w:r w:rsidRPr="00505F99">
              <w:rPr>
                <w:rFonts w:ascii="Times New Roman" w:eastAsia="Times New Roman" w:hAnsi="Times New Roman" w:cs="Times New Roman"/>
                <w:color w:val="000000"/>
                <w:sz w:val="20"/>
                <w:szCs w:val="20"/>
              </w:rPr>
              <w:t>Out-put of Secondary sector (in %)</w:t>
            </w:r>
          </w:p>
        </w:tc>
        <w:tc>
          <w:tcPr>
            <w:tcW w:w="613" w:type="pct"/>
            <w:tcBorders>
              <w:top w:val="single" w:sz="4" w:space="0" w:color="auto"/>
              <w:left w:val="single" w:sz="4" w:space="0" w:color="auto"/>
              <w:bottom w:val="single" w:sz="4" w:space="0" w:color="auto"/>
              <w:right w:val="single" w:sz="4" w:space="0" w:color="auto"/>
            </w:tcBorders>
            <w:noWrap/>
            <w:vAlign w:val="center"/>
            <w:hideMark/>
          </w:tcPr>
          <w:p w:rsidR="00112CEA" w:rsidRPr="00505F99" w:rsidRDefault="00112CEA" w:rsidP="00505F99">
            <w:pPr>
              <w:snapToGrid w:val="0"/>
              <w:spacing w:before="0"/>
              <w:ind w:left="0"/>
              <w:jc w:val="center"/>
              <w:rPr>
                <w:rFonts w:ascii="Times New Roman" w:eastAsia="Times New Roman" w:hAnsi="Times New Roman" w:cs="Times New Roman"/>
                <w:color w:val="000000"/>
                <w:sz w:val="20"/>
                <w:szCs w:val="20"/>
              </w:rPr>
            </w:pPr>
            <w:r w:rsidRPr="00505F99">
              <w:rPr>
                <w:rFonts w:ascii="Times New Roman" w:eastAsia="Times New Roman" w:hAnsi="Times New Roman" w:cs="Times New Roman"/>
                <w:color w:val="000000"/>
                <w:sz w:val="20"/>
                <w:szCs w:val="20"/>
              </w:rPr>
              <w:t>39.7</w:t>
            </w:r>
          </w:p>
        </w:tc>
        <w:tc>
          <w:tcPr>
            <w:tcW w:w="613" w:type="pct"/>
            <w:tcBorders>
              <w:top w:val="single" w:sz="4" w:space="0" w:color="auto"/>
              <w:left w:val="single" w:sz="4" w:space="0" w:color="auto"/>
              <w:bottom w:val="single" w:sz="4" w:space="0" w:color="auto"/>
              <w:right w:val="single" w:sz="4" w:space="0" w:color="auto"/>
            </w:tcBorders>
            <w:noWrap/>
            <w:vAlign w:val="center"/>
            <w:hideMark/>
          </w:tcPr>
          <w:p w:rsidR="00112CEA" w:rsidRPr="00505F99" w:rsidRDefault="00112CEA" w:rsidP="00505F99">
            <w:pPr>
              <w:snapToGrid w:val="0"/>
              <w:spacing w:before="0"/>
              <w:ind w:left="0"/>
              <w:jc w:val="center"/>
              <w:rPr>
                <w:rFonts w:ascii="Times New Roman" w:eastAsia="Times New Roman" w:hAnsi="Times New Roman" w:cs="Times New Roman"/>
                <w:color w:val="000000"/>
                <w:sz w:val="20"/>
                <w:szCs w:val="20"/>
              </w:rPr>
            </w:pPr>
            <w:r w:rsidRPr="00505F99">
              <w:rPr>
                <w:rFonts w:ascii="Times New Roman" w:eastAsia="Times New Roman" w:hAnsi="Times New Roman" w:cs="Times New Roman"/>
                <w:color w:val="000000"/>
                <w:sz w:val="20"/>
                <w:szCs w:val="20"/>
              </w:rPr>
              <w:t>44.72</w:t>
            </w:r>
          </w:p>
        </w:tc>
        <w:tc>
          <w:tcPr>
            <w:tcW w:w="613" w:type="pct"/>
            <w:tcBorders>
              <w:top w:val="single" w:sz="4" w:space="0" w:color="auto"/>
              <w:left w:val="single" w:sz="4" w:space="0" w:color="auto"/>
              <w:bottom w:val="single" w:sz="4" w:space="0" w:color="auto"/>
              <w:right w:val="single" w:sz="4" w:space="0" w:color="auto"/>
            </w:tcBorders>
            <w:noWrap/>
            <w:vAlign w:val="center"/>
            <w:hideMark/>
          </w:tcPr>
          <w:p w:rsidR="00112CEA" w:rsidRPr="00505F99" w:rsidRDefault="00112CEA" w:rsidP="00505F99">
            <w:pPr>
              <w:snapToGrid w:val="0"/>
              <w:spacing w:before="0"/>
              <w:ind w:left="0"/>
              <w:jc w:val="center"/>
              <w:rPr>
                <w:rFonts w:ascii="Times New Roman" w:eastAsia="Times New Roman" w:hAnsi="Times New Roman" w:cs="Times New Roman"/>
                <w:color w:val="000000"/>
                <w:sz w:val="20"/>
                <w:szCs w:val="20"/>
              </w:rPr>
            </w:pPr>
            <w:r w:rsidRPr="00505F99">
              <w:rPr>
                <w:rFonts w:ascii="Times New Roman" w:eastAsia="Times New Roman" w:hAnsi="Times New Roman" w:cs="Times New Roman"/>
                <w:color w:val="000000"/>
                <w:sz w:val="20"/>
                <w:szCs w:val="20"/>
              </w:rPr>
              <w:t>47.19</w:t>
            </w:r>
          </w:p>
        </w:tc>
        <w:tc>
          <w:tcPr>
            <w:tcW w:w="612" w:type="pct"/>
            <w:tcBorders>
              <w:top w:val="single" w:sz="4" w:space="0" w:color="auto"/>
              <w:left w:val="single" w:sz="4" w:space="0" w:color="auto"/>
              <w:bottom w:val="single" w:sz="4" w:space="0" w:color="auto"/>
              <w:right w:val="single" w:sz="4" w:space="0" w:color="auto"/>
            </w:tcBorders>
            <w:noWrap/>
            <w:vAlign w:val="center"/>
            <w:hideMark/>
          </w:tcPr>
          <w:p w:rsidR="00112CEA" w:rsidRPr="00505F99" w:rsidRDefault="00112CEA" w:rsidP="00505F99">
            <w:pPr>
              <w:snapToGrid w:val="0"/>
              <w:spacing w:before="0"/>
              <w:ind w:left="0"/>
              <w:jc w:val="center"/>
              <w:rPr>
                <w:rFonts w:ascii="Times New Roman" w:eastAsia="Times New Roman" w:hAnsi="Times New Roman" w:cs="Times New Roman"/>
                <w:color w:val="000000"/>
                <w:sz w:val="20"/>
                <w:szCs w:val="20"/>
              </w:rPr>
            </w:pPr>
            <w:r w:rsidRPr="00505F99">
              <w:rPr>
                <w:rFonts w:ascii="Times New Roman" w:eastAsia="Times New Roman" w:hAnsi="Times New Roman" w:cs="Times New Roman"/>
                <w:color w:val="000000"/>
                <w:sz w:val="20"/>
                <w:szCs w:val="20"/>
              </w:rPr>
              <w:t>52.26</w:t>
            </w:r>
          </w:p>
        </w:tc>
      </w:tr>
    </w:tbl>
    <w:p w:rsidR="004B22CE" w:rsidRDefault="00074A01" w:rsidP="004B22CE">
      <w:pPr>
        <w:pStyle w:val="ListParagraph"/>
        <w:snapToGrid w:val="0"/>
        <w:spacing w:after="0" w:line="240" w:lineRule="auto"/>
        <w:ind w:left="0"/>
        <w:rPr>
          <w:rFonts w:ascii="Times New Roman" w:hAnsi="Times New Roman" w:cs="Times New Roman"/>
          <w:i/>
          <w:sz w:val="20"/>
          <w:szCs w:val="20"/>
        </w:rPr>
      </w:pPr>
      <w:r w:rsidRPr="00505F99">
        <w:rPr>
          <w:rFonts w:ascii="Times New Roman" w:hAnsi="Times New Roman" w:cs="Times New Roman"/>
          <w:b/>
          <w:bCs/>
          <w:i/>
          <w:sz w:val="20"/>
          <w:szCs w:val="20"/>
        </w:rPr>
        <w:t>Sources:</w:t>
      </w:r>
      <w:r w:rsidR="004B22CE">
        <w:rPr>
          <w:rFonts w:ascii="Times New Roman" w:hAnsi="Times New Roman" w:cs="Times New Roman"/>
          <w:b/>
          <w:bCs/>
          <w:i/>
          <w:sz w:val="20"/>
          <w:szCs w:val="20"/>
        </w:rPr>
        <w:t xml:space="preserve"> (a) </w:t>
      </w:r>
      <w:r w:rsidRPr="004B22CE">
        <w:rPr>
          <w:rFonts w:ascii="Times New Roman" w:hAnsi="Times New Roman" w:cs="Times New Roman"/>
          <w:i/>
          <w:sz w:val="20"/>
          <w:szCs w:val="20"/>
        </w:rPr>
        <w:t>Compiled from Digest of Statistics, Directorate of Economics and Statistics, J&amp;K Government, various issues.</w:t>
      </w:r>
      <w:r w:rsidR="004B22CE">
        <w:rPr>
          <w:rFonts w:ascii="Times New Roman" w:hAnsi="Times New Roman" w:cs="Times New Roman"/>
          <w:i/>
          <w:sz w:val="20"/>
          <w:szCs w:val="20"/>
        </w:rPr>
        <w:t xml:space="preserve"> (b)</w:t>
      </w:r>
      <w:r w:rsidR="004B22CE" w:rsidRPr="004B22CE">
        <w:rPr>
          <w:rFonts w:ascii="Times New Roman" w:hAnsi="Times New Roman" w:cs="Times New Roman"/>
          <w:i/>
          <w:sz w:val="20"/>
          <w:szCs w:val="20"/>
        </w:rPr>
        <w:t xml:space="preserve"> </w:t>
      </w:r>
      <w:r w:rsidRPr="004B22CE">
        <w:rPr>
          <w:rFonts w:ascii="Times New Roman" w:hAnsi="Times New Roman" w:cs="Times New Roman"/>
          <w:i/>
          <w:sz w:val="20"/>
          <w:szCs w:val="20"/>
        </w:rPr>
        <w:t>Compiled from Census of India, various issues.</w:t>
      </w:r>
    </w:p>
    <w:p w:rsidR="00074A01" w:rsidRPr="004B22CE" w:rsidRDefault="00074A01" w:rsidP="004B22CE">
      <w:pPr>
        <w:pStyle w:val="ListParagraph"/>
        <w:snapToGrid w:val="0"/>
        <w:spacing w:after="0" w:line="240" w:lineRule="auto"/>
        <w:ind w:left="0"/>
        <w:rPr>
          <w:rFonts w:ascii="Times New Roman" w:hAnsi="Times New Roman" w:cs="Times New Roman"/>
          <w:i/>
          <w:sz w:val="20"/>
          <w:szCs w:val="20"/>
          <w:lang w:eastAsia="zh-CN"/>
        </w:rPr>
      </w:pPr>
      <w:r w:rsidRPr="004B22CE">
        <w:rPr>
          <w:rFonts w:ascii="Times New Roman" w:hAnsi="Times New Roman" w:cs="Times New Roman"/>
          <w:i/>
          <w:sz w:val="20"/>
          <w:szCs w:val="20"/>
        </w:rPr>
        <w:t>Note: Data for 1991 has been inter-</w:t>
      </w:r>
      <w:proofErr w:type="spellStart"/>
      <w:r w:rsidRPr="004B22CE">
        <w:rPr>
          <w:rFonts w:ascii="Times New Roman" w:hAnsi="Times New Roman" w:cs="Times New Roman"/>
          <w:i/>
          <w:sz w:val="20"/>
          <w:szCs w:val="20"/>
        </w:rPr>
        <w:t>polated</w:t>
      </w:r>
      <w:proofErr w:type="spellEnd"/>
      <w:r w:rsidRPr="004B22CE">
        <w:rPr>
          <w:rFonts w:ascii="Times New Roman" w:hAnsi="Times New Roman" w:cs="Times New Roman"/>
          <w:i/>
          <w:sz w:val="20"/>
          <w:szCs w:val="20"/>
        </w:rPr>
        <w:t xml:space="preserve"> by the researcher</w:t>
      </w:r>
    </w:p>
    <w:p w:rsidR="00505F99" w:rsidRPr="00505F99" w:rsidRDefault="00505F99" w:rsidP="00505F99">
      <w:pPr>
        <w:pStyle w:val="ListParagraph"/>
        <w:snapToGrid w:val="0"/>
        <w:spacing w:after="0" w:line="240" w:lineRule="auto"/>
        <w:ind w:left="0" w:firstLine="425"/>
        <w:rPr>
          <w:rFonts w:ascii="Times New Roman" w:hAnsi="Times New Roman" w:cs="Times New Roman"/>
          <w:i/>
          <w:iCs w:val="0"/>
          <w:sz w:val="20"/>
          <w:szCs w:val="20"/>
          <w:lang w:eastAsia="zh-CN"/>
        </w:rPr>
      </w:pPr>
    </w:p>
    <w:p w:rsidR="00C86CE2" w:rsidRPr="00505F99" w:rsidRDefault="00C86CE2" w:rsidP="00505F99">
      <w:pPr>
        <w:autoSpaceDE w:val="0"/>
        <w:autoSpaceDN w:val="0"/>
        <w:adjustRightInd w:val="0"/>
        <w:snapToGrid w:val="0"/>
        <w:spacing w:before="0"/>
        <w:ind w:left="0"/>
        <w:jc w:val="center"/>
        <w:rPr>
          <w:rFonts w:ascii="Times New Roman" w:hAnsi="Times New Roman" w:cs="Times New Roman"/>
          <w:sz w:val="20"/>
          <w:szCs w:val="20"/>
        </w:rPr>
      </w:pPr>
      <w:r w:rsidRPr="00505F99">
        <w:rPr>
          <w:rFonts w:ascii="Times New Roman" w:hAnsi="Times New Roman" w:cs="Times New Roman"/>
          <w:noProof/>
          <w:sz w:val="20"/>
          <w:szCs w:val="20"/>
          <w:lang w:eastAsia="zh-CN"/>
        </w:rPr>
        <w:drawing>
          <wp:inline distT="0" distB="0" distL="0" distR="0">
            <wp:extent cx="4189862" cy="2743200"/>
            <wp:effectExtent l="0" t="0" r="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05F99" w:rsidRDefault="00505F99" w:rsidP="00505F99">
      <w:pPr>
        <w:autoSpaceDE w:val="0"/>
        <w:autoSpaceDN w:val="0"/>
        <w:adjustRightInd w:val="0"/>
        <w:snapToGrid w:val="0"/>
        <w:spacing w:before="0"/>
        <w:ind w:left="0" w:firstLine="425"/>
        <w:rPr>
          <w:rFonts w:ascii="Times New Roman" w:hAnsi="Times New Roman" w:cs="Times New Roman"/>
          <w:sz w:val="20"/>
          <w:szCs w:val="20"/>
        </w:rPr>
      </w:pPr>
    </w:p>
    <w:p w:rsidR="00505F99" w:rsidRPr="00505F99" w:rsidRDefault="00505F99" w:rsidP="00505F99">
      <w:pPr>
        <w:autoSpaceDE w:val="0"/>
        <w:autoSpaceDN w:val="0"/>
        <w:adjustRightInd w:val="0"/>
        <w:snapToGrid w:val="0"/>
        <w:spacing w:before="0"/>
        <w:ind w:left="0" w:firstLine="425"/>
        <w:rPr>
          <w:rFonts w:ascii="Times New Roman" w:hAnsi="Times New Roman" w:cs="Times New Roman"/>
          <w:sz w:val="20"/>
          <w:szCs w:val="20"/>
        </w:rPr>
        <w:sectPr w:rsidR="00505F99" w:rsidRPr="00505F99" w:rsidSect="00177793">
          <w:headerReference w:type="default" r:id="rId14"/>
          <w:footerReference w:type="default" r:id="rId15"/>
          <w:type w:val="continuous"/>
          <w:pgSz w:w="12240" w:h="15840" w:code="1"/>
          <w:pgMar w:top="1440" w:right="1440" w:bottom="1440" w:left="1440" w:header="720" w:footer="720" w:gutter="0"/>
          <w:cols w:space="720"/>
          <w:docGrid w:linePitch="360"/>
        </w:sectPr>
      </w:pPr>
    </w:p>
    <w:p w:rsidR="00C57928" w:rsidRPr="00505F99" w:rsidRDefault="00807D4E" w:rsidP="00505F99">
      <w:pPr>
        <w:autoSpaceDE w:val="0"/>
        <w:autoSpaceDN w:val="0"/>
        <w:adjustRightInd w:val="0"/>
        <w:snapToGrid w:val="0"/>
        <w:spacing w:before="0"/>
        <w:ind w:left="0" w:firstLine="425"/>
        <w:rPr>
          <w:rFonts w:ascii="Times New Roman" w:hAnsi="Times New Roman" w:cs="Times New Roman"/>
          <w:sz w:val="20"/>
          <w:szCs w:val="20"/>
        </w:rPr>
      </w:pPr>
      <w:r w:rsidRPr="00505F99">
        <w:rPr>
          <w:rFonts w:ascii="Times New Roman" w:hAnsi="Times New Roman" w:cs="Times New Roman"/>
          <w:sz w:val="20"/>
          <w:szCs w:val="20"/>
        </w:rPr>
        <w:lastRenderedPageBreak/>
        <w:t xml:space="preserve">From the above table and </w:t>
      </w:r>
      <w:proofErr w:type="spellStart"/>
      <w:r w:rsidRPr="00505F99">
        <w:rPr>
          <w:rFonts w:ascii="Times New Roman" w:hAnsi="Times New Roman" w:cs="Times New Roman"/>
          <w:sz w:val="20"/>
          <w:szCs w:val="20"/>
        </w:rPr>
        <w:t>diagramme</w:t>
      </w:r>
      <w:proofErr w:type="spellEnd"/>
      <w:r w:rsidRPr="00505F99">
        <w:rPr>
          <w:rFonts w:ascii="Times New Roman" w:hAnsi="Times New Roman" w:cs="Times New Roman"/>
          <w:sz w:val="20"/>
          <w:szCs w:val="20"/>
        </w:rPr>
        <w:t xml:space="preserve"> it becomes clear that the employment and the output share in the tertiary sector move in the same direction, but the speed of movement of employment percentage share is more rapid as compared to the output in the sector.</w:t>
      </w:r>
    </w:p>
    <w:p w:rsidR="00C86CE2" w:rsidRPr="00505F99" w:rsidRDefault="00807D4E" w:rsidP="00505F99">
      <w:pPr>
        <w:autoSpaceDE w:val="0"/>
        <w:autoSpaceDN w:val="0"/>
        <w:adjustRightInd w:val="0"/>
        <w:snapToGrid w:val="0"/>
        <w:spacing w:before="0"/>
        <w:ind w:left="0" w:firstLine="425"/>
        <w:rPr>
          <w:rFonts w:ascii="Times New Roman" w:hAnsi="Times New Roman" w:cs="Times New Roman"/>
          <w:sz w:val="20"/>
          <w:szCs w:val="20"/>
        </w:rPr>
      </w:pPr>
      <w:r w:rsidRPr="00505F99">
        <w:rPr>
          <w:rFonts w:ascii="Times New Roman" w:hAnsi="Times New Roman" w:cs="Times New Roman"/>
          <w:sz w:val="20"/>
          <w:szCs w:val="20"/>
        </w:rPr>
        <w:t>There is now a high degree of employment and output equality in the tertiary sector of the state economy which is a plu</w:t>
      </w:r>
      <w:r w:rsidR="00E027E6" w:rsidRPr="00505F99">
        <w:rPr>
          <w:rFonts w:ascii="Times New Roman" w:hAnsi="Times New Roman" w:cs="Times New Roman"/>
          <w:sz w:val="20"/>
          <w:szCs w:val="20"/>
        </w:rPr>
        <w:t>s point for it.</w:t>
      </w:r>
    </w:p>
    <w:p w:rsidR="00693193" w:rsidRPr="00505F99" w:rsidRDefault="00693193" w:rsidP="00505F99">
      <w:pPr>
        <w:snapToGrid w:val="0"/>
        <w:spacing w:before="0"/>
        <w:ind w:left="0"/>
        <w:rPr>
          <w:rFonts w:ascii="Times New Roman" w:hAnsi="Times New Roman" w:cs="Times New Roman"/>
          <w:sz w:val="20"/>
          <w:szCs w:val="20"/>
        </w:rPr>
      </w:pPr>
      <w:r w:rsidRPr="00505F99">
        <w:rPr>
          <w:rFonts w:ascii="Times New Roman" w:hAnsi="Times New Roman" w:cs="Times New Roman"/>
          <w:b/>
          <w:sz w:val="20"/>
          <w:szCs w:val="20"/>
        </w:rPr>
        <w:t>Objectives</w:t>
      </w:r>
    </w:p>
    <w:p w:rsidR="00693193" w:rsidRPr="00505F99" w:rsidRDefault="00693193" w:rsidP="00505F99">
      <w:pPr>
        <w:snapToGrid w:val="0"/>
        <w:spacing w:before="0"/>
        <w:ind w:left="0" w:firstLine="425"/>
        <w:rPr>
          <w:rFonts w:ascii="Times New Roman" w:hAnsi="Times New Roman" w:cs="Times New Roman"/>
          <w:sz w:val="20"/>
          <w:szCs w:val="20"/>
        </w:rPr>
      </w:pPr>
      <w:r w:rsidRPr="00505F99">
        <w:rPr>
          <w:rFonts w:ascii="Times New Roman" w:hAnsi="Times New Roman" w:cs="Times New Roman"/>
          <w:sz w:val="20"/>
          <w:szCs w:val="20"/>
        </w:rPr>
        <w:t>Some of the explicit objectives of the study are as under;</w:t>
      </w:r>
    </w:p>
    <w:p w:rsidR="00693193" w:rsidRPr="00505F99" w:rsidRDefault="00693193" w:rsidP="00505F99">
      <w:pPr>
        <w:pStyle w:val="ListParagraph"/>
        <w:numPr>
          <w:ilvl w:val="0"/>
          <w:numId w:val="1"/>
        </w:numPr>
        <w:snapToGrid w:val="0"/>
        <w:spacing w:after="0" w:line="240" w:lineRule="auto"/>
        <w:ind w:left="0" w:firstLine="425"/>
        <w:rPr>
          <w:rFonts w:ascii="Times New Roman" w:hAnsi="Times New Roman" w:cs="Times New Roman"/>
          <w:sz w:val="20"/>
          <w:szCs w:val="20"/>
        </w:rPr>
      </w:pPr>
      <w:r w:rsidRPr="00505F99">
        <w:rPr>
          <w:rFonts w:ascii="Times New Roman" w:hAnsi="Times New Roman" w:cs="Times New Roman"/>
          <w:sz w:val="20"/>
          <w:szCs w:val="20"/>
        </w:rPr>
        <w:t>To analyze the changes in volume and composition of output in the tertiary sector of the state economy</w:t>
      </w:r>
    </w:p>
    <w:p w:rsidR="00693193" w:rsidRPr="00505F99" w:rsidRDefault="00693193" w:rsidP="00505F99">
      <w:pPr>
        <w:pStyle w:val="ListParagraph"/>
        <w:numPr>
          <w:ilvl w:val="0"/>
          <w:numId w:val="1"/>
        </w:numPr>
        <w:snapToGrid w:val="0"/>
        <w:spacing w:after="0" w:line="240" w:lineRule="auto"/>
        <w:ind w:left="0" w:firstLine="425"/>
        <w:rPr>
          <w:rFonts w:ascii="Times New Roman" w:hAnsi="Times New Roman" w:cs="Times New Roman"/>
          <w:sz w:val="20"/>
          <w:szCs w:val="20"/>
        </w:rPr>
      </w:pPr>
      <w:r w:rsidRPr="00505F99">
        <w:rPr>
          <w:rFonts w:ascii="Times New Roman" w:hAnsi="Times New Roman" w:cs="Times New Roman"/>
          <w:sz w:val="20"/>
          <w:szCs w:val="20"/>
        </w:rPr>
        <w:t>To analyze the changes in volume and composition of employment in the</w:t>
      </w:r>
      <w:r w:rsidR="00273BFF" w:rsidRPr="00505F99">
        <w:rPr>
          <w:rFonts w:ascii="Times New Roman" w:hAnsi="Times New Roman" w:cs="Times New Roman"/>
          <w:sz w:val="20"/>
          <w:szCs w:val="20"/>
        </w:rPr>
        <w:t xml:space="preserve"> tertiary sector</w:t>
      </w:r>
      <w:r w:rsidRPr="00505F99">
        <w:rPr>
          <w:rFonts w:ascii="Times New Roman" w:hAnsi="Times New Roman" w:cs="Times New Roman"/>
          <w:sz w:val="20"/>
          <w:szCs w:val="20"/>
        </w:rPr>
        <w:t xml:space="preserve"> of the state economy.</w:t>
      </w:r>
    </w:p>
    <w:p w:rsidR="00693193" w:rsidRPr="00505F99" w:rsidRDefault="00693193" w:rsidP="00505F99">
      <w:pPr>
        <w:pStyle w:val="ListParagraph"/>
        <w:numPr>
          <w:ilvl w:val="0"/>
          <w:numId w:val="1"/>
        </w:numPr>
        <w:autoSpaceDE w:val="0"/>
        <w:autoSpaceDN w:val="0"/>
        <w:adjustRightInd w:val="0"/>
        <w:snapToGrid w:val="0"/>
        <w:spacing w:after="0" w:line="240" w:lineRule="auto"/>
        <w:ind w:left="0" w:firstLine="425"/>
        <w:rPr>
          <w:rFonts w:ascii="Times New Roman" w:hAnsi="Times New Roman" w:cs="Times New Roman"/>
          <w:sz w:val="20"/>
          <w:szCs w:val="20"/>
        </w:rPr>
      </w:pPr>
      <w:r w:rsidRPr="00505F99">
        <w:rPr>
          <w:rFonts w:ascii="Times New Roman" w:hAnsi="Times New Roman" w:cs="Times New Roman"/>
          <w:sz w:val="20"/>
          <w:szCs w:val="20"/>
        </w:rPr>
        <w:t xml:space="preserve">To examine the employment elasticity of output in the </w:t>
      </w:r>
      <w:r w:rsidR="00273BFF" w:rsidRPr="00505F99">
        <w:rPr>
          <w:rFonts w:ascii="Times New Roman" w:hAnsi="Times New Roman" w:cs="Times New Roman"/>
          <w:sz w:val="20"/>
          <w:szCs w:val="20"/>
        </w:rPr>
        <w:t>tertiary sector</w:t>
      </w:r>
      <w:r w:rsidRPr="00505F99">
        <w:rPr>
          <w:rFonts w:ascii="Times New Roman" w:hAnsi="Times New Roman" w:cs="Times New Roman"/>
          <w:sz w:val="20"/>
          <w:szCs w:val="20"/>
        </w:rPr>
        <w:t xml:space="preserve"> of the state economy.</w:t>
      </w:r>
    </w:p>
    <w:p w:rsidR="00693193" w:rsidRPr="00505F99" w:rsidRDefault="00693193" w:rsidP="00505F99">
      <w:pPr>
        <w:pStyle w:val="ListParagraph"/>
        <w:numPr>
          <w:ilvl w:val="0"/>
          <w:numId w:val="1"/>
        </w:numPr>
        <w:snapToGrid w:val="0"/>
        <w:spacing w:after="0" w:line="240" w:lineRule="auto"/>
        <w:ind w:left="0" w:firstLine="425"/>
        <w:rPr>
          <w:rFonts w:ascii="Times New Roman" w:hAnsi="Times New Roman" w:cs="Times New Roman"/>
          <w:sz w:val="20"/>
          <w:szCs w:val="20"/>
        </w:rPr>
      </w:pPr>
      <w:r w:rsidRPr="00505F99">
        <w:rPr>
          <w:rFonts w:ascii="Times New Roman" w:hAnsi="Times New Roman" w:cs="Times New Roman"/>
          <w:sz w:val="20"/>
          <w:szCs w:val="20"/>
        </w:rPr>
        <w:t>To identify the determinants of and obstacles to the growth process of the state economy</w:t>
      </w:r>
    </w:p>
    <w:p w:rsidR="00273BFF" w:rsidRPr="00505F99" w:rsidRDefault="00273BFF" w:rsidP="00505F99">
      <w:pPr>
        <w:snapToGrid w:val="0"/>
        <w:spacing w:before="0"/>
        <w:ind w:left="0"/>
        <w:rPr>
          <w:rFonts w:ascii="Times New Roman" w:hAnsi="Times New Roman" w:cs="Times New Roman"/>
          <w:sz w:val="20"/>
          <w:szCs w:val="20"/>
          <w:u w:val="single"/>
        </w:rPr>
      </w:pPr>
      <w:r w:rsidRPr="00505F99">
        <w:rPr>
          <w:rFonts w:ascii="Times New Roman" w:hAnsi="Times New Roman" w:cs="Times New Roman"/>
          <w:b/>
          <w:bCs/>
          <w:sz w:val="20"/>
          <w:szCs w:val="20"/>
        </w:rPr>
        <w:t xml:space="preserve">Data </w:t>
      </w:r>
      <w:r w:rsidRPr="00505F99">
        <w:rPr>
          <w:rFonts w:ascii="Times New Roman" w:hAnsi="Times New Roman" w:cs="Times New Roman"/>
          <w:b/>
          <w:sz w:val="20"/>
          <w:szCs w:val="20"/>
        </w:rPr>
        <w:t>and Methodology</w:t>
      </w:r>
    </w:p>
    <w:p w:rsidR="00273BFF" w:rsidRPr="00505F99" w:rsidRDefault="00273BFF" w:rsidP="00505F99">
      <w:pPr>
        <w:snapToGrid w:val="0"/>
        <w:spacing w:before="0"/>
        <w:ind w:left="0" w:firstLine="425"/>
        <w:rPr>
          <w:rFonts w:ascii="Times New Roman" w:hAnsi="Times New Roman" w:cs="Times New Roman"/>
          <w:sz w:val="20"/>
          <w:szCs w:val="20"/>
          <w:u w:val="single"/>
        </w:rPr>
      </w:pPr>
      <w:r w:rsidRPr="00505F99">
        <w:rPr>
          <w:rFonts w:ascii="Times New Roman" w:hAnsi="Times New Roman" w:cs="Times New Roman"/>
          <w:bCs/>
          <w:iCs/>
          <w:sz w:val="20"/>
          <w:szCs w:val="20"/>
        </w:rPr>
        <w:t xml:space="preserve">The study </w:t>
      </w:r>
      <w:r w:rsidRPr="00505F99">
        <w:rPr>
          <w:rFonts w:ascii="Times New Roman" w:hAnsi="Times New Roman" w:cs="Times New Roman"/>
          <w:sz w:val="20"/>
          <w:szCs w:val="20"/>
        </w:rPr>
        <w:t>is primarily based on the secondary data that is obtained from the following sources: -</w:t>
      </w:r>
    </w:p>
    <w:p w:rsidR="00273BFF" w:rsidRPr="00505F99" w:rsidRDefault="00273BFF" w:rsidP="00505F99">
      <w:pPr>
        <w:pStyle w:val="ListParagraph"/>
        <w:numPr>
          <w:ilvl w:val="0"/>
          <w:numId w:val="3"/>
        </w:numPr>
        <w:snapToGrid w:val="0"/>
        <w:spacing w:after="0" w:line="240" w:lineRule="auto"/>
        <w:ind w:left="0" w:firstLine="425"/>
        <w:rPr>
          <w:rFonts w:ascii="Times New Roman" w:hAnsi="Times New Roman" w:cs="Times New Roman"/>
          <w:sz w:val="20"/>
          <w:szCs w:val="20"/>
        </w:rPr>
      </w:pPr>
      <w:r w:rsidRPr="00505F99">
        <w:rPr>
          <w:rFonts w:ascii="Times New Roman" w:hAnsi="Times New Roman" w:cs="Times New Roman"/>
          <w:sz w:val="20"/>
          <w:szCs w:val="20"/>
        </w:rPr>
        <w:t>Economic census, Govt. of India, various issues.</w:t>
      </w:r>
    </w:p>
    <w:p w:rsidR="00273BFF" w:rsidRPr="00505F99" w:rsidRDefault="00273BFF" w:rsidP="00505F99">
      <w:pPr>
        <w:pStyle w:val="ListParagraph"/>
        <w:numPr>
          <w:ilvl w:val="0"/>
          <w:numId w:val="3"/>
        </w:numPr>
        <w:snapToGrid w:val="0"/>
        <w:spacing w:after="0" w:line="240" w:lineRule="auto"/>
        <w:ind w:left="0" w:firstLine="425"/>
        <w:rPr>
          <w:rFonts w:ascii="Times New Roman" w:hAnsi="Times New Roman" w:cs="Times New Roman"/>
          <w:sz w:val="20"/>
          <w:szCs w:val="20"/>
        </w:rPr>
      </w:pPr>
      <w:r w:rsidRPr="00505F99">
        <w:rPr>
          <w:rFonts w:ascii="Times New Roman" w:hAnsi="Times New Roman" w:cs="Times New Roman"/>
          <w:sz w:val="20"/>
          <w:szCs w:val="20"/>
        </w:rPr>
        <w:t>Digest of statistics; Directorate of Economics and Statistics; Govt. of J&amp;K, various issues.</w:t>
      </w:r>
    </w:p>
    <w:p w:rsidR="00273BFF" w:rsidRPr="00505F99" w:rsidRDefault="00273BFF" w:rsidP="00505F99">
      <w:pPr>
        <w:pStyle w:val="ListParagraph"/>
        <w:numPr>
          <w:ilvl w:val="0"/>
          <w:numId w:val="3"/>
        </w:numPr>
        <w:snapToGrid w:val="0"/>
        <w:spacing w:after="0" w:line="240" w:lineRule="auto"/>
        <w:ind w:left="0" w:firstLine="425"/>
        <w:rPr>
          <w:rFonts w:ascii="Times New Roman" w:hAnsi="Times New Roman" w:cs="Times New Roman"/>
          <w:sz w:val="20"/>
          <w:szCs w:val="20"/>
        </w:rPr>
      </w:pPr>
      <w:r w:rsidRPr="00505F99">
        <w:rPr>
          <w:rFonts w:ascii="Times New Roman" w:hAnsi="Times New Roman" w:cs="Times New Roman"/>
          <w:sz w:val="20"/>
          <w:szCs w:val="20"/>
        </w:rPr>
        <w:t>Economic Survey; Directorate of Economics and Statistics; Govt. of J&amp;K, various issues.</w:t>
      </w:r>
    </w:p>
    <w:p w:rsidR="00273BFF" w:rsidRPr="00505F99" w:rsidRDefault="00273BFF" w:rsidP="00505F99">
      <w:pPr>
        <w:pStyle w:val="ListParagraph"/>
        <w:numPr>
          <w:ilvl w:val="0"/>
          <w:numId w:val="3"/>
        </w:numPr>
        <w:snapToGrid w:val="0"/>
        <w:spacing w:after="0" w:line="240" w:lineRule="auto"/>
        <w:ind w:left="0" w:firstLine="425"/>
        <w:rPr>
          <w:rFonts w:ascii="Times New Roman" w:hAnsi="Times New Roman" w:cs="Times New Roman"/>
          <w:b/>
          <w:sz w:val="20"/>
          <w:szCs w:val="20"/>
        </w:rPr>
      </w:pPr>
      <w:r w:rsidRPr="00505F99">
        <w:rPr>
          <w:rFonts w:ascii="Times New Roman" w:hAnsi="Times New Roman" w:cs="Times New Roman"/>
          <w:sz w:val="20"/>
          <w:szCs w:val="20"/>
        </w:rPr>
        <w:t>Economic Review of J&amp;K; Directorate of Economics and Statistics; Govt. of J&amp;K, 2007-08.</w:t>
      </w:r>
    </w:p>
    <w:p w:rsidR="00273BFF" w:rsidRPr="00505F99" w:rsidRDefault="00273BFF" w:rsidP="00505F99">
      <w:pPr>
        <w:pStyle w:val="ListParagraph"/>
        <w:numPr>
          <w:ilvl w:val="0"/>
          <w:numId w:val="3"/>
        </w:numPr>
        <w:snapToGrid w:val="0"/>
        <w:spacing w:after="0" w:line="240" w:lineRule="auto"/>
        <w:ind w:left="0" w:firstLine="425"/>
        <w:rPr>
          <w:rFonts w:ascii="Times New Roman" w:hAnsi="Times New Roman" w:cs="Times New Roman"/>
          <w:b/>
          <w:sz w:val="20"/>
          <w:szCs w:val="20"/>
        </w:rPr>
      </w:pPr>
      <w:r w:rsidRPr="00505F99">
        <w:rPr>
          <w:rFonts w:ascii="Times New Roman" w:hAnsi="Times New Roman" w:cs="Times New Roman"/>
          <w:sz w:val="20"/>
          <w:szCs w:val="20"/>
        </w:rPr>
        <w:lastRenderedPageBreak/>
        <w:t>Reports, journals, magazines and news papers.</w:t>
      </w:r>
    </w:p>
    <w:p w:rsidR="00273BFF" w:rsidRPr="00505F99" w:rsidRDefault="00273BFF" w:rsidP="00505F99">
      <w:pPr>
        <w:pStyle w:val="ListParagraph"/>
        <w:snapToGrid w:val="0"/>
        <w:spacing w:after="0" w:line="240" w:lineRule="auto"/>
        <w:ind w:left="0" w:firstLine="425"/>
        <w:rPr>
          <w:rFonts w:ascii="Times New Roman" w:hAnsi="Times New Roman" w:cs="Times New Roman"/>
          <w:b/>
          <w:sz w:val="20"/>
          <w:szCs w:val="20"/>
        </w:rPr>
      </w:pPr>
      <w:r w:rsidRPr="00505F99">
        <w:rPr>
          <w:rFonts w:ascii="Times New Roman" w:hAnsi="Times New Roman" w:cs="Times New Roman"/>
          <w:sz w:val="20"/>
          <w:szCs w:val="20"/>
        </w:rPr>
        <w:t>In addition to the above sources relevant information has been collected from the following departments:</w:t>
      </w:r>
    </w:p>
    <w:p w:rsidR="00273BFF" w:rsidRPr="00505F99" w:rsidRDefault="00273BFF" w:rsidP="00505F99">
      <w:pPr>
        <w:pStyle w:val="ListParagraph"/>
        <w:numPr>
          <w:ilvl w:val="0"/>
          <w:numId w:val="3"/>
        </w:numPr>
        <w:snapToGrid w:val="0"/>
        <w:spacing w:after="0" w:line="240" w:lineRule="auto"/>
        <w:ind w:left="0" w:firstLine="425"/>
        <w:rPr>
          <w:rFonts w:ascii="Times New Roman" w:hAnsi="Times New Roman" w:cs="Times New Roman"/>
          <w:sz w:val="20"/>
          <w:szCs w:val="20"/>
        </w:rPr>
      </w:pPr>
      <w:r w:rsidRPr="00505F99">
        <w:rPr>
          <w:rFonts w:ascii="Times New Roman" w:hAnsi="Times New Roman" w:cs="Times New Roman"/>
          <w:sz w:val="20"/>
          <w:szCs w:val="20"/>
        </w:rPr>
        <w:t>Directorate of Economics, Statistics &amp; planning, Govt. of Jammu and Kashmir, Srinagar.</w:t>
      </w:r>
    </w:p>
    <w:p w:rsidR="00273BFF" w:rsidRPr="00505F99" w:rsidRDefault="00273BFF" w:rsidP="00505F99">
      <w:pPr>
        <w:pStyle w:val="ListParagraph"/>
        <w:numPr>
          <w:ilvl w:val="0"/>
          <w:numId w:val="3"/>
        </w:numPr>
        <w:snapToGrid w:val="0"/>
        <w:spacing w:after="0" w:line="240" w:lineRule="auto"/>
        <w:ind w:left="0" w:firstLine="425"/>
        <w:rPr>
          <w:rFonts w:ascii="Times New Roman" w:hAnsi="Times New Roman" w:cs="Times New Roman"/>
          <w:sz w:val="20"/>
          <w:szCs w:val="20"/>
        </w:rPr>
      </w:pPr>
      <w:r w:rsidRPr="00505F99">
        <w:rPr>
          <w:rFonts w:ascii="Times New Roman" w:hAnsi="Times New Roman" w:cs="Times New Roman"/>
          <w:sz w:val="20"/>
          <w:szCs w:val="20"/>
        </w:rPr>
        <w:t>Directorate of Sericulture, J&amp;K, Srinagar.</w:t>
      </w:r>
    </w:p>
    <w:p w:rsidR="00273BFF" w:rsidRPr="00505F99" w:rsidRDefault="00273BFF" w:rsidP="00505F99">
      <w:pPr>
        <w:pStyle w:val="ListParagraph"/>
        <w:numPr>
          <w:ilvl w:val="0"/>
          <w:numId w:val="3"/>
        </w:numPr>
        <w:snapToGrid w:val="0"/>
        <w:spacing w:after="0" w:line="240" w:lineRule="auto"/>
        <w:ind w:left="0" w:firstLine="425"/>
        <w:rPr>
          <w:rFonts w:ascii="Times New Roman" w:hAnsi="Times New Roman" w:cs="Times New Roman"/>
          <w:sz w:val="20"/>
          <w:szCs w:val="20"/>
        </w:rPr>
      </w:pPr>
      <w:r w:rsidRPr="00505F99">
        <w:rPr>
          <w:rFonts w:ascii="Times New Roman" w:hAnsi="Times New Roman" w:cs="Times New Roman"/>
          <w:sz w:val="20"/>
          <w:szCs w:val="20"/>
        </w:rPr>
        <w:t>Directorate of Handicrafts, J&amp;K, Srinagar.</w:t>
      </w:r>
    </w:p>
    <w:p w:rsidR="00273BFF" w:rsidRPr="00505F99" w:rsidRDefault="00273BFF" w:rsidP="00505F99">
      <w:pPr>
        <w:pStyle w:val="ListParagraph"/>
        <w:numPr>
          <w:ilvl w:val="0"/>
          <w:numId w:val="3"/>
        </w:numPr>
        <w:snapToGrid w:val="0"/>
        <w:spacing w:after="0" w:line="240" w:lineRule="auto"/>
        <w:ind w:left="0" w:firstLine="425"/>
        <w:rPr>
          <w:rFonts w:ascii="Times New Roman" w:hAnsi="Times New Roman" w:cs="Times New Roman"/>
          <w:sz w:val="20"/>
          <w:szCs w:val="20"/>
        </w:rPr>
      </w:pPr>
      <w:r w:rsidRPr="00505F99">
        <w:rPr>
          <w:rFonts w:ascii="Times New Roman" w:hAnsi="Times New Roman" w:cs="Times New Roman"/>
          <w:sz w:val="20"/>
          <w:szCs w:val="20"/>
        </w:rPr>
        <w:t>Directorate of Handlooms, J&amp;K, Srinagar.</w:t>
      </w:r>
    </w:p>
    <w:p w:rsidR="00273BFF" w:rsidRPr="00505F99" w:rsidRDefault="00273BFF" w:rsidP="00505F99">
      <w:pPr>
        <w:pStyle w:val="ListParagraph"/>
        <w:numPr>
          <w:ilvl w:val="0"/>
          <w:numId w:val="3"/>
        </w:numPr>
        <w:snapToGrid w:val="0"/>
        <w:spacing w:after="0" w:line="240" w:lineRule="auto"/>
        <w:ind w:left="0" w:firstLine="425"/>
        <w:rPr>
          <w:rFonts w:ascii="Times New Roman" w:hAnsi="Times New Roman" w:cs="Times New Roman"/>
          <w:sz w:val="20"/>
          <w:szCs w:val="20"/>
        </w:rPr>
      </w:pPr>
      <w:proofErr w:type="spellStart"/>
      <w:r w:rsidRPr="00505F99">
        <w:rPr>
          <w:rFonts w:ascii="Times New Roman" w:hAnsi="Times New Roman" w:cs="Times New Roman"/>
          <w:sz w:val="20"/>
          <w:szCs w:val="20"/>
        </w:rPr>
        <w:t>Labour</w:t>
      </w:r>
      <w:proofErr w:type="spellEnd"/>
      <w:r w:rsidRPr="00505F99">
        <w:rPr>
          <w:rFonts w:ascii="Times New Roman" w:hAnsi="Times New Roman" w:cs="Times New Roman"/>
          <w:sz w:val="20"/>
          <w:szCs w:val="20"/>
        </w:rPr>
        <w:t xml:space="preserve"> Commissioner, J&amp;K, Srinagar.</w:t>
      </w:r>
    </w:p>
    <w:p w:rsidR="00273BFF" w:rsidRPr="00505F99" w:rsidRDefault="00273BFF" w:rsidP="00505F99">
      <w:pPr>
        <w:pStyle w:val="ListParagraph"/>
        <w:numPr>
          <w:ilvl w:val="0"/>
          <w:numId w:val="3"/>
        </w:numPr>
        <w:snapToGrid w:val="0"/>
        <w:spacing w:after="0" w:line="240" w:lineRule="auto"/>
        <w:ind w:left="0" w:firstLine="425"/>
        <w:rPr>
          <w:rFonts w:ascii="Times New Roman" w:hAnsi="Times New Roman" w:cs="Times New Roman"/>
          <w:sz w:val="20"/>
          <w:szCs w:val="20"/>
        </w:rPr>
      </w:pPr>
      <w:r w:rsidRPr="00505F99">
        <w:rPr>
          <w:rFonts w:ascii="Times New Roman" w:hAnsi="Times New Roman" w:cs="Times New Roman"/>
          <w:sz w:val="20"/>
          <w:szCs w:val="20"/>
        </w:rPr>
        <w:t>Financial Commissioner (Rev), J&amp;K, Srinagar.</w:t>
      </w:r>
    </w:p>
    <w:p w:rsidR="00273BFF" w:rsidRPr="00505F99" w:rsidRDefault="00273BFF" w:rsidP="00505F99">
      <w:pPr>
        <w:pStyle w:val="ListParagraph"/>
        <w:numPr>
          <w:ilvl w:val="0"/>
          <w:numId w:val="3"/>
        </w:numPr>
        <w:snapToGrid w:val="0"/>
        <w:spacing w:after="0" w:line="240" w:lineRule="auto"/>
        <w:ind w:left="0" w:firstLine="425"/>
        <w:rPr>
          <w:rFonts w:ascii="Times New Roman" w:hAnsi="Times New Roman" w:cs="Times New Roman"/>
          <w:sz w:val="20"/>
          <w:szCs w:val="20"/>
        </w:rPr>
      </w:pPr>
      <w:r w:rsidRPr="00505F99">
        <w:rPr>
          <w:rFonts w:ascii="Times New Roman" w:hAnsi="Times New Roman" w:cs="Times New Roman"/>
          <w:sz w:val="20"/>
          <w:szCs w:val="20"/>
        </w:rPr>
        <w:t>D.F.O Forest Statics Division, Srinagar</w:t>
      </w:r>
    </w:p>
    <w:p w:rsidR="00273BFF" w:rsidRPr="00505F99" w:rsidRDefault="00273BFF" w:rsidP="00505F99">
      <w:pPr>
        <w:pStyle w:val="ListParagraph"/>
        <w:numPr>
          <w:ilvl w:val="0"/>
          <w:numId w:val="3"/>
        </w:numPr>
        <w:snapToGrid w:val="0"/>
        <w:spacing w:after="0" w:line="240" w:lineRule="auto"/>
        <w:ind w:left="0" w:firstLine="425"/>
        <w:rPr>
          <w:rFonts w:ascii="Times New Roman" w:hAnsi="Times New Roman" w:cs="Times New Roman"/>
          <w:sz w:val="20"/>
          <w:szCs w:val="20"/>
        </w:rPr>
      </w:pPr>
      <w:r w:rsidRPr="00505F99">
        <w:rPr>
          <w:rFonts w:ascii="Times New Roman" w:hAnsi="Times New Roman" w:cs="Times New Roman"/>
          <w:sz w:val="20"/>
          <w:szCs w:val="20"/>
        </w:rPr>
        <w:t>Directorates of Animal Husbandry, J&amp;K, Srinagar.</w:t>
      </w:r>
    </w:p>
    <w:p w:rsidR="009D62C3" w:rsidRPr="00505F99" w:rsidRDefault="00273BFF" w:rsidP="00505F99">
      <w:pPr>
        <w:pStyle w:val="ListParagraph"/>
        <w:numPr>
          <w:ilvl w:val="0"/>
          <w:numId w:val="3"/>
        </w:numPr>
        <w:snapToGrid w:val="0"/>
        <w:spacing w:after="0" w:line="240" w:lineRule="auto"/>
        <w:ind w:left="0" w:firstLine="425"/>
        <w:rPr>
          <w:rFonts w:ascii="Times New Roman" w:hAnsi="Times New Roman" w:cs="Times New Roman"/>
          <w:sz w:val="20"/>
          <w:szCs w:val="20"/>
        </w:rPr>
      </w:pPr>
      <w:r w:rsidRPr="00505F99">
        <w:rPr>
          <w:rFonts w:ascii="Times New Roman" w:hAnsi="Times New Roman" w:cs="Times New Roman"/>
          <w:sz w:val="20"/>
          <w:szCs w:val="20"/>
        </w:rPr>
        <w:t>Development Commission of Power, J&amp;K, Srinagar.</w:t>
      </w:r>
    </w:p>
    <w:p w:rsidR="009D62C3" w:rsidRPr="00505F99" w:rsidRDefault="009D62C3" w:rsidP="00505F99">
      <w:pPr>
        <w:pStyle w:val="ListParagraph"/>
        <w:snapToGrid w:val="0"/>
        <w:spacing w:after="0" w:line="240" w:lineRule="auto"/>
        <w:ind w:left="0" w:firstLine="425"/>
        <w:rPr>
          <w:rFonts w:ascii="Times New Roman" w:hAnsi="Times New Roman" w:cs="Times New Roman"/>
          <w:sz w:val="20"/>
          <w:szCs w:val="20"/>
        </w:rPr>
      </w:pPr>
    </w:p>
    <w:p w:rsidR="00273BFF" w:rsidRPr="00505F99" w:rsidRDefault="00273BFF" w:rsidP="00505F99">
      <w:pPr>
        <w:pStyle w:val="ListParagraph"/>
        <w:snapToGrid w:val="0"/>
        <w:spacing w:after="0" w:line="240" w:lineRule="auto"/>
        <w:ind w:left="0" w:firstLine="425"/>
        <w:rPr>
          <w:rFonts w:ascii="Times New Roman" w:hAnsi="Times New Roman" w:cs="Times New Roman"/>
          <w:sz w:val="20"/>
          <w:szCs w:val="20"/>
        </w:rPr>
      </w:pPr>
      <w:r w:rsidRPr="00505F99">
        <w:rPr>
          <w:rFonts w:ascii="Times New Roman" w:hAnsi="Times New Roman" w:cs="Times New Roman"/>
          <w:sz w:val="20"/>
          <w:szCs w:val="20"/>
        </w:rPr>
        <w:t>The following appropriate statistical tools have been used to analyze the data:</w:t>
      </w:r>
    </w:p>
    <w:p w:rsidR="00273BFF" w:rsidRPr="00505F99" w:rsidRDefault="00273BFF" w:rsidP="00505F99">
      <w:pPr>
        <w:pStyle w:val="ListParagraph"/>
        <w:snapToGrid w:val="0"/>
        <w:spacing w:after="0" w:line="240" w:lineRule="auto"/>
        <w:ind w:left="0"/>
        <w:rPr>
          <w:rFonts w:ascii="Times New Roman" w:hAnsi="Times New Roman" w:cs="Times New Roman"/>
          <w:sz w:val="20"/>
          <w:szCs w:val="20"/>
        </w:rPr>
      </w:pPr>
      <w:r w:rsidRPr="00505F99">
        <w:rPr>
          <w:rFonts w:ascii="Times New Roman" w:hAnsi="Times New Roman" w:cs="Times New Roman"/>
          <w:b/>
          <w:bCs/>
          <w:sz w:val="20"/>
          <w:szCs w:val="20"/>
        </w:rPr>
        <w:t>5) Linking Factor Method:</w:t>
      </w:r>
      <w:r w:rsidRPr="00505F99">
        <w:rPr>
          <w:rFonts w:ascii="Times New Roman" w:hAnsi="Times New Roman" w:cs="Times New Roman"/>
          <w:sz w:val="20"/>
          <w:szCs w:val="20"/>
        </w:rPr>
        <w:t xml:space="preserve"> It is a method through which base year is changed or rebase is formed .It is simply done by using the following two formulas:</w:t>
      </w:r>
    </w:p>
    <w:p w:rsidR="00273BFF" w:rsidRPr="00505F99" w:rsidRDefault="00273BFF" w:rsidP="00505F99">
      <w:pPr>
        <w:snapToGrid w:val="0"/>
        <w:spacing w:before="0"/>
        <w:ind w:left="0" w:firstLine="425"/>
        <w:rPr>
          <w:rFonts w:ascii="Times New Roman" w:hAnsi="Times New Roman" w:cs="Times New Roman"/>
          <w:sz w:val="20"/>
          <w:szCs w:val="20"/>
        </w:rPr>
      </w:pPr>
      <w:r w:rsidRPr="00505F99">
        <w:rPr>
          <w:rFonts w:ascii="Times New Roman" w:hAnsi="Times New Roman" w:cs="Times New Roman"/>
          <w:sz w:val="20"/>
          <w:szCs w:val="20"/>
        </w:rPr>
        <w:t>a) Deflator = (Factor) × (Out-put level of the corresponding year)</w:t>
      </w:r>
    </w:p>
    <w:p w:rsidR="00273BFF" w:rsidRPr="00505F99" w:rsidRDefault="00273BFF" w:rsidP="00505F99">
      <w:pPr>
        <w:snapToGrid w:val="0"/>
        <w:spacing w:before="0"/>
        <w:ind w:left="0" w:firstLine="425"/>
        <w:rPr>
          <w:rFonts w:ascii="Times New Roman" w:hAnsi="Times New Roman" w:cs="Times New Roman"/>
          <w:sz w:val="20"/>
          <w:szCs w:val="20"/>
        </w:rPr>
      </w:pPr>
      <w:r w:rsidRPr="00505F99">
        <w:rPr>
          <w:rFonts w:ascii="Times New Roman" w:hAnsi="Times New Roman" w:cs="Times New Roman"/>
          <w:sz w:val="20"/>
          <w:szCs w:val="20"/>
        </w:rPr>
        <w:t>Whereas; Factor = (Old Base)</w:t>
      </w:r>
      <w:r w:rsidRPr="00505F99">
        <w:rPr>
          <w:rFonts w:ascii="Times New Roman" w:hAnsi="Times New Roman" w:cs="Times New Roman"/>
          <w:b/>
          <w:bCs/>
          <w:sz w:val="20"/>
          <w:szCs w:val="20"/>
        </w:rPr>
        <w:t xml:space="preserve"> ÷</w:t>
      </w:r>
      <w:r w:rsidRPr="00505F99">
        <w:rPr>
          <w:rFonts w:ascii="Times New Roman" w:hAnsi="Times New Roman" w:cs="Times New Roman"/>
          <w:sz w:val="20"/>
          <w:szCs w:val="20"/>
        </w:rPr>
        <w:t xml:space="preserve"> (New Base)</w:t>
      </w:r>
    </w:p>
    <w:p w:rsidR="00273BFF" w:rsidRPr="00505F99" w:rsidRDefault="00273BFF" w:rsidP="00505F99">
      <w:pPr>
        <w:snapToGrid w:val="0"/>
        <w:spacing w:before="0"/>
        <w:ind w:left="0" w:firstLine="425"/>
        <w:rPr>
          <w:rFonts w:ascii="Times New Roman" w:hAnsi="Times New Roman" w:cs="Times New Roman"/>
          <w:sz w:val="20"/>
          <w:szCs w:val="20"/>
        </w:rPr>
      </w:pPr>
      <w:r w:rsidRPr="00505F99">
        <w:rPr>
          <w:rFonts w:ascii="Times New Roman" w:hAnsi="Times New Roman" w:cs="Times New Roman"/>
          <w:sz w:val="20"/>
          <w:szCs w:val="20"/>
        </w:rPr>
        <w:t>b) Inflator = (Factor) × (Out-put level of the corresponding year)</w:t>
      </w:r>
    </w:p>
    <w:p w:rsidR="00273BFF" w:rsidRPr="00505F99" w:rsidRDefault="00273BFF" w:rsidP="00505F99">
      <w:pPr>
        <w:snapToGrid w:val="0"/>
        <w:spacing w:before="0"/>
        <w:ind w:left="0" w:firstLine="425"/>
        <w:rPr>
          <w:rFonts w:ascii="Times New Roman" w:hAnsi="Times New Roman" w:cs="Times New Roman"/>
          <w:sz w:val="20"/>
          <w:szCs w:val="20"/>
        </w:rPr>
      </w:pPr>
      <w:r w:rsidRPr="00505F99">
        <w:rPr>
          <w:rFonts w:ascii="Times New Roman" w:hAnsi="Times New Roman" w:cs="Times New Roman"/>
          <w:sz w:val="20"/>
          <w:szCs w:val="20"/>
        </w:rPr>
        <w:t xml:space="preserve">Whereas; Factor = (New Base) </w:t>
      </w:r>
      <w:r w:rsidRPr="00505F99">
        <w:rPr>
          <w:rFonts w:ascii="Times New Roman" w:hAnsi="Times New Roman" w:cs="Times New Roman"/>
          <w:b/>
          <w:bCs/>
          <w:sz w:val="20"/>
          <w:szCs w:val="20"/>
        </w:rPr>
        <w:t xml:space="preserve">÷ </w:t>
      </w:r>
      <w:r w:rsidRPr="00505F99">
        <w:rPr>
          <w:rFonts w:ascii="Times New Roman" w:hAnsi="Times New Roman" w:cs="Times New Roman"/>
          <w:sz w:val="20"/>
          <w:szCs w:val="20"/>
        </w:rPr>
        <w:t>(Old Base)</w:t>
      </w:r>
    </w:p>
    <w:p w:rsidR="00273BFF" w:rsidRPr="00505F99" w:rsidRDefault="00273BFF" w:rsidP="00505F99">
      <w:pPr>
        <w:tabs>
          <w:tab w:val="left" w:pos="1440"/>
        </w:tabs>
        <w:snapToGrid w:val="0"/>
        <w:spacing w:before="0"/>
        <w:ind w:left="0"/>
        <w:rPr>
          <w:rFonts w:ascii="Times New Roman" w:hAnsi="Times New Roman" w:cs="Times New Roman"/>
          <w:b/>
          <w:bCs/>
          <w:sz w:val="20"/>
          <w:szCs w:val="20"/>
        </w:rPr>
      </w:pPr>
      <w:r w:rsidRPr="00505F99">
        <w:rPr>
          <w:rFonts w:ascii="Times New Roman" w:hAnsi="Times New Roman" w:cs="Times New Roman"/>
          <w:b/>
          <w:bCs/>
          <w:sz w:val="20"/>
          <w:szCs w:val="20"/>
        </w:rPr>
        <w:t>7)  Employment Elasticity of Out-put</w:t>
      </w:r>
    </w:p>
    <w:p w:rsidR="00273BFF" w:rsidRPr="00505F99" w:rsidRDefault="00273BFF" w:rsidP="00505F99">
      <w:pPr>
        <w:pStyle w:val="ListParagraph"/>
        <w:tabs>
          <w:tab w:val="left" w:pos="720"/>
        </w:tabs>
        <w:snapToGrid w:val="0"/>
        <w:spacing w:after="0" w:line="240" w:lineRule="auto"/>
        <w:ind w:left="0" w:firstLine="425"/>
        <w:rPr>
          <w:rFonts w:ascii="Times New Roman" w:hAnsi="Times New Roman" w:cs="Times New Roman"/>
          <w:sz w:val="20"/>
          <w:szCs w:val="20"/>
        </w:rPr>
      </w:pPr>
      <w:r w:rsidRPr="00505F99">
        <w:rPr>
          <w:rFonts w:ascii="Times New Roman" w:hAnsi="Times New Roman" w:cs="Times New Roman"/>
          <w:sz w:val="20"/>
          <w:szCs w:val="20"/>
        </w:rPr>
        <w:lastRenderedPageBreak/>
        <w:t>It refers to the percentage change in employment as a result of a unit percentage change in out-put whereas other factors remain the same.</w:t>
      </w:r>
    </w:p>
    <w:p w:rsidR="00273BFF" w:rsidRPr="00505F99" w:rsidRDefault="00273BFF" w:rsidP="00505F99">
      <w:pPr>
        <w:pStyle w:val="ListParagraph"/>
        <w:tabs>
          <w:tab w:val="left" w:pos="1440"/>
        </w:tabs>
        <w:snapToGrid w:val="0"/>
        <w:spacing w:after="0" w:line="240" w:lineRule="auto"/>
        <w:ind w:left="0" w:firstLine="425"/>
        <w:rPr>
          <w:rFonts w:ascii="Times New Roman" w:hAnsi="Times New Roman" w:cs="Times New Roman"/>
          <w:sz w:val="20"/>
          <w:szCs w:val="20"/>
        </w:rPr>
      </w:pPr>
      <w:r w:rsidRPr="00505F99">
        <w:rPr>
          <w:rFonts w:ascii="Times New Roman" w:hAnsi="Times New Roman" w:cs="Times New Roman"/>
          <w:sz w:val="20"/>
          <w:szCs w:val="20"/>
        </w:rPr>
        <w:t>Mathematically we may express it as;</w:t>
      </w:r>
    </w:p>
    <w:p w:rsidR="00273BFF" w:rsidRPr="00505F99" w:rsidRDefault="00273BFF" w:rsidP="00505F99">
      <w:pPr>
        <w:pStyle w:val="ListParagraph"/>
        <w:tabs>
          <w:tab w:val="left" w:pos="1440"/>
        </w:tabs>
        <w:snapToGrid w:val="0"/>
        <w:spacing w:after="0" w:line="240" w:lineRule="auto"/>
        <w:ind w:left="0" w:firstLine="425"/>
        <w:rPr>
          <w:rFonts w:ascii="Times New Roman" w:hAnsi="Times New Roman" w:cs="Times New Roman"/>
          <w:sz w:val="20"/>
          <w:szCs w:val="20"/>
        </w:rPr>
      </w:pPr>
      <w:r w:rsidRPr="00505F99">
        <w:rPr>
          <w:rFonts w:ascii="Times New Roman" w:hAnsi="Times New Roman" w:cs="Times New Roman"/>
          <w:sz w:val="20"/>
          <w:szCs w:val="20"/>
        </w:rPr>
        <w:t>e = %(</w:t>
      </w:r>
      <w:r w:rsidRPr="00505F99">
        <w:rPr>
          <w:rFonts w:ascii="Times New Roman" w:hAnsi="Times New Roman" w:cs="Times New Roman"/>
          <w:noProof/>
          <w:sz w:val="20"/>
          <w:szCs w:val="20"/>
          <w:lang w:eastAsia="zh-CN"/>
        </w:rPr>
        <w:drawing>
          <wp:inline distT="0" distB="0" distL="0" distR="0">
            <wp:extent cx="231775" cy="1498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31775" cy="149860"/>
                    </a:xfrm>
                    <a:prstGeom prst="rect">
                      <a:avLst/>
                    </a:prstGeom>
                    <a:noFill/>
                    <a:ln w="9525">
                      <a:noFill/>
                      <a:miter lim="800000"/>
                      <a:headEnd/>
                      <a:tailEnd/>
                    </a:ln>
                  </pic:spPr>
                </pic:pic>
              </a:graphicData>
            </a:graphic>
          </wp:inline>
        </w:drawing>
      </w:r>
      <w:r w:rsidRPr="00505F99">
        <w:rPr>
          <w:rFonts w:ascii="Times New Roman" w:hAnsi="Times New Roman" w:cs="Times New Roman"/>
          <w:sz w:val="20"/>
          <w:szCs w:val="20"/>
        </w:rPr>
        <w:t xml:space="preserve">E) </w:t>
      </w:r>
      <w:r w:rsidRPr="00505F99">
        <w:rPr>
          <w:rFonts w:ascii="Times New Roman" w:hAnsi="Times New Roman" w:cs="Times New Roman"/>
          <w:b/>
          <w:bCs/>
          <w:sz w:val="20"/>
          <w:szCs w:val="20"/>
        </w:rPr>
        <w:t>÷</w:t>
      </w:r>
      <w:r w:rsidRPr="00505F99">
        <w:rPr>
          <w:rFonts w:ascii="Times New Roman" w:hAnsi="Times New Roman" w:cs="Times New Roman"/>
          <w:sz w:val="20"/>
          <w:szCs w:val="20"/>
        </w:rPr>
        <w:t xml:space="preserve"> %(</w:t>
      </w:r>
      <w:r w:rsidRPr="00505F99">
        <w:rPr>
          <w:rFonts w:ascii="Times New Roman" w:hAnsi="Times New Roman" w:cs="Times New Roman"/>
          <w:noProof/>
          <w:sz w:val="20"/>
          <w:szCs w:val="20"/>
          <w:lang w:eastAsia="zh-CN"/>
        </w:rPr>
        <w:drawing>
          <wp:inline distT="0" distB="0" distL="0" distR="0">
            <wp:extent cx="231775" cy="1498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231775" cy="149860"/>
                    </a:xfrm>
                    <a:prstGeom prst="rect">
                      <a:avLst/>
                    </a:prstGeom>
                    <a:noFill/>
                    <a:ln w="9525">
                      <a:noFill/>
                      <a:miter lim="800000"/>
                      <a:headEnd/>
                      <a:tailEnd/>
                    </a:ln>
                  </pic:spPr>
                </pic:pic>
              </a:graphicData>
            </a:graphic>
          </wp:inline>
        </w:drawing>
      </w:r>
      <w:r w:rsidRPr="00505F99">
        <w:rPr>
          <w:rFonts w:ascii="Times New Roman" w:hAnsi="Times New Roman" w:cs="Times New Roman"/>
          <w:sz w:val="20"/>
          <w:szCs w:val="20"/>
        </w:rPr>
        <w:t>O)</w:t>
      </w:r>
    </w:p>
    <w:p w:rsidR="00273BFF" w:rsidRPr="00505F99" w:rsidRDefault="00273BFF" w:rsidP="00505F99">
      <w:pPr>
        <w:pStyle w:val="ListParagraph"/>
        <w:tabs>
          <w:tab w:val="left" w:pos="1440"/>
        </w:tabs>
        <w:snapToGrid w:val="0"/>
        <w:spacing w:after="0" w:line="240" w:lineRule="auto"/>
        <w:ind w:left="0" w:firstLine="425"/>
        <w:rPr>
          <w:rFonts w:ascii="Times New Roman" w:hAnsi="Times New Roman" w:cs="Times New Roman"/>
          <w:sz w:val="20"/>
          <w:szCs w:val="20"/>
        </w:rPr>
      </w:pPr>
      <w:r w:rsidRPr="00505F99">
        <w:rPr>
          <w:rFonts w:ascii="Times New Roman" w:hAnsi="Times New Roman" w:cs="Times New Roman"/>
          <w:sz w:val="20"/>
          <w:szCs w:val="20"/>
        </w:rPr>
        <w:t>e = (</w:t>
      </w:r>
      <w:r w:rsidRPr="00505F99">
        <w:rPr>
          <w:rFonts w:ascii="Times New Roman" w:hAnsi="Times New Roman" w:cs="Times New Roman"/>
          <w:noProof/>
          <w:sz w:val="20"/>
          <w:szCs w:val="20"/>
          <w:lang w:eastAsia="zh-CN"/>
        </w:rPr>
        <w:drawing>
          <wp:inline distT="0" distB="0" distL="0" distR="0">
            <wp:extent cx="231775" cy="1498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231775" cy="149860"/>
                    </a:xfrm>
                    <a:prstGeom prst="rect">
                      <a:avLst/>
                    </a:prstGeom>
                    <a:noFill/>
                    <a:ln w="9525">
                      <a:noFill/>
                      <a:miter lim="800000"/>
                      <a:headEnd/>
                      <a:tailEnd/>
                    </a:ln>
                  </pic:spPr>
                </pic:pic>
              </a:graphicData>
            </a:graphic>
          </wp:inline>
        </w:drawing>
      </w:r>
      <w:r w:rsidRPr="00505F99">
        <w:rPr>
          <w:rFonts w:ascii="Times New Roman" w:hAnsi="Times New Roman" w:cs="Times New Roman"/>
          <w:sz w:val="20"/>
          <w:szCs w:val="20"/>
        </w:rPr>
        <w:t>E /E) ÷ (</w:t>
      </w:r>
      <w:r w:rsidRPr="00505F99">
        <w:rPr>
          <w:rFonts w:ascii="Times New Roman" w:hAnsi="Times New Roman" w:cs="Times New Roman"/>
          <w:noProof/>
          <w:sz w:val="20"/>
          <w:szCs w:val="20"/>
          <w:lang w:eastAsia="zh-CN"/>
        </w:rPr>
        <w:drawing>
          <wp:inline distT="0" distB="0" distL="0" distR="0">
            <wp:extent cx="231775" cy="1498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31775" cy="149860"/>
                    </a:xfrm>
                    <a:prstGeom prst="rect">
                      <a:avLst/>
                    </a:prstGeom>
                    <a:noFill/>
                    <a:ln w="9525">
                      <a:noFill/>
                      <a:miter lim="800000"/>
                      <a:headEnd/>
                      <a:tailEnd/>
                    </a:ln>
                  </pic:spPr>
                </pic:pic>
              </a:graphicData>
            </a:graphic>
          </wp:inline>
        </w:drawing>
      </w:r>
      <w:r w:rsidRPr="00505F99">
        <w:rPr>
          <w:rFonts w:ascii="Times New Roman" w:hAnsi="Times New Roman" w:cs="Times New Roman"/>
          <w:sz w:val="20"/>
          <w:szCs w:val="20"/>
        </w:rPr>
        <w:t>O /O)</w:t>
      </w:r>
    </w:p>
    <w:p w:rsidR="00273BFF" w:rsidRPr="00505F99" w:rsidRDefault="00273BFF" w:rsidP="00505F99">
      <w:pPr>
        <w:pStyle w:val="ListParagraph"/>
        <w:tabs>
          <w:tab w:val="left" w:pos="1440"/>
        </w:tabs>
        <w:snapToGrid w:val="0"/>
        <w:spacing w:after="0" w:line="240" w:lineRule="auto"/>
        <w:ind w:left="0" w:firstLine="425"/>
        <w:rPr>
          <w:rFonts w:ascii="Times New Roman" w:hAnsi="Times New Roman" w:cs="Times New Roman"/>
          <w:sz w:val="20"/>
          <w:szCs w:val="20"/>
        </w:rPr>
      </w:pPr>
      <w:r w:rsidRPr="00505F99">
        <w:rPr>
          <w:rFonts w:ascii="Times New Roman" w:hAnsi="Times New Roman" w:cs="Times New Roman"/>
          <w:sz w:val="20"/>
          <w:szCs w:val="20"/>
        </w:rPr>
        <w:t>Whereas; e refers employment elasticity of out-put</w:t>
      </w:r>
    </w:p>
    <w:p w:rsidR="00273BFF" w:rsidRPr="00505F99" w:rsidRDefault="00273BFF" w:rsidP="00505F99">
      <w:pPr>
        <w:pStyle w:val="ListParagraph"/>
        <w:tabs>
          <w:tab w:val="left" w:pos="1440"/>
        </w:tabs>
        <w:snapToGrid w:val="0"/>
        <w:spacing w:after="0" w:line="240" w:lineRule="auto"/>
        <w:ind w:left="0" w:firstLine="425"/>
        <w:rPr>
          <w:rFonts w:ascii="Times New Roman" w:hAnsi="Times New Roman" w:cs="Times New Roman"/>
          <w:sz w:val="20"/>
          <w:szCs w:val="20"/>
        </w:rPr>
      </w:pPr>
      <w:r w:rsidRPr="00505F99">
        <w:rPr>
          <w:rFonts w:ascii="Times New Roman" w:hAnsi="Times New Roman" w:cs="Times New Roman"/>
          <w:noProof/>
          <w:sz w:val="20"/>
          <w:szCs w:val="20"/>
          <w:lang w:eastAsia="zh-CN"/>
        </w:rPr>
        <w:drawing>
          <wp:inline distT="0" distB="0" distL="0" distR="0">
            <wp:extent cx="231775" cy="14986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31775" cy="149860"/>
                    </a:xfrm>
                    <a:prstGeom prst="rect">
                      <a:avLst/>
                    </a:prstGeom>
                    <a:noFill/>
                    <a:ln w="9525">
                      <a:noFill/>
                      <a:miter lim="800000"/>
                      <a:headEnd/>
                      <a:tailEnd/>
                    </a:ln>
                  </pic:spPr>
                </pic:pic>
              </a:graphicData>
            </a:graphic>
          </wp:inline>
        </w:drawing>
      </w:r>
      <w:r w:rsidRPr="00505F99">
        <w:rPr>
          <w:rFonts w:ascii="Times New Roman" w:hAnsi="Times New Roman" w:cs="Times New Roman"/>
          <w:sz w:val="20"/>
          <w:szCs w:val="20"/>
        </w:rPr>
        <w:t>= change</w:t>
      </w:r>
    </w:p>
    <w:p w:rsidR="00273BFF" w:rsidRPr="00505F99" w:rsidRDefault="00273BFF" w:rsidP="00505F99">
      <w:pPr>
        <w:pStyle w:val="ListParagraph"/>
        <w:tabs>
          <w:tab w:val="left" w:pos="1440"/>
        </w:tabs>
        <w:snapToGrid w:val="0"/>
        <w:spacing w:after="0" w:line="240" w:lineRule="auto"/>
        <w:ind w:left="0" w:firstLine="425"/>
        <w:rPr>
          <w:rFonts w:ascii="Times New Roman" w:hAnsi="Times New Roman" w:cs="Times New Roman"/>
          <w:sz w:val="20"/>
          <w:szCs w:val="20"/>
        </w:rPr>
      </w:pPr>
      <w:r w:rsidRPr="00505F99">
        <w:rPr>
          <w:rFonts w:ascii="Times New Roman" w:hAnsi="Times New Roman" w:cs="Times New Roman"/>
          <w:sz w:val="20"/>
          <w:szCs w:val="20"/>
        </w:rPr>
        <w:t>E = employment</w:t>
      </w:r>
    </w:p>
    <w:p w:rsidR="00273BFF" w:rsidRPr="00505F99" w:rsidRDefault="00273BFF" w:rsidP="00505F99">
      <w:pPr>
        <w:pStyle w:val="ListParagraph"/>
        <w:tabs>
          <w:tab w:val="left" w:pos="1440"/>
        </w:tabs>
        <w:snapToGrid w:val="0"/>
        <w:spacing w:after="0" w:line="240" w:lineRule="auto"/>
        <w:ind w:left="0" w:firstLine="425"/>
        <w:rPr>
          <w:rFonts w:ascii="Times New Roman" w:hAnsi="Times New Roman" w:cs="Times New Roman"/>
          <w:sz w:val="20"/>
          <w:szCs w:val="20"/>
        </w:rPr>
      </w:pPr>
      <w:r w:rsidRPr="00505F99">
        <w:rPr>
          <w:rFonts w:ascii="Times New Roman" w:hAnsi="Times New Roman" w:cs="Times New Roman"/>
          <w:sz w:val="20"/>
          <w:szCs w:val="20"/>
        </w:rPr>
        <w:t>O = out-put</w:t>
      </w:r>
    </w:p>
    <w:p w:rsidR="00273BFF" w:rsidRPr="00505F99" w:rsidRDefault="00273BFF" w:rsidP="00505F99">
      <w:pPr>
        <w:pStyle w:val="ListParagraph"/>
        <w:tabs>
          <w:tab w:val="left" w:pos="1440"/>
        </w:tabs>
        <w:snapToGrid w:val="0"/>
        <w:spacing w:after="0" w:line="240" w:lineRule="auto"/>
        <w:ind w:left="0"/>
        <w:rPr>
          <w:rFonts w:ascii="Times New Roman" w:hAnsi="Times New Roman" w:cs="Times New Roman"/>
          <w:b/>
          <w:bCs/>
          <w:sz w:val="20"/>
          <w:szCs w:val="20"/>
        </w:rPr>
      </w:pPr>
      <w:r w:rsidRPr="00505F99">
        <w:rPr>
          <w:rFonts w:ascii="Times New Roman" w:hAnsi="Times New Roman" w:cs="Times New Roman"/>
          <w:b/>
          <w:bCs/>
          <w:sz w:val="20"/>
          <w:szCs w:val="20"/>
        </w:rPr>
        <w:t>8) Growth Rate: S</w:t>
      </w:r>
      <w:r w:rsidRPr="00505F99">
        <w:rPr>
          <w:rFonts w:ascii="Times New Roman" w:hAnsi="Times New Roman" w:cs="Times New Roman"/>
          <w:sz w:val="20"/>
          <w:szCs w:val="20"/>
        </w:rPr>
        <w:t>imple, average and compound growth rates have been calculated with the help of the following formulas:</w:t>
      </w:r>
    </w:p>
    <w:p w:rsidR="00273BFF" w:rsidRPr="00505F99" w:rsidRDefault="00273BFF" w:rsidP="00505F99">
      <w:pPr>
        <w:pStyle w:val="ListParagraph"/>
        <w:snapToGrid w:val="0"/>
        <w:spacing w:after="0" w:line="240" w:lineRule="auto"/>
        <w:ind w:left="0"/>
        <w:rPr>
          <w:rFonts w:ascii="Times New Roman" w:hAnsi="Times New Roman" w:cs="Times New Roman"/>
          <w:sz w:val="20"/>
          <w:szCs w:val="20"/>
        </w:rPr>
      </w:pPr>
      <w:r w:rsidRPr="00505F99">
        <w:rPr>
          <w:rFonts w:ascii="Times New Roman" w:hAnsi="Times New Roman" w:cs="Times New Roman"/>
          <w:b/>
          <w:bCs/>
          <w:sz w:val="20"/>
          <w:szCs w:val="20"/>
        </w:rPr>
        <w:t>a)</w:t>
      </w:r>
      <w:r w:rsidRPr="00505F99">
        <w:rPr>
          <w:rFonts w:ascii="Times New Roman" w:hAnsi="Times New Roman" w:cs="Times New Roman"/>
          <w:b/>
          <w:sz w:val="20"/>
          <w:szCs w:val="20"/>
        </w:rPr>
        <w:t xml:space="preserve"> Annual Growth Rate or Simple Growth Rate:</w:t>
      </w:r>
      <w:r w:rsidRPr="00505F99">
        <w:rPr>
          <w:rFonts w:ascii="Times New Roman" w:hAnsi="Times New Roman" w:cs="Times New Roman"/>
          <w:sz w:val="20"/>
          <w:szCs w:val="20"/>
        </w:rPr>
        <w:t xml:space="preserve"> The annual growth rates for a series of T annual observations, say </w:t>
      </w:r>
      <m:oMath>
        <m:sSub>
          <m:sSubPr>
            <m:ctrlPr>
              <w:rPr>
                <w:rFonts w:ascii="Cambria Math" w:hAnsi="Times New Roman" w:cs="Times New Roman"/>
                <w:i/>
                <w:sz w:val="20"/>
                <w:szCs w:val="20"/>
              </w:rPr>
            </m:ctrlPr>
          </m:sSubPr>
          <m:e>
            <m:r>
              <w:rPr>
                <w:rFonts w:ascii="Cambria Math" w:hAnsi="Cambria Math" w:cs="Times New Roman"/>
                <w:sz w:val="20"/>
                <w:szCs w:val="20"/>
              </w:rPr>
              <m:t>y</m:t>
            </m:r>
          </m:e>
          <m:sub>
            <m:r>
              <w:rPr>
                <w:rFonts w:ascii="Cambria Math" w:hAnsi="Times New Roman" w:cs="Times New Roman"/>
                <w:sz w:val="20"/>
                <w:szCs w:val="20"/>
              </w:rPr>
              <m:t>1,</m:t>
            </m:r>
          </m:sub>
        </m:sSub>
        <m:sSub>
          <m:sSubPr>
            <m:ctrlPr>
              <w:rPr>
                <w:rFonts w:ascii="Cambria Math" w:hAnsi="Times New Roman" w:cs="Times New Roman"/>
                <w:i/>
                <w:sz w:val="20"/>
                <w:szCs w:val="20"/>
              </w:rPr>
            </m:ctrlPr>
          </m:sSubPr>
          <m:e>
            <m:r>
              <w:rPr>
                <w:rFonts w:ascii="Cambria Math" w:hAnsi="Cambria Math" w:cs="Times New Roman"/>
                <w:sz w:val="20"/>
                <w:szCs w:val="20"/>
              </w:rPr>
              <m:t>y</m:t>
            </m:r>
          </m:e>
          <m:sub>
            <m:r>
              <w:rPr>
                <w:rFonts w:ascii="Cambria Math" w:hAnsi="Times New Roman" w:cs="Times New Roman"/>
                <w:sz w:val="20"/>
                <w:szCs w:val="20"/>
              </w:rPr>
              <m:t>2,</m:t>
            </m:r>
          </m:sub>
        </m:sSub>
        <m:sSub>
          <m:sSubPr>
            <m:ctrlPr>
              <w:rPr>
                <w:rFonts w:ascii="Cambria Math" w:hAnsi="Times New Roman" w:cs="Times New Roman"/>
                <w:i/>
                <w:sz w:val="20"/>
                <w:szCs w:val="20"/>
              </w:rPr>
            </m:ctrlPr>
          </m:sSubPr>
          <m:e>
            <m:r>
              <w:rPr>
                <w:rFonts w:ascii="Cambria Math" w:hAnsi="Cambria Math" w:cs="Times New Roman"/>
                <w:sz w:val="20"/>
                <w:szCs w:val="20"/>
              </w:rPr>
              <m:t>y</m:t>
            </m:r>
          </m:e>
          <m:sub>
            <m:r>
              <w:rPr>
                <w:rFonts w:ascii="Cambria Math" w:hAnsi="Times New Roman" w:cs="Times New Roman"/>
                <w:sz w:val="20"/>
                <w:szCs w:val="20"/>
              </w:rPr>
              <m:t>3,</m:t>
            </m:r>
          </m:sub>
        </m:sSub>
        <m:r>
          <w:rPr>
            <w:rFonts w:ascii="Cambria Math" w:hAnsi="Times New Roman" w:cs="Times New Roman"/>
            <w:sz w:val="20"/>
            <w:szCs w:val="20"/>
          </w:rPr>
          <m:t>…</m:t>
        </m:r>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t</m:t>
            </m:r>
          </m:sub>
        </m:sSub>
      </m:oMath>
      <w:r w:rsidRPr="00505F99">
        <w:rPr>
          <w:rFonts w:ascii="Times New Roman" w:hAnsi="Times New Roman" w:cs="Times New Roman"/>
          <w:sz w:val="20"/>
          <w:szCs w:val="20"/>
        </w:rPr>
        <w:t xml:space="preserve"> is defined as</w:t>
      </w:r>
    </w:p>
    <w:p w:rsidR="00273BFF" w:rsidRPr="00505F99" w:rsidRDefault="001A3956" w:rsidP="00505F99">
      <w:pPr>
        <w:pStyle w:val="ListParagraph"/>
        <w:snapToGrid w:val="0"/>
        <w:spacing w:after="0" w:line="240" w:lineRule="auto"/>
        <w:ind w:left="0" w:firstLine="425"/>
        <w:rPr>
          <w:rFonts w:ascii="Times New Roman" w:hAnsi="Times New Roman" w:cs="Times New Roman"/>
          <w:sz w:val="20"/>
          <w:szCs w:val="20"/>
        </w:rPr>
      </w:pPr>
      <m:oMath>
        <m:sSub>
          <m:sSubPr>
            <m:ctrlPr>
              <w:rPr>
                <w:rFonts w:ascii="Cambria Math" w:hAnsi="Times New Roman" w:cs="Times New Roman"/>
                <w:sz w:val="20"/>
                <w:szCs w:val="20"/>
              </w:rPr>
            </m:ctrlPr>
          </m:sSubPr>
          <m:e>
            <m:r>
              <w:rPr>
                <w:rFonts w:ascii="Cambria Math" w:hAnsi="Cambria Math" w:cs="Times New Roman"/>
                <w:sz w:val="20"/>
                <w:szCs w:val="20"/>
              </w:rPr>
              <m:t>a</m:t>
            </m:r>
          </m:e>
          <m:sub>
            <m:r>
              <w:rPr>
                <w:rFonts w:ascii="Cambria Math" w:hAnsi="Cambria Math" w:cs="Times New Roman"/>
                <w:sz w:val="20"/>
                <w:szCs w:val="20"/>
              </w:rPr>
              <m:t>t</m:t>
            </m:r>
          </m:sub>
        </m:sSub>
      </m:oMath>
      <w:r w:rsidR="00273BFF" w:rsidRPr="00505F99">
        <w:rPr>
          <w:rFonts w:ascii="Times New Roman" w:hAnsi="Times New Roman" w:cs="Times New Roman"/>
          <w:sz w:val="20"/>
          <w:szCs w:val="20"/>
        </w:rPr>
        <w:t xml:space="preserve"> =  </w:t>
      </w:r>
      <m:oMath>
        <m:f>
          <m:fPr>
            <m:ctrlPr>
              <w:rPr>
                <w:rFonts w:ascii="Cambria Math" w:hAnsi="Times New Roman" w:cs="Times New Roman"/>
                <w:sz w:val="20"/>
                <w:szCs w:val="20"/>
              </w:rPr>
            </m:ctrlPr>
          </m:fPr>
          <m:num>
            <m:sSub>
              <m:sSubPr>
                <m:ctrlPr>
                  <w:rPr>
                    <w:rFonts w:ascii="Cambria Math" w:hAnsi="Times New Roman" w:cs="Times New Roman"/>
                    <w:sz w:val="20"/>
                    <w:szCs w:val="20"/>
                  </w:rPr>
                </m:ctrlPr>
              </m:sSubPr>
              <m:e>
                <m:r>
                  <w:rPr>
                    <w:rFonts w:ascii="Cambria Math" w:hAnsi="Cambria Math" w:cs="Times New Roman"/>
                    <w:sz w:val="20"/>
                    <w:szCs w:val="20"/>
                  </w:rPr>
                  <m:t>y</m:t>
                </m:r>
              </m:e>
              <m:sub>
                <m:r>
                  <w:rPr>
                    <w:rFonts w:ascii="Cambria Math" w:hAnsi="Cambria Math" w:cs="Times New Roman"/>
                    <w:sz w:val="20"/>
                    <w:szCs w:val="20"/>
                  </w:rPr>
                  <m:t>t</m:t>
                </m:r>
                <m:r>
                  <m:rPr>
                    <m:sty m:val="p"/>
                  </m:rPr>
                  <w:rPr>
                    <w:rFonts w:ascii="Cambria Math" w:hAnsi="Times New Roman" w:cs="Times New Roman"/>
                    <w:sz w:val="20"/>
                    <w:szCs w:val="20"/>
                  </w:rPr>
                  <m:t xml:space="preserve">  </m:t>
                </m:r>
              </m:sub>
            </m:sSub>
            <m:r>
              <m:rPr>
                <m:sty m:val="p"/>
              </m:rPr>
              <w:rPr>
                <w:rFonts w:ascii="Cambria Math" w:hAnsi="Times New Roman" w:cs="Times New Roman"/>
                <w:sz w:val="20"/>
                <w:szCs w:val="20"/>
              </w:rPr>
              <m:t xml:space="preserve">_  </m:t>
            </m:r>
            <m:sSub>
              <m:sSubPr>
                <m:ctrlPr>
                  <w:rPr>
                    <w:rFonts w:ascii="Cambria Math" w:hAnsi="Times New Roman" w:cs="Times New Roman"/>
                    <w:sz w:val="20"/>
                    <w:szCs w:val="20"/>
                  </w:rPr>
                </m:ctrlPr>
              </m:sSubPr>
              <m:e>
                <m:r>
                  <w:rPr>
                    <w:rFonts w:ascii="Cambria Math" w:hAnsi="Cambria Math" w:cs="Times New Roman"/>
                    <w:sz w:val="20"/>
                    <w:szCs w:val="20"/>
                  </w:rPr>
                  <m:t>y</m:t>
                </m:r>
              </m:e>
              <m:sub>
                <m:r>
                  <w:rPr>
                    <w:rFonts w:ascii="Cambria Math" w:hAnsi="Cambria Math" w:cs="Times New Roman"/>
                    <w:sz w:val="20"/>
                    <w:szCs w:val="20"/>
                  </w:rPr>
                  <m:t>t</m:t>
                </m:r>
                <m:r>
                  <m:rPr>
                    <m:sty m:val="p"/>
                  </m:rPr>
                  <w:rPr>
                    <w:rFonts w:ascii="Times New Roman" w:hAnsi="Times New Roman" w:cs="Times New Roman"/>
                    <w:sz w:val="20"/>
                    <w:szCs w:val="20"/>
                  </w:rPr>
                  <m:t>-</m:t>
                </m:r>
                <m:r>
                  <m:rPr>
                    <m:sty m:val="p"/>
                  </m:rPr>
                  <w:rPr>
                    <w:rFonts w:ascii="Cambria Math" w:hAnsi="Times New Roman" w:cs="Times New Roman"/>
                    <w:sz w:val="20"/>
                    <w:szCs w:val="20"/>
                  </w:rPr>
                  <m:t>1</m:t>
                </m:r>
              </m:sub>
            </m:sSub>
          </m:num>
          <m:den>
            <m:sSub>
              <m:sSubPr>
                <m:ctrlPr>
                  <w:rPr>
                    <w:rFonts w:ascii="Cambria Math" w:hAnsi="Times New Roman" w:cs="Times New Roman"/>
                    <w:sz w:val="20"/>
                    <w:szCs w:val="20"/>
                  </w:rPr>
                </m:ctrlPr>
              </m:sSubPr>
              <m:e>
                <m:r>
                  <w:rPr>
                    <w:rFonts w:ascii="Cambria Math" w:hAnsi="Cambria Math" w:cs="Times New Roman"/>
                    <w:sz w:val="20"/>
                    <w:szCs w:val="20"/>
                  </w:rPr>
                  <m:t>y</m:t>
                </m:r>
              </m:e>
              <m:sub>
                <m:r>
                  <w:rPr>
                    <w:rFonts w:ascii="Cambria Math" w:hAnsi="Cambria Math" w:cs="Times New Roman"/>
                    <w:sz w:val="20"/>
                    <w:szCs w:val="20"/>
                  </w:rPr>
                  <m:t>t</m:t>
                </m:r>
                <m:r>
                  <m:rPr>
                    <m:sty m:val="p"/>
                  </m:rPr>
                  <w:rPr>
                    <w:rFonts w:ascii="Times New Roman" w:hAnsi="Times New Roman" w:cs="Times New Roman"/>
                    <w:sz w:val="20"/>
                    <w:szCs w:val="20"/>
                  </w:rPr>
                  <m:t>-</m:t>
                </m:r>
                <m:r>
                  <m:rPr>
                    <m:sty m:val="p"/>
                  </m:rPr>
                  <w:rPr>
                    <w:rFonts w:ascii="Cambria Math" w:hAnsi="Times New Roman" w:cs="Times New Roman"/>
                    <w:sz w:val="20"/>
                    <w:szCs w:val="20"/>
                  </w:rPr>
                  <m:t>1</m:t>
                </m:r>
              </m:sub>
            </m:sSub>
            <m:r>
              <m:rPr>
                <m:sty m:val="p"/>
              </m:rPr>
              <w:rPr>
                <w:rFonts w:ascii="Cambria Math" w:hAnsi="Times New Roman" w:cs="Times New Roman"/>
                <w:sz w:val="20"/>
                <w:szCs w:val="20"/>
              </w:rPr>
              <m:t xml:space="preserve"> </m:t>
            </m:r>
          </m:den>
        </m:f>
      </m:oMath>
    </w:p>
    <w:p w:rsidR="00273BFF" w:rsidRPr="00505F99" w:rsidRDefault="00273BFF" w:rsidP="00505F99">
      <w:pPr>
        <w:pStyle w:val="ListParagraph"/>
        <w:snapToGrid w:val="0"/>
        <w:spacing w:after="0" w:line="240" w:lineRule="auto"/>
        <w:ind w:left="0" w:firstLine="425"/>
        <w:rPr>
          <w:rFonts w:ascii="Times New Roman" w:hAnsi="Times New Roman" w:cs="Times New Roman"/>
          <w:sz w:val="20"/>
          <w:szCs w:val="20"/>
        </w:rPr>
      </w:pPr>
      <w:r w:rsidRPr="00505F99">
        <w:rPr>
          <w:rFonts w:ascii="Times New Roman" w:hAnsi="Times New Roman" w:cs="Times New Roman"/>
          <w:sz w:val="20"/>
          <w:szCs w:val="20"/>
        </w:rPr>
        <w:t xml:space="preserve">Whereas; </w:t>
      </w:r>
      <m:oMath>
        <m:sSub>
          <m:sSubPr>
            <m:ctrlPr>
              <w:rPr>
                <w:rFonts w:ascii="Cambria Math" w:hAnsi="Times New Roman" w:cs="Times New Roman"/>
                <w:sz w:val="20"/>
                <w:szCs w:val="20"/>
              </w:rPr>
            </m:ctrlPr>
          </m:sSubPr>
          <m:e>
            <m:r>
              <w:rPr>
                <w:rFonts w:ascii="Cambria Math" w:hAnsi="Cambria Math" w:cs="Times New Roman"/>
                <w:sz w:val="20"/>
                <w:szCs w:val="20"/>
              </w:rPr>
              <m:t>y</m:t>
            </m:r>
          </m:e>
          <m:sub>
            <m:r>
              <w:rPr>
                <w:rFonts w:ascii="Cambria Math" w:hAnsi="Cambria Math" w:cs="Times New Roman"/>
                <w:sz w:val="20"/>
                <w:szCs w:val="20"/>
              </w:rPr>
              <m:t>t</m:t>
            </m:r>
            <m:r>
              <m:rPr>
                <m:sty m:val="p"/>
              </m:rPr>
              <w:rPr>
                <w:rFonts w:ascii="Cambria Math" w:hAnsi="Times New Roman" w:cs="Times New Roman"/>
                <w:sz w:val="20"/>
                <w:szCs w:val="20"/>
              </w:rPr>
              <m:t xml:space="preserve">  </m:t>
            </m:r>
          </m:sub>
        </m:sSub>
      </m:oMath>
      <w:r w:rsidRPr="00505F99">
        <w:rPr>
          <w:rFonts w:ascii="Times New Roman" w:hAnsi="Times New Roman" w:cs="Times New Roman"/>
          <w:sz w:val="20"/>
          <w:szCs w:val="20"/>
        </w:rPr>
        <w:t>refers current year out-put</w:t>
      </w:r>
    </w:p>
    <w:p w:rsidR="00273BFF" w:rsidRPr="00505F99" w:rsidRDefault="001A3956" w:rsidP="00505F99">
      <w:pPr>
        <w:pStyle w:val="ListParagraph"/>
        <w:snapToGrid w:val="0"/>
        <w:spacing w:after="0" w:line="240" w:lineRule="auto"/>
        <w:ind w:left="0" w:firstLine="425"/>
        <w:rPr>
          <w:rFonts w:ascii="Times New Roman" w:hAnsi="Times New Roman" w:cs="Times New Roman"/>
          <w:sz w:val="20"/>
          <w:szCs w:val="20"/>
        </w:rPr>
      </w:pPr>
      <m:oMath>
        <m:sSub>
          <m:sSubPr>
            <m:ctrlPr>
              <w:rPr>
                <w:rFonts w:ascii="Cambria Math" w:hAnsi="Times New Roman" w:cs="Times New Roman"/>
                <w:sz w:val="20"/>
                <w:szCs w:val="20"/>
              </w:rPr>
            </m:ctrlPr>
          </m:sSubPr>
          <m:e>
            <m:r>
              <w:rPr>
                <w:rFonts w:ascii="Cambria Math" w:hAnsi="Cambria Math" w:cs="Times New Roman"/>
                <w:sz w:val="20"/>
                <w:szCs w:val="20"/>
              </w:rPr>
              <m:t>y</m:t>
            </m:r>
          </m:e>
          <m:sub>
            <m:r>
              <w:rPr>
                <w:rFonts w:ascii="Cambria Math" w:hAnsi="Cambria Math" w:cs="Times New Roman"/>
                <w:sz w:val="20"/>
                <w:szCs w:val="20"/>
              </w:rPr>
              <m:t>t</m:t>
            </m:r>
            <m:r>
              <m:rPr>
                <m:sty m:val="p"/>
              </m:rPr>
              <w:rPr>
                <w:rFonts w:ascii="Times New Roman" w:hAnsi="Times New Roman" w:cs="Times New Roman"/>
                <w:sz w:val="20"/>
                <w:szCs w:val="20"/>
              </w:rPr>
              <m:t>-</m:t>
            </m:r>
            <m:r>
              <m:rPr>
                <m:sty m:val="p"/>
              </m:rPr>
              <w:rPr>
                <w:rFonts w:ascii="Cambria Math" w:hAnsi="Times New Roman" w:cs="Times New Roman"/>
                <w:sz w:val="20"/>
                <w:szCs w:val="20"/>
              </w:rPr>
              <m:t>1</m:t>
            </m:r>
          </m:sub>
        </m:sSub>
      </m:oMath>
      <w:r w:rsidR="00273BFF" w:rsidRPr="00505F99">
        <w:rPr>
          <w:rFonts w:ascii="Times New Roman" w:hAnsi="Times New Roman" w:cs="Times New Roman"/>
          <w:sz w:val="20"/>
          <w:szCs w:val="20"/>
        </w:rPr>
        <w:t xml:space="preserve">  refers previous year out-put</w:t>
      </w:r>
    </w:p>
    <w:p w:rsidR="00273BFF" w:rsidRPr="00505F99" w:rsidRDefault="00273BFF" w:rsidP="00505F99">
      <w:pPr>
        <w:pStyle w:val="ListParagraph"/>
        <w:snapToGrid w:val="0"/>
        <w:spacing w:after="0" w:line="240" w:lineRule="auto"/>
        <w:ind w:left="0"/>
        <w:rPr>
          <w:rFonts w:ascii="Times New Roman" w:hAnsi="Times New Roman" w:cs="Times New Roman"/>
          <w:sz w:val="20"/>
          <w:szCs w:val="20"/>
        </w:rPr>
      </w:pPr>
      <m:oMath>
        <m:r>
          <m:rPr>
            <m:sty m:val="bi"/>
          </m:rPr>
          <w:rPr>
            <w:rFonts w:ascii="Cambria Math" w:hAnsi="Cambria Math" w:cs="Times New Roman"/>
            <w:sz w:val="20"/>
            <w:szCs w:val="20"/>
          </w:rPr>
          <m:t>b</m:t>
        </m:r>
        <m:r>
          <m:rPr>
            <m:sty m:val="bi"/>
          </m:rPr>
          <w:rPr>
            <w:rFonts w:ascii="Cambria Math" w:hAnsi="Times New Roman" w:cs="Times New Roman"/>
            <w:sz w:val="20"/>
            <w:szCs w:val="20"/>
          </w:rPr>
          <m:t>)</m:t>
        </m:r>
      </m:oMath>
      <w:r w:rsidRPr="00505F99">
        <w:rPr>
          <w:rFonts w:ascii="Times New Roman" w:hAnsi="Times New Roman" w:cs="Times New Roman"/>
          <w:b/>
          <w:bCs/>
          <w:sz w:val="20"/>
          <w:szCs w:val="20"/>
        </w:rPr>
        <w:t xml:space="preserve"> Average Annual Growth Rate:</w:t>
      </w:r>
      <w:r w:rsidRPr="00505F99">
        <w:rPr>
          <w:rFonts w:ascii="Times New Roman" w:hAnsi="Times New Roman" w:cs="Times New Roman"/>
          <w:sz w:val="20"/>
          <w:szCs w:val="20"/>
        </w:rPr>
        <w:t xml:space="preserve"> The average growth rate has been calculated with the help of following formula:</w:t>
      </w:r>
    </w:p>
    <w:p w:rsidR="00273BFF" w:rsidRPr="00505F99" w:rsidRDefault="00273BFF" w:rsidP="00505F99">
      <w:pPr>
        <w:pStyle w:val="ListParagraph"/>
        <w:snapToGrid w:val="0"/>
        <w:spacing w:after="0" w:line="240" w:lineRule="auto"/>
        <w:ind w:left="0" w:firstLine="425"/>
        <w:rPr>
          <w:rFonts w:ascii="Times New Roman" w:hAnsi="Times New Roman" w:cs="Times New Roman"/>
          <w:sz w:val="20"/>
          <w:szCs w:val="20"/>
        </w:rPr>
      </w:pPr>
      <w:r w:rsidRPr="00505F99">
        <w:rPr>
          <w:rFonts w:ascii="Times New Roman" w:hAnsi="Times New Roman" w:cs="Times New Roman"/>
          <w:sz w:val="20"/>
          <w:szCs w:val="20"/>
        </w:rPr>
        <w:t xml:space="preserve">Average Annual Growth Rate = (1/T)* </w:t>
      </w:r>
      <w:proofErr w:type="spellStart"/>
      <w:r w:rsidRPr="00505F99">
        <w:rPr>
          <w:rFonts w:ascii="Times New Roman" w:hAnsi="Times New Roman" w:cs="Times New Roman"/>
          <w:sz w:val="20"/>
          <w:szCs w:val="20"/>
        </w:rPr>
        <w:t>Ln</w:t>
      </w:r>
      <w:proofErr w:type="spellEnd"/>
      <w:r w:rsidRPr="00505F99">
        <w:rPr>
          <w:rFonts w:ascii="Times New Roman" w:hAnsi="Times New Roman" w:cs="Times New Roman"/>
          <w:sz w:val="20"/>
          <w:szCs w:val="20"/>
        </w:rPr>
        <w:t xml:space="preserve"> (</w:t>
      </w:r>
      <w:proofErr w:type="spellStart"/>
      <w:r w:rsidRPr="00505F99">
        <w:rPr>
          <w:rFonts w:ascii="Times New Roman" w:hAnsi="Times New Roman" w:cs="Times New Roman"/>
          <w:sz w:val="20"/>
          <w:szCs w:val="20"/>
        </w:rPr>
        <w:t>Y</w:t>
      </w:r>
      <w:r w:rsidRPr="00505F99">
        <w:rPr>
          <w:rFonts w:ascii="Times New Roman" w:hAnsi="Times New Roman" w:cs="Times New Roman"/>
          <w:sz w:val="20"/>
          <w:szCs w:val="20"/>
          <w:vertAlign w:val="subscript"/>
        </w:rPr>
        <w:t>t</w:t>
      </w:r>
      <w:proofErr w:type="spellEnd"/>
      <w:r w:rsidRPr="00505F99">
        <w:rPr>
          <w:rFonts w:ascii="Times New Roman" w:hAnsi="Times New Roman" w:cs="Times New Roman"/>
          <w:sz w:val="20"/>
          <w:szCs w:val="20"/>
          <w:vertAlign w:val="subscript"/>
        </w:rPr>
        <w:t xml:space="preserve"> </w:t>
      </w:r>
      <w:r w:rsidRPr="00505F99">
        <w:rPr>
          <w:rFonts w:ascii="Times New Roman" w:hAnsi="Times New Roman" w:cs="Times New Roman"/>
          <w:sz w:val="20"/>
          <w:szCs w:val="20"/>
        </w:rPr>
        <w:t xml:space="preserve"> / Yi)*100</w:t>
      </w:r>
    </w:p>
    <w:p w:rsidR="00273BFF" w:rsidRPr="00505F99" w:rsidRDefault="00273BFF" w:rsidP="00505F99">
      <w:pPr>
        <w:pStyle w:val="ListParagraph"/>
        <w:snapToGrid w:val="0"/>
        <w:spacing w:after="0" w:line="240" w:lineRule="auto"/>
        <w:ind w:left="0" w:firstLine="425"/>
        <w:rPr>
          <w:rFonts w:ascii="Times New Roman" w:hAnsi="Times New Roman" w:cs="Times New Roman"/>
          <w:sz w:val="20"/>
          <w:szCs w:val="20"/>
        </w:rPr>
      </w:pPr>
      <w:r w:rsidRPr="00505F99">
        <w:rPr>
          <w:rFonts w:ascii="Times New Roman" w:hAnsi="Times New Roman" w:cs="Times New Roman"/>
          <w:sz w:val="20"/>
          <w:szCs w:val="20"/>
        </w:rPr>
        <w:t>Whereas; T refers number of times we see increase or decrease over the time period.</w:t>
      </w:r>
    </w:p>
    <w:p w:rsidR="00273BFF" w:rsidRPr="00505F99" w:rsidRDefault="00273BFF" w:rsidP="00505F99">
      <w:pPr>
        <w:pStyle w:val="ListParagraph"/>
        <w:snapToGrid w:val="0"/>
        <w:spacing w:after="0" w:line="240" w:lineRule="auto"/>
        <w:ind w:left="0" w:firstLine="425"/>
        <w:rPr>
          <w:rFonts w:ascii="Times New Roman" w:hAnsi="Times New Roman" w:cs="Times New Roman"/>
          <w:sz w:val="20"/>
          <w:szCs w:val="20"/>
        </w:rPr>
      </w:pPr>
      <w:proofErr w:type="spellStart"/>
      <w:r w:rsidRPr="00505F99">
        <w:rPr>
          <w:rFonts w:ascii="Times New Roman" w:hAnsi="Times New Roman" w:cs="Times New Roman"/>
          <w:sz w:val="20"/>
          <w:szCs w:val="20"/>
        </w:rPr>
        <w:t>Ln</w:t>
      </w:r>
      <w:proofErr w:type="spellEnd"/>
      <w:r w:rsidRPr="00505F99">
        <w:rPr>
          <w:rFonts w:ascii="Times New Roman" w:hAnsi="Times New Roman" w:cs="Times New Roman"/>
          <w:sz w:val="20"/>
          <w:szCs w:val="20"/>
        </w:rPr>
        <w:t xml:space="preserve"> is the natural logarithm</w:t>
      </w:r>
    </w:p>
    <w:p w:rsidR="00273BFF" w:rsidRPr="00505F99" w:rsidRDefault="00273BFF" w:rsidP="00505F99">
      <w:pPr>
        <w:pStyle w:val="ListParagraph"/>
        <w:snapToGrid w:val="0"/>
        <w:spacing w:after="0" w:line="240" w:lineRule="auto"/>
        <w:ind w:left="0" w:firstLine="425"/>
        <w:rPr>
          <w:rFonts w:ascii="Times New Roman" w:hAnsi="Times New Roman" w:cs="Times New Roman"/>
          <w:sz w:val="20"/>
          <w:szCs w:val="20"/>
        </w:rPr>
      </w:pPr>
      <w:proofErr w:type="spellStart"/>
      <w:r w:rsidRPr="00505F99">
        <w:rPr>
          <w:rFonts w:ascii="Times New Roman" w:hAnsi="Times New Roman" w:cs="Times New Roman"/>
          <w:sz w:val="20"/>
          <w:szCs w:val="20"/>
        </w:rPr>
        <w:t>Y</w:t>
      </w:r>
      <w:r w:rsidRPr="00505F99">
        <w:rPr>
          <w:rFonts w:ascii="Times New Roman" w:hAnsi="Times New Roman" w:cs="Times New Roman"/>
          <w:sz w:val="20"/>
          <w:szCs w:val="20"/>
          <w:vertAlign w:val="subscript"/>
        </w:rPr>
        <w:t>t</w:t>
      </w:r>
      <w:proofErr w:type="spellEnd"/>
      <w:r w:rsidRPr="00505F99">
        <w:rPr>
          <w:rFonts w:ascii="Times New Roman" w:hAnsi="Times New Roman" w:cs="Times New Roman"/>
          <w:sz w:val="20"/>
          <w:szCs w:val="20"/>
          <w:vertAlign w:val="subscript"/>
        </w:rPr>
        <w:t xml:space="preserve"> </w:t>
      </w:r>
      <w:r w:rsidRPr="00505F99">
        <w:rPr>
          <w:rFonts w:ascii="Times New Roman" w:hAnsi="Times New Roman" w:cs="Times New Roman"/>
          <w:sz w:val="20"/>
          <w:szCs w:val="20"/>
        </w:rPr>
        <w:t>refers variable in final time period</w:t>
      </w:r>
    </w:p>
    <w:p w:rsidR="00273BFF" w:rsidRPr="00505F99" w:rsidRDefault="00273BFF" w:rsidP="00505F99">
      <w:pPr>
        <w:pStyle w:val="ListParagraph"/>
        <w:snapToGrid w:val="0"/>
        <w:spacing w:after="0" w:line="240" w:lineRule="auto"/>
        <w:ind w:left="0" w:firstLine="425"/>
        <w:rPr>
          <w:rFonts w:ascii="Times New Roman" w:hAnsi="Times New Roman" w:cs="Times New Roman"/>
          <w:sz w:val="20"/>
          <w:szCs w:val="20"/>
        </w:rPr>
      </w:pPr>
      <w:r w:rsidRPr="00505F99">
        <w:rPr>
          <w:rFonts w:ascii="Times New Roman" w:hAnsi="Times New Roman" w:cs="Times New Roman"/>
          <w:sz w:val="20"/>
          <w:szCs w:val="20"/>
        </w:rPr>
        <w:t>Yi refers variable in initial time period</w:t>
      </w:r>
    </w:p>
    <w:p w:rsidR="00273BFF" w:rsidRPr="00505F99" w:rsidRDefault="00273BFF" w:rsidP="00ED6D70">
      <w:pPr>
        <w:pStyle w:val="ListParagraph"/>
        <w:snapToGrid w:val="0"/>
        <w:spacing w:after="0" w:line="240" w:lineRule="auto"/>
        <w:ind w:left="0"/>
        <w:rPr>
          <w:rFonts w:ascii="Times New Roman" w:hAnsi="Times New Roman" w:cs="Times New Roman"/>
          <w:sz w:val="20"/>
          <w:szCs w:val="20"/>
        </w:rPr>
      </w:pPr>
      <w:r w:rsidRPr="00505F99">
        <w:rPr>
          <w:rFonts w:ascii="Times New Roman" w:hAnsi="Times New Roman" w:cs="Times New Roman"/>
          <w:sz w:val="20"/>
          <w:szCs w:val="20"/>
        </w:rPr>
        <w:t xml:space="preserve">c) </w:t>
      </w:r>
      <w:r w:rsidRPr="00505F99">
        <w:rPr>
          <w:rFonts w:ascii="Times New Roman" w:hAnsi="Times New Roman" w:cs="Times New Roman"/>
          <w:b/>
          <w:bCs/>
          <w:sz w:val="20"/>
          <w:szCs w:val="20"/>
        </w:rPr>
        <w:t>Compound Growth Rate:</w:t>
      </w:r>
      <w:r w:rsidRPr="00505F99">
        <w:rPr>
          <w:rFonts w:ascii="Times New Roman" w:hAnsi="Times New Roman" w:cs="Times New Roman"/>
          <w:sz w:val="20"/>
          <w:szCs w:val="20"/>
        </w:rPr>
        <w:t xml:space="preserve"> the compound growth rate (</w:t>
      </w:r>
      <w:proofErr w:type="spellStart"/>
      <w:r w:rsidRPr="00505F99">
        <w:rPr>
          <w:rFonts w:ascii="Times New Roman" w:hAnsi="Times New Roman" w:cs="Times New Roman"/>
          <w:sz w:val="20"/>
          <w:szCs w:val="20"/>
        </w:rPr>
        <w:t>cgr</w:t>
      </w:r>
      <w:proofErr w:type="spellEnd"/>
      <w:r w:rsidRPr="00505F99">
        <w:rPr>
          <w:rFonts w:ascii="Times New Roman" w:hAnsi="Times New Roman" w:cs="Times New Roman"/>
          <w:sz w:val="20"/>
          <w:szCs w:val="20"/>
        </w:rPr>
        <w:t>) has been calculated with the help of exponential function which is as:</w:t>
      </w:r>
    </w:p>
    <w:p w:rsidR="00273BFF" w:rsidRPr="00505F99" w:rsidRDefault="00273BFF" w:rsidP="00505F99">
      <w:pPr>
        <w:pStyle w:val="ListParagraph"/>
        <w:snapToGrid w:val="0"/>
        <w:spacing w:after="0" w:line="240" w:lineRule="auto"/>
        <w:ind w:left="0" w:firstLine="425"/>
        <w:rPr>
          <w:rFonts w:ascii="Times New Roman" w:hAnsi="Times New Roman" w:cs="Times New Roman"/>
          <w:sz w:val="20"/>
          <w:szCs w:val="20"/>
          <w:vertAlign w:val="superscript"/>
        </w:rPr>
      </w:pPr>
      <w:r w:rsidRPr="00505F99">
        <w:rPr>
          <w:rFonts w:ascii="Times New Roman" w:hAnsi="Times New Roman" w:cs="Times New Roman"/>
          <w:sz w:val="20"/>
          <w:szCs w:val="20"/>
        </w:rPr>
        <w:t xml:space="preserve">Exponential function         y = </w:t>
      </w:r>
      <w:proofErr w:type="spellStart"/>
      <w:r w:rsidRPr="00505F99">
        <w:rPr>
          <w:rFonts w:ascii="Times New Roman" w:hAnsi="Times New Roman" w:cs="Times New Roman"/>
          <w:sz w:val="20"/>
          <w:szCs w:val="20"/>
        </w:rPr>
        <w:t>ab</w:t>
      </w:r>
      <w:r w:rsidRPr="00505F99">
        <w:rPr>
          <w:rFonts w:ascii="Times New Roman" w:hAnsi="Times New Roman" w:cs="Times New Roman"/>
          <w:sz w:val="20"/>
          <w:szCs w:val="20"/>
          <w:vertAlign w:val="superscript"/>
        </w:rPr>
        <w:t>x</w:t>
      </w:r>
      <w:proofErr w:type="spellEnd"/>
    </w:p>
    <w:p w:rsidR="00273BFF" w:rsidRPr="00505F99" w:rsidRDefault="00273BFF" w:rsidP="00505F99">
      <w:pPr>
        <w:pStyle w:val="ListParagraph"/>
        <w:snapToGrid w:val="0"/>
        <w:spacing w:after="0" w:line="240" w:lineRule="auto"/>
        <w:ind w:left="0" w:firstLine="425"/>
        <w:rPr>
          <w:rFonts w:ascii="Times New Roman" w:hAnsi="Times New Roman" w:cs="Times New Roman"/>
          <w:sz w:val="20"/>
          <w:szCs w:val="20"/>
        </w:rPr>
      </w:pPr>
      <w:r w:rsidRPr="00505F99">
        <w:rPr>
          <w:rFonts w:ascii="Times New Roman" w:hAnsi="Times New Roman" w:cs="Times New Roman"/>
          <w:sz w:val="20"/>
          <w:szCs w:val="20"/>
        </w:rPr>
        <w:t>The compound growth rate = (b-1)* 100</w:t>
      </w:r>
    </w:p>
    <w:p w:rsidR="009D62C3" w:rsidRPr="00505F99" w:rsidRDefault="009D62C3" w:rsidP="00ED6D70">
      <w:pPr>
        <w:autoSpaceDE w:val="0"/>
        <w:autoSpaceDN w:val="0"/>
        <w:adjustRightInd w:val="0"/>
        <w:snapToGrid w:val="0"/>
        <w:spacing w:before="0"/>
        <w:ind w:left="0"/>
        <w:rPr>
          <w:rFonts w:ascii="Times New Roman" w:hAnsi="Times New Roman" w:cs="Times New Roman"/>
          <w:b/>
          <w:bCs/>
          <w:color w:val="000000"/>
          <w:sz w:val="20"/>
          <w:szCs w:val="20"/>
        </w:rPr>
      </w:pPr>
      <w:r w:rsidRPr="00505F99">
        <w:rPr>
          <w:rFonts w:ascii="Times New Roman" w:hAnsi="Times New Roman" w:cs="Times New Roman"/>
          <w:b/>
          <w:bCs/>
          <w:color w:val="000000"/>
          <w:sz w:val="20"/>
          <w:szCs w:val="20"/>
        </w:rPr>
        <w:t>Performance</w:t>
      </w:r>
      <w:r w:rsidR="00ED51CF" w:rsidRPr="00505F99">
        <w:rPr>
          <w:rFonts w:ascii="Times New Roman" w:hAnsi="Times New Roman" w:cs="Times New Roman"/>
          <w:b/>
          <w:bCs/>
          <w:color w:val="000000"/>
          <w:sz w:val="20"/>
          <w:szCs w:val="20"/>
        </w:rPr>
        <w:t xml:space="preserve"> of</w:t>
      </w:r>
      <w:r w:rsidRPr="00505F99">
        <w:rPr>
          <w:rFonts w:ascii="Times New Roman" w:hAnsi="Times New Roman" w:cs="Times New Roman"/>
          <w:b/>
          <w:bCs/>
          <w:color w:val="000000"/>
          <w:sz w:val="20"/>
          <w:szCs w:val="20"/>
        </w:rPr>
        <w:t xml:space="preserve"> Tertiary Sector</w:t>
      </w:r>
    </w:p>
    <w:p w:rsidR="009D62C3" w:rsidRPr="00505F99" w:rsidRDefault="009D62C3" w:rsidP="00505F99">
      <w:pPr>
        <w:autoSpaceDE w:val="0"/>
        <w:autoSpaceDN w:val="0"/>
        <w:adjustRightInd w:val="0"/>
        <w:snapToGrid w:val="0"/>
        <w:spacing w:before="0"/>
        <w:ind w:left="0" w:firstLine="425"/>
        <w:rPr>
          <w:rFonts w:ascii="Times New Roman" w:hAnsi="Times New Roman" w:cs="Times New Roman"/>
          <w:color w:val="000000"/>
          <w:sz w:val="20"/>
          <w:szCs w:val="20"/>
        </w:rPr>
      </w:pPr>
      <w:r w:rsidRPr="00505F99">
        <w:rPr>
          <w:rFonts w:ascii="Times New Roman" w:hAnsi="Times New Roman" w:cs="Times New Roman"/>
          <w:color w:val="000000"/>
          <w:sz w:val="20"/>
          <w:szCs w:val="20"/>
        </w:rPr>
        <w:t xml:space="preserve">Table-1 shows the absolute </w:t>
      </w:r>
      <w:proofErr w:type="spellStart"/>
      <w:r w:rsidRPr="00505F99">
        <w:rPr>
          <w:rFonts w:ascii="Times New Roman" w:hAnsi="Times New Roman" w:cs="Times New Roman"/>
          <w:color w:val="000000"/>
          <w:sz w:val="20"/>
          <w:szCs w:val="20"/>
        </w:rPr>
        <w:t>sectoral</w:t>
      </w:r>
      <w:proofErr w:type="spellEnd"/>
      <w:r w:rsidRPr="00505F99">
        <w:rPr>
          <w:rFonts w:ascii="Times New Roman" w:hAnsi="Times New Roman" w:cs="Times New Roman"/>
          <w:color w:val="000000"/>
          <w:sz w:val="20"/>
          <w:szCs w:val="20"/>
        </w:rPr>
        <w:t xml:space="preserve"> share in NSDP in </w:t>
      </w:r>
      <w:proofErr w:type="spellStart"/>
      <w:r w:rsidRPr="00505F99">
        <w:rPr>
          <w:rFonts w:ascii="Times New Roman" w:hAnsi="Times New Roman" w:cs="Times New Roman"/>
          <w:color w:val="000000"/>
          <w:sz w:val="20"/>
          <w:szCs w:val="20"/>
        </w:rPr>
        <w:t>Rs.crores</w:t>
      </w:r>
      <w:proofErr w:type="spellEnd"/>
      <w:r w:rsidRPr="00505F99">
        <w:rPr>
          <w:rFonts w:ascii="Times New Roman" w:hAnsi="Times New Roman" w:cs="Times New Roman"/>
          <w:color w:val="000000"/>
          <w:sz w:val="20"/>
          <w:szCs w:val="20"/>
        </w:rPr>
        <w:t xml:space="preserve">. At current prices,(in 1980-81) the absolute share of tertiary sector was Rs.1051.93 </w:t>
      </w:r>
      <w:proofErr w:type="spellStart"/>
      <w:r w:rsidRPr="00505F99">
        <w:rPr>
          <w:rFonts w:ascii="Times New Roman" w:hAnsi="Times New Roman" w:cs="Times New Roman"/>
          <w:color w:val="000000"/>
          <w:sz w:val="20"/>
          <w:szCs w:val="20"/>
        </w:rPr>
        <w:t>crores</w:t>
      </w:r>
      <w:proofErr w:type="spellEnd"/>
      <w:r w:rsidRPr="00505F99">
        <w:rPr>
          <w:rFonts w:ascii="Times New Roman" w:hAnsi="Times New Roman" w:cs="Times New Roman"/>
          <w:color w:val="000000"/>
          <w:sz w:val="20"/>
          <w:szCs w:val="20"/>
        </w:rPr>
        <w:t xml:space="preserve"> which increased to Rs.43716.38 </w:t>
      </w:r>
      <w:proofErr w:type="spellStart"/>
      <w:r w:rsidRPr="00505F99">
        <w:rPr>
          <w:rFonts w:ascii="Times New Roman" w:hAnsi="Times New Roman" w:cs="Times New Roman"/>
          <w:color w:val="000000"/>
          <w:sz w:val="20"/>
          <w:szCs w:val="20"/>
        </w:rPr>
        <w:t>crores</w:t>
      </w:r>
      <w:proofErr w:type="spellEnd"/>
      <w:r w:rsidRPr="00505F99">
        <w:rPr>
          <w:rFonts w:ascii="Times New Roman" w:hAnsi="Times New Roman" w:cs="Times New Roman"/>
          <w:color w:val="000000"/>
          <w:sz w:val="20"/>
          <w:szCs w:val="20"/>
        </w:rPr>
        <w:t xml:space="preserve"> in 2010-11,showing an increase of 41.56 times while as at constant prices (at 1993-94 prices), (in 1980-81) the absolute share of tertiary sector was Rs.3793.52 </w:t>
      </w:r>
      <w:proofErr w:type="spellStart"/>
      <w:r w:rsidRPr="00505F99">
        <w:rPr>
          <w:rFonts w:ascii="Times New Roman" w:hAnsi="Times New Roman" w:cs="Times New Roman"/>
          <w:color w:val="000000"/>
          <w:sz w:val="20"/>
          <w:szCs w:val="20"/>
        </w:rPr>
        <w:t>crores</w:t>
      </w:r>
      <w:proofErr w:type="spellEnd"/>
      <w:r w:rsidRPr="00505F99">
        <w:rPr>
          <w:rFonts w:ascii="Times New Roman" w:hAnsi="Times New Roman" w:cs="Times New Roman"/>
          <w:color w:val="000000"/>
          <w:sz w:val="20"/>
          <w:szCs w:val="20"/>
        </w:rPr>
        <w:t xml:space="preserve"> which increased to Rs.17380.16 </w:t>
      </w:r>
      <w:proofErr w:type="spellStart"/>
      <w:r w:rsidRPr="00505F99">
        <w:rPr>
          <w:rFonts w:ascii="Times New Roman" w:hAnsi="Times New Roman" w:cs="Times New Roman"/>
          <w:color w:val="000000"/>
          <w:sz w:val="20"/>
          <w:szCs w:val="20"/>
        </w:rPr>
        <w:t>crores</w:t>
      </w:r>
      <w:proofErr w:type="spellEnd"/>
      <w:r w:rsidRPr="00505F99">
        <w:rPr>
          <w:rFonts w:ascii="Times New Roman" w:hAnsi="Times New Roman" w:cs="Times New Roman"/>
          <w:color w:val="000000"/>
          <w:sz w:val="20"/>
          <w:szCs w:val="20"/>
        </w:rPr>
        <w:t xml:space="preserve"> in 2010-11, showing an increase of 4.58 times</w:t>
      </w:r>
    </w:p>
    <w:p w:rsidR="009D62C3" w:rsidRPr="00505F99" w:rsidRDefault="009D62C3" w:rsidP="00505F99">
      <w:pPr>
        <w:autoSpaceDE w:val="0"/>
        <w:autoSpaceDN w:val="0"/>
        <w:adjustRightInd w:val="0"/>
        <w:snapToGrid w:val="0"/>
        <w:spacing w:before="0"/>
        <w:ind w:left="0" w:firstLine="425"/>
        <w:rPr>
          <w:rFonts w:ascii="Times New Roman" w:hAnsi="Times New Roman" w:cs="Times New Roman"/>
          <w:color w:val="000000"/>
          <w:sz w:val="20"/>
          <w:szCs w:val="20"/>
        </w:rPr>
      </w:pPr>
      <w:r w:rsidRPr="00505F99">
        <w:rPr>
          <w:rFonts w:ascii="Times New Roman" w:hAnsi="Times New Roman" w:cs="Times New Roman"/>
          <w:color w:val="000000"/>
          <w:sz w:val="20"/>
          <w:szCs w:val="20"/>
        </w:rPr>
        <w:t xml:space="preserve">Table-2 shows the </w:t>
      </w:r>
      <w:proofErr w:type="spellStart"/>
      <w:r w:rsidRPr="00505F99">
        <w:rPr>
          <w:rFonts w:ascii="Times New Roman" w:hAnsi="Times New Roman" w:cs="Times New Roman"/>
          <w:color w:val="000000"/>
          <w:sz w:val="20"/>
          <w:szCs w:val="20"/>
        </w:rPr>
        <w:t>sectoral</w:t>
      </w:r>
      <w:proofErr w:type="spellEnd"/>
      <w:r w:rsidRPr="00505F99">
        <w:rPr>
          <w:rFonts w:ascii="Times New Roman" w:hAnsi="Times New Roman" w:cs="Times New Roman"/>
          <w:color w:val="000000"/>
          <w:sz w:val="20"/>
          <w:szCs w:val="20"/>
        </w:rPr>
        <w:t xml:space="preserve"> share to NSDP in percentage. At current prices,(in 1980-81) the % share of tertiary sector to NSDP was 39.61% which increased to 49.95% in 2010-11,showing an increase of 10.34 percentage points while as at constant prices (at 1993-94 prices), (in 1980-81) the %share of tertiary sector was 39.70%which increased to 52.26% in 2010-11, showing an increase of 12.56 percentage points</w:t>
      </w:r>
    </w:p>
    <w:p w:rsidR="009D62C3" w:rsidRPr="00505F99" w:rsidRDefault="009D62C3" w:rsidP="00505F99">
      <w:pPr>
        <w:autoSpaceDE w:val="0"/>
        <w:autoSpaceDN w:val="0"/>
        <w:adjustRightInd w:val="0"/>
        <w:snapToGrid w:val="0"/>
        <w:spacing w:before="0"/>
        <w:ind w:left="0" w:firstLine="425"/>
        <w:rPr>
          <w:rFonts w:ascii="Times New Roman" w:hAnsi="Times New Roman" w:cs="Times New Roman"/>
          <w:color w:val="000000"/>
          <w:sz w:val="20"/>
          <w:szCs w:val="20"/>
        </w:rPr>
      </w:pPr>
      <w:r w:rsidRPr="00505F99">
        <w:rPr>
          <w:rFonts w:ascii="Times New Roman" w:hAnsi="Times New Roman" w:cs="Times New Roman"/>
          <w:color w:val="000000"/>
          <w:sz w:val="20"/>
          <w:szCs w:val="20"/>
        </w:rPr>
        <w:lastRenderedPageBreak/>
        <w:t xml:space="preserve">Table-3 shows per capita income share of tertiary sector to NSDP in rupees. At current prices, (in 1980-81), the share of tertiary sector was Rs.1780 which increased to Rs.37496 in 2010-11,showing an increase of Rs.35716 (i.e. 21.07 times) while as at constant prices (at 1993-94 prices), (in 1980-81) the share of tertiary sector was </w:t>
      </w:r>
      <w:proofErr w:type="spellStart"/>
      <w:r w:rsidRPr="00505F99">
        <w:rPr>
          <w:rFonts w:ascii="Times New Roman" w:hAnsi="Times New Roman" w:cs="Times New Roman"/>
          <w:color w:val="000000"/>
          <w:sz w:val="20"/>
          <w:szCs w:val="20"/>
        </w:rPr>
        <w:t>Rs</w:t>
      </w:r>
      <w:proofErr w:type="spellEnd"/>
      <w:r w:rsidRPr="00505F99">
        <w:rPr>
          <w:rFonts w:ascii="Times New Roman" w:hAnsi="Times New Roman" w:cs="Times New Roman"/>
          <w:color w:val="000000"/>
          <w:sz w:val="20"/>
          <w:szCs w:val="20"/>
        </w:rPr>
        <w:t>. 6419 which increased to Rs.14907 in 2010-11, showing an increase of Rs.8488 (i.e.2.32) times.</w:t>
      </w:r>
    </w:p>
    <w:p w:rsidR="009D62C3" w:rsidRPr="00505F99" w:rsidRDefault="009D62C3" w:rsidP="00505F99">
      <w:pPr>
        <w:autoSpaceDE w:val="0"/>
        <w:autoSpaceDN w:val="0"/>
        <w:adjustRightInd w:val="0"/>
        <w:snapToGrid w:val="0"/>
        <w:spacing w:before="0"/>
        <w:ind w:left="0" w:firstLine="425"/>
        <w:rPr>
          <w:rFonts w:ascii="Times New Roman" w:hAnsi="Times New Roman" w:cs="Times New Roman"/>
          <w:color w:val="000000"/>
          <w:sz w:val="20"/>
          <w:szCs w:val="20"/>
        </w:rPr>
      </w:pPr>
      <w:r w:rsidRPr="00505F99">
        <w:rPr>
          <w:rFonts w:ascii="Times New Roman" w:hAnsi="Times New Roman" w:cs="Times New Roman"/>
          <w:color w:val="000000"/>
          <w:sz w:val="20"/>
          <w:szCs w:val="20"/>
        </w:rPr>
        <w:t>During the first five year of reference time period, Average Annual Growth Rate of tertiary Sector to NSDP was 13.36 per cent at current prices which decreased to 8.85 per cent during the second five year which is the least in the entire reference period. However, during the third five year time period, average annual growth rate improved to 18.30 per cent which is the maximum growth rate during the reference period. It decreased to 14.99 percent during the fourth five year, 9.6 percent in fifth five year and finally increased back to 14.08 percent during the sixth five year of the reference period.</w:t>
      </w:r>
    </w:p>
    <w:p w:rsidR="009D62C3" w:rsidRPr="00505F99" w:rsidRDefault="009D62C3" w:rsidP="00505F99">
      <w:pPr>
        <w:autoSpaceDE w:val="0"/>
        <w:autoSpaceDN w:val="0"/>
        <w:adjustRightInd w:val="0"/>
        <w:snapToGrid w:val="0"/>
        <w:spacing w:before="0"/>
        <w:ind w:left="0" w:firstLine="425"/>
        <w:rPr>
          <w:rFonts w:ascii="Times New Roman" w:hAnsi="Times New Roman" w:cs="Times New Roman"/>
          <w:color w:val="000000"/>
          <w:sz w:val="20"/>
          <w:szCs w:val="20"/>
        </w:rPr>
      </w:pPr>
      <w:r w:rsidRPr="00505F99">
        <w:rPr>
          <w:rFonts w:ascii="Times New Roman" w:hAnsi="Times New Roman" w:cs="Times New Roman"/>
          <w:color w:val="000000"/>
          <w:sz w:val="20"/>
          <w:szCs w:val="20"/>
        </w:rPr>
        <w:t>The average annual growth rate of tertiary sector in NSDP at current prices was 11.10 percent for the first decade (refer to table-4) while it reached to maximum level during the second decade (i.e. 16.65 percent) and finally it slumped down to 11.84 percent during the last and the final decade of the reference time period.</w:t>
      </w:r>
    </w:p>
    <w:p w:rsidR="009D62C3" w:rsidRPr="00505F99" w:rsidRDefault="009D62C3" w:rsidP="00505F99">
      <w:pPr>
        <w:autoSpaceDE w:val="0"/>
        <w:autoSpaceDN w:val="0"/>
        <w:adjustRightInd w:val="0"/>
        <w:snapToGrid w:val="0"/>
        <w:spacing w:before="0"/>
        <w:ind w:left="0" w:firstLine="425"/>
        <w:rPr>
          <w:rFonts w:ascii="Times New Roman" w:hAnsi="Times New Roman" w:cs="Times New Roman"/>
          <w:color w:val="000000"/>
          <w:sz w:val="20"/>
          <w:szCs w:val="20"/>
        </w:rPr>
      </w:pPr>
      <w:r w:rsidRPr="00505F99">
        <w:rPr>
          <w:rFonts w:ascii="Times New Roman" w:hAnsi="Times New Roman" w:cs="Times New Roman"/>
          <w:color w:val="000000"/>
          <w:sz w:val="20"/>
          <w:szCs w:val="20"/>
        </w:rPr>
        <w:t>The average annual growth rate of tertiary sector in NSDP at current prices was 13.20 percent for the whole reference time period (refer to table-5)</w:t>
      </w:r>
    </w:p>
    <w:p w:rsidR="009D62C3" w:rsidRPr="00505F99" w:rsidRDefault="009D62C3" w:rsidP="00505F99">
      <w:pPr>
        <w:autoSpaceDE w:val="0"/>
        <w:autoSpaceDN w:val="0"/>
        <w:adjustRightInd w:val="0"/>
        <w:snapToGrid w:val="0"/>
        <w:spacing w:before="0"/>
        <w:ind w:left="0" w:firstLine="425"/>
        <w:rPr>
          <w:rFonts w:ascii="Times New Roman" w:hAnsi="Times New Roman" w:cs="Times New Roman"/>
          <w:color w:val="000000"/>
          <w:sz w:val="20"/>
          <w:szCs w:val="20"/>
        </w:rPr>
      </w:pPr>
      <w:r w:rsidRPr="00505F99">
        <w:rPr>
          <w:rFonts w:ascii="Times New Roman" w:hAnsi="Times New Roman" w:cs="Times New Roman"/>
          <w:color w:val="000000"/>
          <w:sz w:val="20"/>
          <w:szCs w:val="20"/>
        </w:rPr>
        <w:t>Similarly, average annual growth rate of tertiary Sector in NSDP at constant prices rises continuously during the reference period. It was 3.40 percent during the first five year and increased continuously to the maximum 12.49 percent during the last five year.</w:t>
      </w:r>
    </w:p>
    <w:p w:rsidR="009D62C3" w:rsidRPr="00505F99" w:rsidRDefault="009D62C3" w:rsidP="00505F99">
      <w:pPr>
        <w:autoSpaceDE w:val="0"/>
        <w:autoSpaceDN w:val="0"/>
        <w:adjustRightInd w:val="0"/>
        <w:snapToGrid w:val="0"/>
        <w:spacing w:before="0"/>
        <w:ind w:left="0" w:firstLine="425"/>
        <w:rPr>
          <w:rFonts w:ascii="Times New Roman" w:hAnsi="Times New Roman" w:cs="Times New Roman"/>
          <w:color w:val="000000"/>
          <w:sz w:val="20"/>
          <w:szCs w:val="20"/>
        </w:rPr>
      </w:pPr>
      <w:r w:rsidRPr="00505F99">
        <w:rPr>
          <w:rFonts w:ascii="Times New Roman" w:hAnsi="Times New Roman" w:cs="Times New Roman"/>
          <w:color w:val="000000"/>
          <w:sz w:val="20"/>
          <w:szCs w:val="20"/>
        </w:rPr>
        <w:t>The average annual growth rate of tertiary sector to NSDP at constant prices was 3.78 percent for the first decade (refer to table-4) while it improved continuously during the second (i.e.4.79 percent) and the third decade (i.e. 9.41 percent) of the reference time period.</w:t>
      </w:r>
    </w:p>
    <w:p w:rsidR="009D62C3" w:rsidRPr="00505F99" w:rsidRDefault="009D62C3" w:rsidP="00505F99">
      <w:pPr>
        <w:autoSpaceDE w:val="0"/>
        <w:autoSpaceDN w:val="0"/>
        <w:adjustRightInd w:val="0"/>
        <w:snapToGrid w:val="0"/>
        <w:spacing w:before="0"/>
        <w:ind w:left="0" w:firstLine="425"/>
        <w:rPr>
          <w:rFonts w:ascii="Times New Roman" w:hAnsi="Times New Roman" w:cs="Times New Roman"/>
          <w:color w:val="000000"/>
          <w:sz w:val="20"/>
          <w:szCs w:val="20"/>
        </w:rPr>
      </w:pPr>
      <w:r w:rsidRPr="00505F99">
        <w:rPr>
          <w:rFonts w:ascii="Times New Roman" w:hAnsi="Times New Roman" w:cs="Times New Roman"/>
          <w:color w:val="000000"/>
          <w:sz w:val="20"/>
          <w:szCs w:val="20"/>
        </w:rPr>
        <w:t>The average annual growth rate of tertiary sector to NSDP at constant prices was 5.99 percent for the whole reference time period (refer to table-5)</w:t>
      </w:r>
    </w:p>
    <w:p w:rsidR="009D62C3" w:rsidRPr="00505F99" w:rsidRDefault="009D62C3" w:rsidP="00505F99">
      <w:pPr>
        <w:autoSpaceDE w:val="0"/>
        <w:autoSpaceDN w:val="0"/>
        <w:adjustRightInd w:val="0"/>
        <w:snapToGrid w:val="0"/>
        <w:spacing w:before="0"/>
        <w:ind w:left="0" w:firstLine="425"/>
        <w:rPr>
          <w:rFonts w:ascii="Times New Roman" w:hAnsi="Times New Roman" w:cs="Times New Roman"/>
          <w:color w:val="000000"/>
          <w:sz w:val="20"/>
          <w:szCs w:val="20"/>
        </w:rPr>
      </w:pPr>
      <w:r w:rsidRPr="00505F99">
        <w:rPr>
          <w:rFonts w:ascii="Times New Roman" w:hAnsi="Times New Roman" w:cs="Times New Roman"/>
          <w:color w:val="000000"/>
          <w:sz w:val="20"/>
          <w:szCs w:val="20"/>
        </w:rPr>
        <w:t>The compound growth rate of tertiary sector in NSDP at current prices was 12.57 percent for the first decade (refer to table-4) while it reached to maximum level during the second decade (i.e. 18.92 percent) and finally it slumped down to 12.57 percent during the last and the final decade of the reference time period.</w:t>
      </w:r>
    </w:p>
    <w:p w:rsidR="009D62C3" w:rsidRPr="00505F99" w:rsidRDefault="009D62C3" w:rsidP="00505F99">
      <w:pPr>
        <w:autoSpaceDE w:val="0"/>
        <w:autoSpaceDN w:val="0"/>
        <w:adjustRightInd w:val="0"/>
        <w:snapToGrid w:val="0"/>
        <w:spacing w:before="0"/>
        <w:ind w:left="0" w:firstLine="425"/>
        <w:rPr>
          <w:rFonts w:ascii="Times New Roman" w:hAnsi="Times New Roman" w:cs="Times New Roman"/>
          <w:color w:val="000000"/>
          <w:sz w:val="20"/>
          <w:szCs w:val="20"/>
        </w:rPr>
      </w:pPr>
      <w:r w:rsidRPr="00505F99">
        <w:rPr>
          <w:rFonts w:ascii="Times New Roman" w:hAnsi="Times New Roman" w:cs="Times New Roman"/>
          <w:color w:val="000000"/>
          <w:sz w:val="20"/>
          <w:szCs w:val="20"/>
        </w:rPr>
        <w:t>The compound growth rate of primary sector to NSDP at current prices was 14.25 percent for the whole reference time period (refer to table-5)</w:t>
      </w:r>
    </w:p>
    <w:p w:rsidR="009D62C3" w:rsidRPr="00505F99" w:rsidRDefault="009D62C3" w:rsidP="00505F99">
      <w:pPr>
        <w:autoSpaceDE w:val="0"/>
        <w:autoSpaceDN w:val="0"/>
        <w:adjustRightInd w:val="0"/>
        <w:snapToGrid w:val="0"/>
        <w:spacing w:before="0"/>
        <w:ind w:left="0" w:firstLine="425"/>
        <w:rPr>
          <w:rFonts w:ascii="Times New Roman" w:hAnsi="Times New Roman" w:cs="Times New Roman"/>
          <w:color w:val="000000"/>
          <w:sz w:val="20"/>
          <w:szCs w:val="20"/>
        </w:rPr>
      </w:pPr>
      <w:r w:rsidRPr="00505F99">
        <w:rPr>
          <w:rFonts w:ascii="Times New Roman" w:hAnsi="Times New Roman" w:cs="Times New Roman"/>
          <w:color w:val="000000"/>
          <w:sz w:val="20"/>
          <w:szCs w:val="20"/>
        </w:rPr>
        <w:lastRenderedPageBreak/>
        <w:t>Similarly, the compound growth rate of tertiary sector to NSDP at constant prices was 3.57 percent for the first decade (refer to table-4) while it reached to maximum level during the third decade (i.e. 9.95 percent) and it slumped down to 5.25 percent during the second decade of the reference time period.</w:t>
      </w:r>
    </w:p>
    <w:p w:rsidR="009D62C3" w:rsidRDefault="009D62C3" w:rsidP="00505F99">
      <w:pPr>
        <w:autoSpaceDE w:val="0"/>
        <w:autoSpaceDN w:val="0"/>
        <w:adjustRightInd w:val="0"/>
        <w:snapToGrid w:val="0"/>
        <w:spacing w:before="0"/>
        <w:ind w:left="0" w:firstLine="425"/>
        <w:rPr>
          <w:rFonts w:ascii="Times New Roman" w:hAnsi="Times New Roman" w:cs="Times New Roman"/>
          <w:color w:val="000000"/>
          <w:sz w:val="20"/>
          <w:szCs w:val="20"/>
          <w:lang w:eastAsia="zh-CN"/>
        </w:rPr>
      </w:pPr>
      <w:r w:rsidRPr="00505F99">
        <w:rPr>
          <w:rFonts w:ascii="Times New Roman" w:hAnsi="Times New Roman" w:cs="Times New Roman"/>
          <w:color w:val="000000"/>
          <w:sz w:val="20"/>
          <w:szCs w:val="20"/>
        </w:rPr>
        <w:t>The compound growth rate of primary sector in NSDP at constant prices was 5.49 percent for the whole reference time period</w:t>
      </w:r>
      <w:r w:rsidR="001877EA" w:rsidRPr="00505F99">
        <w:rPr>
          <w:rFonts w:ascii="Times New Roman" w:hAnsi="Times New Roman" w:cs="Times New Roman"/>
          <w:color w:val="000000"/>
          <w:sz w:val="20"/>
          <w:szCs w:val="20"/>
        </w:rPr>
        <w:t>.</w:t>
      </w:r>
    </w:p>
    <w:p w:rsidR="00505F99" w:rsidRPr="00505F99" w:rsidRDefault="00505F99" w:rsidP="00505F99">
      <w:pPr>
        <w:autoSpaceDE w:val="0"/>
        <w:autoSpaceDN w:val="0"/>
        <w:adjustRightInd w:val="0"/>
        <w:snapToGrid w:val="0"/>
        <w:spacing w:before="0"/>
        <w:ind w:left="0" w:firstLine="425"/>
        <w:rPr>
          <w:rFonts w:ascii="Times New Roman" w:hAnsi="Times New Roman" w:cs="Times New Roman"/>
          <w:color w:val="000000"/>
          <w:sz w:val="20"/>
          <w:szCs w:val="20"/>
          <w:lang w:eastAsia="zh-CN"/>
        </w:rPr>
      </w:pPr>
    </w:p>
    <w:p w:rsidR="00ED6D70" w:rsidRDefault="00ED6D70" w:rsidP="00505F99">
      <w:pPr>
        <w:pStyle w:val="ListParagraph"/>
        <w:snapToGrid w:val="0"/>
        <w:spacing w:after="0" w:line="240" w:lineRule="auto"/>
        <w:ind w:left="0"/>
        <w:rPr>
          <w:rFonts w:ascii="Times New Roman" w:hAnsi="Times New Roman" w:cs="Times New Roman"/>
          <w:sz w:val="20"/>
          <w:szCs w:val="20"/>
          <w:lang w:eastAsia="zh-CN"/>
        </w:rPr>
      </w:pPr>
    </w:p>
    <w:p w:rsidR="00505F99" w:rsidRPr="00505F99" w:rsidRDefault="00505F99" w:rsidP="00505F99">
      <w:pPr>
        <w:pStyle w:val="ListParagraph"/>
        <w:snapToGrid w:val="0"/>
        <w:spacing w:after="0" w:line="240" w:lineRule="auto"/>
        <w:ind w:left="0"/>
        <w:rPr>
          <w:rFonts w:ascii="Times New Roman" w:hAnsi="Times New Roman" w:cs="Times New Roman"/>
          <w:sz w:val="20"/>
          <w:szCs w:val="20"/>
        </w:rPr>
        <w:sectPr w:rsidR="00505F99" w:rsidRPr="00505F99" w:rsidSect="00177793">
          <w:headerReference w:type="default" r:id="rId17"/>
          <w:footerReference w:type="default" r:id="rId18"/>
          <w:type w:val="continuous"/>
          <w:pgSz w:w="12240" w:h="15840" w:code="1"/>
          <w:pgMar w:top="1440" w:right="1440" w:bottom="1440" w:left="1440" w:header="720" w:footer="720" w:gutter="0"/>
          <w:cols w:num="2" w:space="720"/>
          <w:docGrid w:linePitch="360"/>
        </w:sectPr>
      </w:pPr>
    </w:p>
    <w:p w:rsidR="00633BAB" w:rsidRDefault="00633BAB" w:rsidP="00505F99">
      <w:pPr>
        <w:pStyle w:val="ListParagraph"/>
        <w:snapToGrid w:val="0"/>
        <w:spacing w:after="0" w:line="240" w:lineRule="auto"/>
        <w:ind w:left="0" w:firstLine="425"/>
        <w:rPr>
          <w:rFonts w:ascii="Times New Roman" w:hAnsi="Times New Roman" w:cs="Times New Roman"/>
          <w:sz w:val="20"/>
          <w:szCs w:val="20"/>
        </w:rPr>
      </w:pPr>
    </w:p>
    <w:p w:rsidR="004B22CE" w:rsidRPr="00505F99" w:rsidRDefault="004B22CE" w:rsidP="004B22CE">
      <w:pPr>
        <w:pStyle w:val="ListParagraph"/>
        <w:snapToGrid w:val="0"/>
        <w:spacing w:after="0" w:line="240" w:lineRule="auto"/>
        <w:ind w:left="0"/>
        <w:rPr>
          <w:rFonts w:ascii="Times New Roman" w:hAnsi="Times New Roman" w:cs="Times New Roman"/>
          <w:sz w:val="20"/>
          <w:szCs w:val="20"/>
        </w:rPr>
      </w:pPr>
      <w:r w:rsidRPr="00505F99">
        <w:rPr>
          <w:rFonts w:ascii="Times New Roman" w:eastAsia="Times New Roman" w:hAnsi="Times New Roman" w:cs="Times New Roman"/>
          <w:b/>
          <w:bCs/>
          <w:color w:val="000000"/>
          <w:sz w:val="20"/>
          <w:szCs w:val="20"/>
        </w:rPr>
        <w:t xml:space="preserve">Percentage  share of Tertiary sector  to NSDP in </w:t>
      </w:r>
      <w:proofErr w:type="spellStart"/>
      <w:r w:rsidRPr="00505F99">
        <w:rPr>
          <w:rFonts w:ascii="Times New Roman" w:eastAsia="Times New Roman" w:hAnsi="Times New Roman" w:cs="Times New Roman"/>
          <w:b/>
          <w:bCs/>
          <w:color w:val="000000"/>
          <w:sz w:val="20"/>
          <w:szCs w:val="20"/>
        </w:rPr>
        <w:t>Rs.crores</w:t>
      </w:r>
      <w:proofErr w:type="spellEnd"/>
      <w:r w:rsidRPr="00505F99">
        <w:rPr>
          <w:rFonts w:ascii="Times New Roman" w:eastAsia="Times New Roman" w:hAnsi="Times New Roman" w:cs="Times New Roman"/>
          <w:b/>
          <w:bCs/>
          <w:color w:val="000000"/>
          <w:sz w:val="20"/>
          <w:szCs w:val="20"/>
        </w:rPr>
        <w:t xml:space="preserve">  (1981-2011)</w:t>
      </w:r>
    </w:p>
    <w:tbl>
      <w:tblPr>
        <w:tblW w:w="4099" w:type="pct"/>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1"/>
        <w:gridCol w:w="2685"/>
        <w:gridCol w:w="2834"/>
      </w:tblGrid>
      <w:tr w:rsidR="004B22CE" w:rsidRPr="00505F99" w:rsidTr="004B22CE">
        <w:trPr>
          <w:jc w:val="center"/>
        </w:trPr>
        <w:tc>
          <w:tcPr>
            <w:tcW w:w="1485" w:type="pct"/>
            <w:vMerge w:val="restart"/>
            <w:shd w:val="clear" w:color="000000" w:fill="FFFFFF"/>
            <w:noWrap/>
            <w:vAlign w:val="center"/>
            <w:hideMark/>
          </w:tcPr>
          <w:p w:rsidR="004B22CE" w:rsidRPr="00505F99" w:rsidRDefault="004B22CE" w:rsidP="008B706C">
            <w:pPr>
              <w:snapToGrid w:val="0"/>
              <w:spacing w:before="0"/>
              <w:ind w:left="0"/>
              <w:jc w:val="center"/>
              <w:rPr>
                <w:rFonts w:ascii="Times New Roman" w:eastAsia="Times New Roman" w:hAnsi="Times New Roman" w:cs="Times New Roman"/>
                <w:b/>
                <w:bCs/>
                <w:color w:val="000000"/>
                <w:sz w:val="18"/>
                <w:szCs w:val="20"/>
              </w:rPr>
            </w:pPr>
            <w:r w:rsidRPr="00505F99">
              <w:rPr>
                <w:rFonts w:ascii="Times New Roman" w:eastAsia="Times New Roman" w:hAnsi="Times New Roman" w:cs="Times New Roman"/>
                <w:b/>
                <w:bCs/>
                <w:color w:val="000000"/>
                <w:sz w:val="18"/>
                <w:szCs w:val="20"/>
              </w:rPr>
              <w:t>Year</w:t>
            </w:r>
          </w:p>
        </w:tc>
        <w:tc>
          <w:tcPr>
            <w:tcW w:w="3515" w:type="pct"/>
            <w:gridSpan w:val="2"/>
            <w:shd w:val="clear" w:color="auto" w:fill="auto"/>
            <w:noWrap/>
            <w:vAlign w:val="center"/>
            <w:hideMark/>
          </w:tcPr>
          <w:p w:rsidR="004B22CE" w:rsidRPr="00505F99" w:rsidRDefault="004B22CE" w:rsidP="008B706C">
            <w:pPr>
              <w:snapToGrid w:val="0"/>
              <w:spacing w:before="0"/>
              <w:ind w:left="0"/>
              <w:jc w:val="center"/>
              <w:rPr>
                <w:rFonts w:ascii="Times New Roman" w:eastAsia="Times New Roman" w:hAnsi="Times New Roman" w:cs="Times New Roman"/>
                <w:color w:val="000000"/>
                <w:sz w:val="18"/>
                <w:szCs w:val="20"/>
              </w:rPr>
            </w:pPr>
            <w:r w:rsidRPr="00505F99">
              <w:rPr>
                <w:rFonts w:ascii="Times New Roman" w:eastAsia="Times New Roman" w:hAnsi="Times New Roman" w:cs="Times New Roman"/>
                <w:color w:val="000000"/>
                <w:sz w:val="18"/>
                <w:szCs w:val="20"/>
              </w:rPr>
              <w:t>Tertiary Sector</w:t>
            </w:r>
          </w:p>
        </w:tc>
      </w:tr>
      <w:tr w:rsidR="004B22CE" w:rsidRPr="00505F99" w:rsidTr="004B22CE">
        <w:trPr>
          <w:jc w:val="center"/>
        </w:trPr>
        <w:tc>
          <w:tcPr>
            <w:tcW w:w="1485" w:type="pct"/>
            <w:vMerge/>
            <w:vAlign w:val="center"/>
            <w:hideMark/>
          </w:tcPr>
          <w:p w:rsidR="004B22CE" w:rsidRPr="00505F99" w:rsidRDefault="004B22CE" w:rsidP="008B706C">
            <w:pPr>
              <w:snapToGrid w:val="0"/>
              <w:spacing w:before="0"/>
              <w:ind w:left="0"/>
              <w:jc w:val="center"/>
              <w:rPr>
                <w:rFonts w:ascii="Times New Roman" w:eastAsia="Times New Roman" w:hAnsi="Times New Roman" w:cs="Times New Roman"/>
                <w:b/>
                <w:bCs/>
                <w:color w:val="000000"/>
                <w:sz w:val="18"/>
                <w:szCs w:val="20"/>
              </w:rPr>
            </w:pPr>
          </w:p>
        </w:tc>
        <w:tc>
          <w:tcPr>
            <w:tcW w:w="1710" w:type="pct"/>
            <w:shd w:val="clear" w:color="auto" w:fill="auto"/>
            <w:noWrap/>
            <w:vAlign w:val="center"/>
            <w:hideMark/>
          </w:tcPr>
          <w:p w:rsidR="004B22CE" w:rsidRPr="00505F99" w:rsidRDefault="004B22CE" w:rsidP="008B706C">
            <w:pPr>
              <w:snapToGrid w:val="0"/>
              <w:spacing w:before="0"/>
              <w:ind w:left="0"/>
              <w:jc w:val="center"/>
              <w:rPr>
                <w:rFonts w:ascii="Times New Roman" w:eastAsia="Times New Roman" w:hAnsi="Times New Roman" w:cs="Times New Roman"/>
                <w:color w:val="000000"/>
                <w:sz w:val="18"/>
                <w:szCs w:val="20"/>
              </w:rPr>
            </w:pPr>
            <w:proofErr w:type="spellStart"/>
            <w:r w:rsidRPr="00505F99">
              <w:rPr>
                <w:rFonts w:ascii="Times New Roman" w:eastAsia="Times New Roman" w:hAnsi="Times New Roman" w:cs="Times New Roman"/>
                <w:color w:val="000000"/>
                <w:sz w:val="18"/>
                <w:szCs w:val="20"/>
              </w:rPr>
              <w:t>Cn</w:t>
            </w:r>
            <w:proofErr w:type="spellEnd"/>
            <w:r w:rsidRPr="00505F99">
              <w:rPr>
                <w:rFonts w:ascii="Times New Roman" w:eastAsia="Times New Roman" w:hAnsi="Times New Roman" w:cs="Times New Roman"/>
                <w:color w:val="000000"/>
                <w:sz w:val="18"/>
                <w:szCs w:val="20"/>
              </w:rPr>
              <w:t>.</w:t>
            </w:r>
            <w:r>
              <w:rPr>
                <w:rFonts w:ascii="Times New Roman" w:eastAsia="Times New Roman" w:hAnsi="Times New Roman" w:cs="Times New Roman"/>
                <w:color w:val="000000"/>
                <w:sz w:val="18"/>
                <w:szCs w:val="20"/>
              </w:rPr>
              <w:t xml:space="preserve"> </w:t>
            </w:r>
            <w:r w:rsidRPr="00505F99">
              <w:rPr>
                <w:rFonts w:ascii="Times New Roman" w:eastAsia="Times New Roman" w:hAnsi="Times New Roman" w:cs="Times New Roman"/>
                <w:color w:val="000000"/>
                <w:sz w:val="18"/>
                <w:szCs w:val="20"/>
              </w:rPr>
              <w:t>Prices</w:t>
            </w:r>
          </w:p>
        </w:tc>
        <w:tc>
          <w:tcPr>
            <w:tcW w:w="1805" w:type="pct"/>
            <w:shd w:val="clear" w:color="auto" w:fill="auto"/>
            <w:noWrap/>
            <w:vAlign w:val="center"/>
            <w:hideMark/>
          </w:tcPr>
          <w:p w:rsidR="004B22CE" w:rsidRPr="00505F99" w:rsidRDefault="004B22CE" w:rsidP="008B706C">
            <w:pPr>
              <w:snapToGrid w:val="0"/>
              <w:spacing w:before="0"/>
              <w:ind w:left="0"/>
              <w:jc w:val="center"/>
              <w:rPr>
                <w:rFonts w:ascii="Times New Roman" w:eastAsia="Times New Roman" w:hAnsi="Times New Roman" w:cs="Times New Roman"/>
                <w:color w:val="000000"/>
                <w:sz w:val="18"/>
                <w:szCs w:val="20"/>
              </w:rPr>
            </w:pPr>
            <w:r w:rsidRPr="00505F99">
              <w:rPr>
                <w:rFonts w:ascii="Times New Roman" w:eastAsia="Times New Roman" w:hAnsi="Times New Roman" w:cs="Times New Roman"/>
                <w:color w:val="000000"/>
                <w:sz w:val="18"/>
                <w:szCs w:val="20"/>
              </w:rPr>
              <w:t>Ct.</w:t>
            </w:r>
            <w:r>
              <w:rPr>
                <w:rFonts w:ascii="Times New Roman" w:eastAsia="Times New Roman" w:hAnsi="Times New Roman" w:cs="Times New Roman"/>
                <w:color w:val="000000"/>
                <w:sz w:val="18"/>
                <w:szCs w:val="20"/>
              </w:rPr>
              <w:t xml:space="preserve"> </w:t>
            </w:r>
            <w:r w:rsidRPr="00505F99">
              <w:rPr>
                <w:rFonts w:ascii="Times New Roman" w:eastAsia="Times New Roman" w:hAnsi="Times New Roman" w:cs="Times New Roman"/>
                <w:color w:val="000000"/>
                <w:sz w:val="18"/>
                <w:szCs w:val="20"/>
              </w:rPr>
              <w:t>Prices</w:t>
            </w:r>
          </w:p>
        </w:tc>
      </w:tr>
      <w:tr w:rsidR="004B22CE" w:rsidRPr="00505F99" w:rsidTr="004B22CE">
        <w:trPr>
          <w:jc w:val="center"/>
        </w:trPr>
        <w:tc>
          <w:tcPr>
            <w:tcW w:w="1485" w:type="pct"/>
            <w:shd w:val="clear" w:color="000000" w:fill="FFFFFF"/>
            <w:noWrap/>
            <w:vAlign w:val="center"/>
            <w:hideMark/>
          </w:tcPr>
          <w:p w:rsidR="004B22CE" w:rsidRPr="00505F99" w:rsidRDefault="004B22CE" w:rsidP="008B706C">
            <w:pPr>
              <w:snapToGrid w:val="0"/>
              <w:spacing w:before="0"/>
              <w:ind w:left="0"/>
              <w:jc w:val="center"/>
              <w:rPr>
                <w:rFonts w:ascii="Times New Roman" w:eastAsia="Times New Roman" w:hAnsi="Times New Roman" w:cs="Times New Roman"/>
                <w:color w:val="000000"/>
                <w:sz w:val="18"/>
                <w:szCs w:val="20"/>
              </w:rPr>
            </w:pPr>
            <w:r w:rsidRPr="00505F99">
              <w:rPr>
                <w:rFonts w:ascii="Times New Roman" w:eastAsia="Times New Roman" w:hAnsi="Times New Roman" w:cs="Times New Roman"/>
                <w:color w:val="000000"/>
                <w:sz w:val="18"/>
                <w:szCs w:val="20"/>
              </w:rPr>
              <w:t>1980-81</w:t>
            </w:r>
          </w:p>
        </w:tc>
        <w:tc>
          <w:tcPr>
            <w:tcW w:w="1710" w:type="pct"/>
            <w:shd w:val="clear" w:color="auto" w:fill="auto"/>
            <w:noWrap/>
            <w:vAlign w:val="center"/>
            <w:hideMark/>
          </w:tcPr>
          <w:p w:rsidR="004B22CE" w:rsidRPr="00505F99" w:rsidRDefault="004B22CE" w:rsidP="008B706C">
            <w:pPr>
              <w:snapToGrid w:val="0"/>
              <w:spacing w:before="0"/>
              <w:ind w:left="0"/>
              <w:jc w:val="center"/>
              <w:rPr>
                <w:rFonts w:ascii="Times New Roman" w:eastAsia="Times New Roman" w:hAnsi="Times New Roman" w:cs="Times New Roman"/>
                <w:color w:val="000000"/>
                <w:sz w:val="18"/>
                <w:szCs w:val="20"/>
              </w:rPr>
            </w:pPr>
            <w:r w:rsidRPr="00505F99">
              <w:rPr>
                <w:rFonts w:ascii="Times New Roman" w:eastAsia="Times New Roman" w:hAnsi="Times New Roman" w:cs="Times New Roman"/>
                <w:color w:val="000000"/>
                <w:sz w:val="18"/>
                <w:szCs w:val="20"/>
              </w:rPr>
              <w:t>39.7</w:t>
            </w:r>
          </w:p>
        </w:tc>
        <w:tc>
          <w:tcPr>
            <w:tcW w:w="1805" w:type="pct"/>
            <w:shd w:val="clear" w:color="000000" w:fill="FFFFFF"/>
            <w:noWrap/>
            <w:vAlign w:val="center"/>
            <w:hideMark/>
          </w:tcPr>
          <w:p w:rsidR="004B22CE" w:rsidRPr="00505F99" w:rsidRDefault="004B22CE" w:rsidP="008B706C">
            <w:pPr>
              <w:snapToGrid w:val="0"/>
              <w:spacing w:before="0"/>
              <w:ind w:left="0"/>
              <w:jc w:val="center"/>
              <w:rPr>
                <w:rFonts w:ascii="Times New Roman" w:eastAsia="Times New Roman" w:hAnsi="Times New Roman" w:cs="Times New Roman"/>
                <w:color w:val="000000"/>
                <w:sz w:val="18"/>
                <w:szCs w:val="20"/>
              </w:rPr>
            </w:pPr>
            <w:r w:rsidRPr="00505F99">
              <w:rPr>
                <w:rFonts w:ascii="Times New Roman" w:eastAsia="Times New Roman" w:hAnsi="Times New Roman" w:cs="Times New Roman"/>
                <w:color w:val="000000"/>
                <w:sz w:val="18"/>
                <w:szCs w:val="20"/>
              </w:rPr>
              <w:t>39.61</w:t>
            </w:r>
          </w:p>
        </w:tc>
      </w:tr>
      <w:tr w:rsidR="004B22CE" w:rsidRPr="00505F99" w:rsidTr="004B22CE">
        <w:trPr>
          <w:jc w:val="center"/>
        </w:trPr>
        <w:tc>
          <w:tcPr>
            <w:tcW w:w="1485" w:type="pct"/>
            <w:shd w:val="clear" w:color="000000" w:fill="FFFFFF"/>
            <w:noWrap/>
            <w:vAlign w:val="center"/>
            <w:hideMark/>
          </w:tcPr>
          <w:p w:rsidR="004B22CE" w:rsidRPr="00505F99" w:rsidRDefault="004B22CE" w:rsidP="008B706C">
            <w:pPr>
              <w:snapToGrid w:val="0"/>
              <w:spacing w:before="0"/>
              <w:ind w:left="0"/>
              <w:jc w:val="center"/>
              <w:rPr>
                <w:rFonts w:ascii="Times New Roman" w:eastAsia="Times New Roman" w:hAnsi="Times New Roman" w:cs="Times New Roman"/>
                <w:color w:val="000000"/>
                <w:sz w:val="18"/>
                <w:szCs w:val="20"/>
              </w:rPr>
            </w:pPr>
            <w:r w:rsidRPr="00505F99">
              <w:rPr>
                <w:rFonts w:ascii="Times New Roman" w:eastAsia="Times New Roman" w:hAnsi="Times New Roman" w:cs="Times New Roman"/>
                <w:color w:val="000000"/>
                <w:sz w:val="18"/>
                <w:szCs w:val="20"/>
              </w:rPr>
              <w:t>1985-86</w:t>
            </w:r>
          </w:p>
        </w:tc>
        <w:tc>
          <w:tcPr>
            <w:tcW w:w="1710" w:type="pct"/>
            <w:shd w:val="clear" w:color="auto" w:fill="auto"/>
            <w:noWrap/>
            <w:vAlign w:val="center"/>
            <w:hideMark/>
          </w:tcPr>
          <w:p w:rsidR="004B22CE" w:rsidRPr="00505F99" w:rsidRDefault="004B22CE" w:rsidP="008B706C">
            <w:pPr>
              <w:snapToGrid w:val="0"/>
              <w:spacing w:before="0"/>
              <w:ind w:left="0"/>
              <w:jc w:val="center"/>
              <w:rPr>
                <w:rFonts w:ascii="Times New Roman" w:eastAsia="Times New Roman" w:hAnsi="Times New Roman" w:cs="Times New Roman"/>
                <w:color w:val="000000"/>
                <w:sz w:val="18"/>
                <w:szCs w:val="20"/>
              </w:rPr>
            </w:pPr>
            <w:r w:rsidRPr="00505F99">
              <w:rPr>
                <w:rFonts w:ascii="Times New Roman" w:eastAsia="Times New Roman" w:hAnsi="Times New Roman" w:cs="Times New Roman"/>
                <w:color w:val="000000"/>
                <w:sz w:val="18"/>
                <w:szCs w:val="20"/>
              </w:rPr>
              <w:t>40.16</w:t>
            </w:r>
          </w:p>
        </w:tc>
        <w:tc>
          <w:tcPr>
            <w:tcW w:w="1805" w:type="pct"/>
            <w:shd w:val="clear" w:color="000000" w:fill="FFFFFF"/>
            <w:noWrap/>
            <w:vAlign w:val="center"/>
            <w:hideMark/>
          </w:tcPr>
          <w:p w:rsidR="004B22CE" w:rsidRPr="00505F99" w:rsidRDefault="004B22CE" w:rsidP="008B706C">
            <w:pPr>
              <w:snapToGrid w:val="0"/>
              <w:spacing w:before="0"/>
              <w:ind w:left="0"/>
              <w:jc w:val="center"/>
              <w:rPr>
                <w:rFonts w:ascii="Times New Roman" w:eastAsia="Times New Roman" w:hAnsi="Times New Roman" w:cs="Times New Roman"/>
                <w:color w:val="000000"/>
                <w:sz w:val="18"/>
                <w:szCs w:val="20"/>
              </w:rPr>
            </w:pPr>
            <w:r w:rsidRPr="00505F99">
              <w:rPr>
                <w:rFonts w:ascii="Times New Roman" w:eastAsia="Times New Roman" w:hAnsi="Times New Roman" w:cs="Times New Roman"/>
                <w:color w:val="000000"/>
                <w:sz w:val="18"/>
                <w:szCs w:val="20"/>
              </w:rPr>
              <w:t>42.12</w:t>
            </w:r>
          </w:p>
        </w:tc>
      </w:tr>
      <w:tr w:rsidR="004B22CE" w:rsidRPr="00505F99" w:rsidTr="004B22CE">
        <w:trPr>
          <w:jc w:val="center"/>
        </w:trPr>
        <w:tc>
          <w:tcPr>
            <w:tcW w:w="1485" w:type="pct"/>
            <w:shd w:val="clear" w:color="000000" w:fill="FFFFFF"/>
            <w:noWrap/>
            <w:vAlign w:val="center"/>
            <w:hideMark/>
          </w:tcPr>
          <w:p w:rsidR="004B22CE" w:rsidRPr="00505F99" w:rsidRDefault="004B22CE" w:rsidP="008B706C">
            <w:pPr>
              <w:snapToGrid w:val="0"/>
              <w:spacing w:before="0"/>
              <w:ind w:left="0"/>
              <w:jc w:val="center"/>
              <w:rPr>
                <w:rFonts w:ascii="Times New Roman" w:eastAsia="Times New Roman" w:hAnsi="Times New Roman" w:cs="Times New Roman"/>
                <w:color w:val="000000"/>
                <w:sz w:val="18"/>
                <w:szCs w:val="20"/>
              </w:rPr>
            </w:pPr>
            <w:r w:rsidRPr="00505F99">
              <w:rPr>
                <w:rFonts w:ascii="Times New Roman" w:eastAsia="Times New Roman" w:hAnsi="Times New Roman" w:cs="Times New Roman"/>
                <w:color w:val="000000"/>
                <w:sz w:val="18"/>
                <w:szCs w:val="20"/>
              </w:rPr>
              <w:t>1990-91</w:t>
            </w:r>
          </w:p>
        </w:tc>
        <w:tc>
          <w:tcPr>
            <w:tcW w:w="1710" w:type="pct"/>
            <w:shd w:val="clear" w:color="auto" w:fill="auto"/>
            <w:noWrap/>
            <w:vAlign w:val="center"/>
            <w:hideMark/>
          </w:tcPr>
          <w:p w:rsidR="004B22CE" w:rsidRPr="00505F99" w:rsidRDefault="004B22CE" w:rsidP="008B706C">
            <w:pPr>
              <w:snapToGrid w:val="0"/>
              <w:spacing w:before="0"/>
              <w:ind w:left="0"/>
              <w:jc w:val="center"/>
              <w:rPr>
                <w:rFonts w:ascii="Times New Roman" w:eastAsia="Times New Roman" w:hAnsi="Times New Roman" w:cs="Times New Roman"/>
                <w:color w:val="000000"/>
                <w:sz w:val="18"/>
                <w:szCs w:val="20"/>
              </w:rPr>
            </w:pPr>
            <w:r w:rsidRPr="00505F99">
              <w:rPr>
                <w:rFonts w:ascii="Times New Roman" w:eastAsia="Times New Roman" w:hAnsi="Times New Roman" w:cs="Times New Roman"/>
                <w:color w:val="000000"/>
                <w:sz w:val="18"/>
                <w:szCs w:val="20"/>
              </w:rPr>
              <w:t>44.71</w:t>
            </w:r>
          </w:p>
        </w:tc>
        <w:tc>
          <w:tcPr>
            <w:tcW w:w="1805" w:type="pct"/>
            <w:shd w:val="clear" w:color="000000" w:fill="FFFFFF"/>
            <w:noWrap/>
            <w:vAlign w:val="center"/>
            <w:hideMark/>
          </w:tcPr>
          <w:p w:rsidR="004B22CE" w:rsidRPr="00505F99" w:rsidRDefault="004B22CE" w:rsidP="008B706C">
            <w:pPr>
              <w:snapToGrid w:val="0"/>
              <w:spacing w:before="0"/>
              <w:ind w:left="0"/>
              <w:jc w:val="center"/>
              <w:rPr>
                <w:rFonts w:ascii="Times New Roman" w:eastAsia="Times New Roman" w:hAnsi="Times New Roman" w:cs="Times New Roman"/>
                <w:color w:val="000000"/>
                <w:sz w:val="18"/>
                <w:szCs w:val="20"/>
              </w:rPr>
            </w:pPr>
            <w:r w:rsidRPr="00505F99">
              <w:rPr>
                <w:rFonts w:ascii="Times New Roman" w:eastAsia="Times New Roman" w:hAnsi="Times New Roman" w:cs="Times New Roman"/>
                <w:color w:val="000000"/>
                <w:sz w:val="18"/>
                <w:szCs w:val="20"/>
              </w:rPr>
              <w:t>43.49</w:t>
            </w:r>
          </w:p>
        </w:tc>
      </w:tr>
      <w:tr w:rsidR="004B22CE" w:rsidRPr="00505F99" w:rsidTr="004B22CE">
        <w:trPr>
          <w:jc w:val="center"/>
        </w:trPr>
        <w:tc>
          <w:tcPr>
            <w:tcW w:w="1485" w:type="pct"/>
            <w:shd w:val="clear" w:color="000000" w:fill="FFFFFF"/>
            <w:noWrap/>
            <w:vAlign w:val="center"/>
            <w:hideMark/>
          </w:tcPr>
          <w:p w:rsidR="004B22CE" w:rsidRPr="00505F99" w:rsidRDefault="004B22CE" w:rsidP="008B706C">
            <w:pPr>
              <w:snapToGrid w:val="0"/>
              <w:spacing w:before="0"/>
              <w:ind w:left="0"/>
              <w:jc w:val="center"/>
              <w:rPr>
                <w:rFonts w:ascii="Times New Roman" w:eastAsia="Times New Roman" w:hAnsi="Times New Roman" w:cs="Times New Roman"/>
                <w:color w:val="000000"/>
                <w:sz w:val="18"/>
                <w:szCs w:val="20"/>
              </w:rPr>
            </w:pPr>
            <w:r w:rsidRPr="00505F99">
              <w:rPr>
                <w:rFonts w:ascii="Times New Roman" w:eastAsia="Times New Roman" w:hAnsi="Times New Roman" w:cs="Times New Roman"/>
                <w:color w:val="000000"/>
                <w:sz w:val="18"/>
                <w:szCs w:val="20"/>
              </w:rPr>
              <w:t>1995-96</w:t>
            </w:r>
          </w:p>
        </w:tc>
        <w:tc>
          <w:tcPr>
            <w:tcW w:w="1710" w:type="pct"/>
            <w:shd w:val="clear" w:color="auto" w:fill="auto"/>
            <w:noWrap/>
            <w:vAlign w:val="center"/>
            <w:hideMark/>
          </w:tcPr>
          <w:p w:rsidR="004B22CE" w:rsidRPr="00505F99" w:rsidRDefault="004B22CE" w:rsidP="008B706C">
            <w:pPr>
              <w:snapToGrid w:val="0"/>
              <w:spacing w:before="0"/>
              <w:ind w:left="0"/>
              <w:jc w:val="center"/>
              <w:rPr>
                <w:rFonts w:ascii="Times New Roman" w:eastAsia="Times New Roman" w:hAnsi="Times New Roman" w:cs="Times New Roman"/>
                <w:color w:val="000000"/>
                <w:sz w:val="18"/>
                <w:szCs w:val="20"/>
              </w:rPr>
            </w:pPr>
            <w:r w:rsidRPr="00505F99">
              <w:rPr>
                <w:rFonts w:ascii="Times New Roman" w:eastAsia="Times New Roman" w:hAnsi="Times New Roman" w:cs="Times New Roman"/>
                <w:color w:val="000000"/>
                <w:sz w:val="18"/>
                <w:szCs w:val="20"/>
              </w:rPr>
              <w:t>45.36</w:t>
            </w:r>
          </w:p>
        </w:tc>
        <w:tc>
          <w:tcPr>
            <w:tcW w:w="1805" w:type="pct"/>
            <w:shd w:val="clear" w:color="000000" w:fill="FFFFFF"/>
            <w:noWrap/>
            <w:vAlign w:val="center"/>
            <w:hideMark/>
          </w:tcPr>
          <w:p w:rsidR="004B22CE" w:rsidRPr="00505F99" w:rsidRDefault="004B22CE" w:rsidP="008B706C">
            <w:pPr>
              <w:snapToGrid w:val="0"/>
              <w:spacing w:before="0"/>
              <w:ind w:left="0"/>
              <w:jc w:val="center"/>
              <w:rPr>
                <w:rFonts w:ascii="Times New Roman" w:eastAsia="Times New Roman" w:hAnsi="Times New Roman" w:cs="Times New Roman"/>
                <w:color w:val="000000"/>
                <w:sz w:val="18"/>
                <w:szCs w:val="20"/>
              </w:rPr>
            </w:pPr>
            <w:r w:rsidRPr="00505F99">
              <w:rPr>
                <w:rFonts w:ascii="Times New Roman" w:eastAsia="Times New Roman" w:hAnsi="Times New Roman" w:cs="Times New Roman"/>
                <w:color w:val="000000"/>
                <w:sz w:val="18"/>
                <w:szCs w:val="20"/>
              </w:rPr>
              <w:t>45.29</w:t>
            </w:r>
          </w:p>
        </w:tc>
      </w:tr>
      <w:tr w:rsidR="004B22CE" w:rsidRPr="00505F99" w:rsidTr="004B22CE">
        <w:trPr>
          <w:jc w:val="center"/>
        </w:trPr>
        <w:tc>
          <w:tcPr>
            <w:tcW w:w="1485" w:type="pct"/>
            <w:shd w:val="clear" w:color="000000" w:fill="FFFFFF"/>
            <w:noWrap/>
            <w:vAlign w:val="center"/>
            <w:hideMark/>
          </w:tcPr>
          <w:p w:rsidR="004B22CE" w:rsidRPr="00505F99" w:rsidRDefault="004B22CE" w:rsidP="008B706C">
            <w:pPr>
              <w:snapToGrid w:val="0"/>
              <w:spacing w:before="0"/>
              <w:ind w:left="0"/>
              <w:jc w:val="center"/>
              <w:rPr>
                <w:rFonts w:ascii="Times New Roman" w:eastAsia="Times New Roman" w:hAnsi="Times New Roman" w:cs="Times New Roman"/>
                <w:color w:val="000000"/>
                <w:sz w:val="18"/>
                <w:szCs w:val="20"/>
              </w:rPr>
            </w:pPr>
            <w:r w:rsidRPr="00505F99">
              <w:rPr>
                <w:rFonts w:ascii="Times New Roman" w:eastAsia="Times New Roman" w:hAnsi="Times New Roman" w:cs="Times New Roman"/>
                <w:color w:val="000000"/>
                <w:sz w:val="18"/>
                <w:szCs w:val="20"/>
              </w:rPr>
              <w:t>2000-01</w:t>
            </w:r>
          </w:p>
        </w:tc>
        <w:tc>
          <w:tcPr>
            <w:tcW w:w="1710" w:type="pct"/>
            <w:shd w:val="clear" w:color="auto" w:fill="auto"/>
            <w:noWrap/>
            <w:vAlign w:val="center"/>
            <w:hideMark/>
          </w:tcPr>
          <w:p w:rsidR="004B22CE" w:rsidRPr="00505F99" w:rsidRDefault="004B22CE" w:rsidP="008B706C">
            <w:pPr>
              <w:snapToGrid w:val="0"/>
              <w:spacing w:before="0"/>
              <w:ind w:left="0"/>
              <w:jc w:val="center"/>
              <w:rPr>
                <w:rFonts w:ascii="Times New Roman" w:eastAsia="Times New Roman" w:hAnsi="Times New Roman" w:cs="Times New Roman"/>
                <w:color w:val="000000"/>
                <w:sz w:val="18"/>
                <w:szCs w:val="20"/>
              </w:rPr>
            </w:pPr>
            <w:r w:rsidRPr="00505F99">
              <w:rPr>
                <w:rFonts w:ascii="Times New Roman" w:eastAsia="Times New Roman" w:hAnsi="Times New Roman" w:cs="Times New Roman"/>
                <w:color w:val="000000"/>
                <w:sz w:val="18"/>
                <w:szCs w:val="20"/>
              </w:rPr>
              <w:t>47.19</w:t>
            </w:r>
          </w:p>
        </w:tc>
        <w:tc>
          <w:tcPr>
            <w:tcW w:w="1805" w:type="pct"/>
            <w:shd w:val="clear" w:color="000000" w:fill="FFFFFF"/>
            <w:noWrap/>
            <w:vAlign w:val="center"/>
            <w:hideMark/>
          </w:tcPr>
          <w:p w:rsidR="004B22CE" w:rsidRPr="00505F99" w:rsidRDefault="004B22CE" w:rsidP="008B706C">
            <w:pPr>
              <w:snapToGrid w:val="0"/>
              <w:spacing w:before="0"/>
              <w:ind w:left="0"/>
              <w:jc w:val="center"/>
              <w:rPr>
                <w:rFonts w:ascii="Times New Roman" w:eastAsia="Times New Roman" w:hAnsi="Times New Roman" w:cs="Times New Roman"/>
                <w:color w:val="000000"/>
                <w:sz w:val="18"/>
                <w:szCs w:val="20"/>
              </w:rPr>
            </w:pPr>
            <w:r w:rsidRPr="00505F99">
              <w:rPr>
                <w:rFonts w:ascii="Times New Roman" w:eastAsia="Times New Roman" w:hAnsi="Times New Roman" w:cs="Times New Roman"/>
                <w:color w:val="000000"/>
                <w:sz w:val="18"/>
                <w:szCs w:val="20"/>
              </w:rPr>
              <w:t>46.65</w:t>
            </w:r>
          </w:p>
        </w:tc>
      </w:tr>
      <w:tr w:rsidR="004B22CE" w:rsidRPr="00505F99" w:rsidTr="004B22CE">
        <w:trPr>
          <w:jc w:val="center"/>
        </w:trPr>
        <w:tc>
          <w:tcPr>
            <w:tcW w:w="1485" w:type="pct"/>
            <w:shd w:val="clear" w:color="000000" w:fill="FFFFFF"/>
            <w:noWrap/>
            <w:vAlign w:val="center"/>
            <w:hideMark/>
          </w:tcPr>
          <w:p w:rsidR="004B22CE" w:rsidRPr="00505F99" w:rsidRDefault="004B22CE" w:rsidP="008B706C">
            <w:pPr>
              <w:snapToGrid w:val="0"/>
              <w:spacing w:before="0"/>
              <w:ind w:left="0"/>
              <w:jc w:val="center"/>
              <w:rPr>
                <w:rFonts w:ascii="Times New Roman" w:eastAsia="Times New Roman" w:hAnsi="Times New Roman" w:cs="Times New Roman"/>
                <w:color w:val="000000"/>
                <w:sz w:val="18"/>
                <w:szCs w:val="20"/>
              </w:rPr>
            </w:pPr>
            <w:r w:rsidRPr="00505F99">
              <w:rPr>
                <w:rFonts w:ascii="Times New Roman" w:eastAsia="Times New Roman" w:hAnsi="Times New Roman" w:cs="Times New Roman"/>
                <w:color w:val="000000"/>
                <w:sz w:val="18"/>
                <w:szCs w:val="20"/>
              </w:rPr>
              <w:t>2005-06</w:t>
            </w:r>
          </w:p>
        </w:tc>
        <w:tc>
          <w:tcPr>
            <w:tcW w:w="1710" w:type="pct"/>
            <w:shd w:val="clear" w:color="auto" w:fill="auto"/>
            <w:noWrap/>
            <w:vAlign w:val="center"/>
            <w:hideMark/>
          </w:tcPr>
          <w:p w:rsidR="004B22CE" w:rsidRPr="00505F99" w:rsidRDefault="004B22CE" w:rsidP="008B706C">
            <w:pPr>
              <w:snapToGrid w:val="0"/>
              <w:spacing w:before="0"/>
              <w:ind w:left="0"/>
              <w:jc w:val="center"/>
              <w:rPr>
                <w:rFonts w:ascii="Times New Roman" w:eastAsia="Times New Roman" w:hAnsi="Times New Roman" w:cs="Times New Roman"/>
                <w:color w:val="000000"/>
                <w:sz w:val="18"/>
                <w:szCs w:val="20"/>
              </w:rPr>
            </w:pPr>
            <w:r w:rsidRPr="00505F99">
              <w:rPr>
                <w:rFonts w:ascii="Times New Roman" w:eastAsia="Times New Roman" w:hAnsi="Times New Roman" w:cs="Times New Roman"/>
                <w:color w:val="000000"/>
                <w:sz w:val="18"/>
                <w:szCs w:val="20"/>
              </w:rPr>
              <w:t>39.56</w:t>
            </w:r>
          </w:p>
        </w:tc>
        <w:tc>
          <w:tcPr>
            <w:tcW w:w="1805" w:type="pct"/>
            <w:shd w:val="clear" w:color="000000" w:fill="FFFFFF"/>
            <w:noWrap/>
            <w:vAlign w:val="center"/>
            <w:hideMark/>
          </w:tcPr>
          <w:p w:rsidR="004B22CE" w:rsidRPr="00505F99" w:rsidRDefault="004B22CE" w:rsidP="008B706C">
            <w:pPr>
              <w:snapToGrid w:val="0"/>
              <w:spacing w:before="0"/>
              <w:ind w:left="0"/>
              <w:jc w:val="center"/>
              <w:rPr>
                <w:rFonts w:ascii="Times New Roman" w:eastAsia="Times New Roman" w:hAnsi="Times New Roman" w:cs="Times New Roman"/>
                <w:color w:val="000000"/>
                <w:sz w:val="18"/>
                <w:szCs w:val="20"/>
              </w:rPr>
            </w:pPr>
            <w:r w:rsidRPr="00505F99">
              <w:rPr>
                <w:rFonts w:ascii="Times New Roman" w:eastAsia="Times New Roman" w:hAnsi="Times New Roman" w:cs="Times New Roman"/>
                <w:color w:val="000000"/>
                <w:sz w:val="18"/>
                <w:szCs w:val="20"/>
              </w:rPr>
              <w:t>42.73</w:t>
            </w:r>
          </w:p>
        </w:tc>
      </w:tr>
      <w:tr w:rsidR="004B22CE" w:rsidRPr="00505F99" w:rsidTr="004B22CE">
        <w:trPr>
          <w:jc w:val="center"/>
        </w:trPr>
        <w:tc>
          <w:tcPr>
            <w:tcW w:w="1485" w:type="pct"/>
            <w:shd w:val="clear" w:color="000000" w:fill="FFFFFF"/>
            <w:noWrap/>
            <w:vAlign w:val="center"/>
            <w:hideMark/>
          </w:tcPr>
          <w:p w:rsidR="004B22CE" w:rsidRPr="00505F99" w:rsidRDefault="004B22CE" w:rsidP="008B706C">
            <w:pPr>
              <w:snapToGrid w:val="0"/>
              <w:spacing w:before="0"/>
              <w:ind w:left="0"/>
              <w:jc w:val="center"/>
              <w:rPr>
                <w:rFonts w:ascii="Times New Roman" w:eastAsia="Times New Roman" w:hAnsi="Times New Roman" w:cs="Times New Roman"/>
                <w:color w:val="000000"/>
                <w:sz w:val="18"/>
                <w:szCs w:val="20"/>
              </w:rPr>
            </w:pPr>
            <w:r w:rsidRPr="00505F99">
              <w:rPr>
                <w:rFonts w:ascii="Times New Roman" w:eastAsia="Times New Roman" w:hAnsi="Times New Roman" w:cs="Times New Roman"/>
                <w:color w:val="000000"/>
                <w:sz w:val="18"/>
                <w:szCs w:val="20"/>
              </w:rPr>
              <w:t>2010-11</w:t>
            </w:r>
          </w:p>
        </w:tc>
        <w:tc>
          <w:tcPr>
            <w:tcW w:w="1710" w:type="pct"/>
            <w:shd w:val="clear" w:color="auto" w:fill="auto"/>
            <w:noWrap/>
            <w:vAlign w:val="center"/>
            <w:hideMark/>
          </w:tcPr>
          <w:p w:rsidR="004B22CE" w:rsidRPr="00505F99" w:rsidRDefault="004B22CE" w:rsidP="008B706C">
            <w:pPr>
              <w:snapToGrid w:val="0"/>
              <w:spacing w:before="0"/>
              <w:ind w:left="0"/>
              <w:jc w:val="center"/>
              <w:rPr>
                <w:rFonts w:ascii="Times New Roman" w:eastAsia="Times New Roman" w:hAnsi="Times New Roman" w:cs="Times New Roman"/>
                <w:color w:val="000000"/>
                <w:sz w:val="18"/>
                <w:szCs w:val="20"/>
              </w:rPr>
            </w:pPr>
            <w:r w:rsidRPr="00505F99">
              <w:rPr>
                <w:rFonts w:ascii="Times New Roman" w:eastAsia="Times New Roman" w:hAnsi="Times New Roman" w:cs="Times New Roman"/>
                <w:color w:val="000000"/>
                <w:sz w:val="18"/>
                <w:szCs w:val="20"/>
              </w:rPr>
              <w:t>52.26</w:t>
            </w:r>
          </w:p>
        </w:tc>
        <w:tc>
          <w:tcPr>
            <w:tcW w:w="1805" w:type="pct"/>
            <w:shd w:val="clear" w:color="000000" w:fill="FFFFFF"/>
            <w:noWrap/>
            <w:vAlign w:val="center"/>
            <w:hideMark/>
          </w:tcPr>
          <w:p w:rsidR="004B22CE" w:rsidRPr="00505F99" w:rsidRDefault="004B22CE" w:rsidP="008B706C">
            <w:pPr>
              <w:snapToGrid w:val="0"/>
              <w:spacing w:before="0"/>
              <w:ind w:left="0"/>
              <w:jc w:val="center"/>
              <w:rPr>
                <w:rFonts w:ascii="Times New Roman" w:eastAsia="Times New Roman" w:hAnsi="Times New Roman" w:cs="Times New Roman"/>
                <w:color w:val="000000"/>
                <w:sz w:val="18"/>
                <w:szCs w:val="20"/>
              </w:rPr>
            </w:pPr>
            <w:r w:rsidRPr="00505F99">
              <w:rPr>
                <w:rFonts w:ascii="Times New Roman" w:eastAsia="Times New Roman" w:hAnsi="Times New Roman" w:cs="Times New Roman"/>
                <w:color w:val="000000"/>
                <w:sz w:val="18"/>
                <w:szCs w:val="20"/>
              </w:rPr>
              <w:t>49.95</w:t>
            </w:r>
          </w:p>
        </w:tc>
      </w:tr>
    </w:tbl>
    <w:p w:rsidR="004B22CE" w:rsidRPr="00505F99" w:rsidRDefault="004B22CE" w:rsidP="004B22CE">
      <w:pPr>
        <w:pStyle w:val="ListParagraph"/>
        <w:snapToGrid w:val="0"/>
        <w:spacing w:after="0" w:line="240" w:lineRule="auto"/>
        <w:ind w:left="0"/>
        <w:rPr>
          <w:rFonts w:ascii="Times New Roman" w:hAnsi="Times New Roman" w:cs="Times New Roman"/>
          <w:b/>
          <w:bCs/>
          <w:i/>
          <w:iCs w:val="0"/>
          <w:sz w:val="20"/>
          <w:szCs w:val="20"/>
        </w:rPr>
      </w:pPr>
      <w:r w:rsidRPr="00505F99">
        <w:rPr>
          <w:rFonts w:ascii="Times New Roman" w:hAnsi="Times New Roman" w:cs="Times New Roman"/>
          <w:b/>
          <w:bCs/>
          <w:i/>
          <w:sz w:val="20"/>
          <w:szCs w:val="20"/>
        </w:rPr>
        <w:t>Sources:</w:t>
      </w:r>
    </w:p>
    <w:p w:rsidR="004B22CE" w:rsidRPr="00505F99" w:rsidRDefault="004B22CE" w:rsidP="004B22CE">
      <w:pPr>
        <w:pStyle w:val="ListParagraph"/>
        <w:numPr>
          <w:ilvl w:val="0"/>
          <w:numId w:val="12"/>
        </w:numPr>
        <w:snapToGrid w:val="0"/>
        <w:spacing w:after="0" w:line="240" w:lineRule="auto"/>
        <w:ind w:left="0" w:firstLine="0"/>
        <w:rPr>
          <w:rFonts w:ascii="Times New Roman" w:hAnsi="Times New Roman" w:cs="Times New Roman"/>
          <w:i/>
          <w:iCs w:val="0"/>
          <w:sz w:val="20"/>
          <w:szCs w:val="20"/>
        </w:rPr>
      </w:pPr>
      <w:r w:rsidRPr="00505F99">
        <w:rPr>
          <w:rFonts w:ascii="Times New Roman" w:hAnsi="Times New Roman" w:cs="Times New Roman"/>
          <w:i/>
          <w:sz w:val="20"/>
          <w:szCs w:val="20"/>
        </w:rPr>
        <w:t>Compiled from Digest of Statistics, Directorate of Economics and Statistics, J&amp;K Government, various issues.</w:t>
      </w:r>
    </w:p>
    <w:p w:rsidR="004B22CE" w:rsidRPr="00505F99" w:rsidRDefault="004B22CE" w:rsidP="004B22CE">
      <w:pPr>
        <w:pStyle w:val="ListParagraph"/>
        <w:numPr>
          <w:ilvl w:val="0"/>
          <w:numId w:val="12"/>
        </w:numPr>
        <w:snapToGrid w:val="0"/>
        <w:spacing w:after="0" w:line="240" w:lineRule="auto"/>
        <w:ind w:left="0" w:firstLine="0"/>
        <w:rPr>
          <w:rFonts w:ascii="Times New Roman" w:hAnsi="Times New Roman" w:cs="Times New Roman"/>
          <w:i/>
          <w:iCs w:val="0"/>
          <w:sz w:val="20"/>
          <w:szCs w:val="20"/>
        </w:rPr>
      </w:pPr>
      <w:r w:rsidRPr="00505F99">
        <w:rPr>
          <w:rFonts w:ascii="Times New Roman" w:hAnsi="Times New Roman" w:cs="Times New Roman"/>
          <w:i/>
          <w:sz w:val="20"/>
          <w:szCs w:val="20"/>
        </w:rPr>
        <w:t>Compiled from State Domestic Product, Directorate of Economics and Statistics, J&amp;K Government, (1980-81 to 1996-97).</w:t>
      </w:r>
    </w:p>
    <w:p w:rsidR="004B22CE" w:rsidRPr="00505F99" w:rsidRDefault="004B22CE" w:rsidP="004B22CE">
      <w:pPr>
        <w:pStyle w:val="ListParagraph"/>
        <w:numPr>
          <w:ilvl w:val="0"/>
          <w:numId w:val="12"/>
        </w:numPr>
        <w:snapToGrid w:val="0"/>
        <w:spacing w:after="0" w:line="240" w:lineRule="auto"/>
        <w:ind w:left="0" w:firstLine="0"/>
        <w:rPr>
          <w:rFonts w:ascii="Times New Roman" w:hAnsi="Times New Roman" w:cs="Times New Roman"/>
          <w:i/>
          <w:iCs w:val="0"/>
          <w:sz w:val="20"/>
          <w:szCs w:val="20"/>
        </w:rPr>
      </w:pPr>
      <w:r w:rsidRPr="00505F99">
        <w:rPr>
          <w:rFonts w:ascii="Times New Roman" w:hAnsi="Times New Roman" w:cs="Times New Roman"/>
          <w:i/>
          <w:sz w:val="20"/>
          <w:szCs w:val="20"/>
        </w:rPr>
        <w:t>Compiled from State Domestic Product, Directorate of Economics and Statistics, J&amp;K Government, (1993-94 to 1998-99)</w:t>
      </w:r>
    </w:p>
    <w:p w:rsidR="004B22CE" w:rsidRPr="00505F99" w:rsidRDefault="004B22CE" w:rsidP="004B22CE">
      <w:pPr>
        <w:pStyle w:val="ListParagraph"/>
        <w:numPr>
          <w:ilvl w:val="0"/>
          <w:numId w:val="12"/>
        </w:numPr>
        <w:snapToGrid w:val="0"/>
        <w:spacing w:after="0" w:line="240" w:lineRule="auto"/>
        <w:ind w:left="0" w:firstLine="0"/>
        <w:rPr>
          <w:rFonts w:ascii="Times New Roman" w:hAnsi="Times New Roman" w:cs="Times New Roman"/>
          <w:i/>
          <w:iCs w:val="0"/>
          <w:sz w:val="20"/>
          <w:szCs w:val="20"/>
        </w:rPr>
      </w:pPr>
      <w:r w:rsidRPr="00505F99">
        <w:rPr>
          <w:rFonts w:ascii="Times New Roman" w:hAnsi="Times New Roman" w:cs="Times New Roman"/>
          <w:i/>
          <w:sz w:val="20"/>
          <w:szCs w:val="20"/>
        </w:rPr>
        <w:t xml:space="preserve">Computed from The Economy of Jammu and Kashmir by </w:t>
      </w:r>
      <w:proofErr w:type="spellStart"/>
      <w:r w:rsidRPr="00505F99">
        <w:rPr>
          <w:rFonts w:ascii="Times New Roman" w:hAnsi="Times New Roman" w:cs="Times New Roman"/>
          <w:i/>
          <w:sz w:val="20"/>
          <w:szCs w:val="20"/>
        </w:rPr>
        <w:t>Jasbir</w:t>
      </w:r>
      <w:proofErr w:type="spellEnd"/>
      <w:r w:rsidRPr="00505F99">
        <w:rPr>
          <w:rFonts w:ascii="Times New Roman" w:hAnsi="Times New Roman" w:cs="Times New Roman"/>
          <w:i/>
          <w:sz w:val="20"/>
          <w:szCs w:val="20"/>
        </w:rPr>
        <w:t xml:space="preserve"> Singh.</w:t>
      </w:r>
    </w:p>
    <w:p w:rsidR="004B22CE" w:rsidRPr="00505F99" w:rsidRDefault="004B22CE" w:rsidP="004B22CE">
      <w:pPr>
        <w:pStyle w:val="ListParagraph"/>
        <w:numPr>
          <w:ilvl w:val="0"/>
          <w:numId w:val="12"/>
        </w:numPr>
        <w:snapToGrid w:val="0"/>
        <w:spacing w:after="0" w:line="240" w:lineRule="auto"/>
        <w:ind w:left="0" w:firstLine="0"/>
        <w:rPr>
          <w:rFonts w:ascii="Times New Roman" w:hAnsi="Times New Roman" w:cs="Times New Roman"/>
          <w:i/>
          <w:iCs w:val="0"/>
          <w:sz w:val="20"/>
          <w:szCs w:val="20"/>
        </w:rPr>
      </w:pPr>
      <w:r w:rsidRPr="00505F99">
        <w:rPr>
          <w:rFonts w:ascii="Times New Roman" w:hAnsi="Times New Roman" w:cs="Times New Roman"/>
          <w:i/>
          <w:sz w:val="20"/>
          <w:szCs w:val="20"/>
        </w:rPr>
        <w:t>Note: Constant prices at 1993-94 which has been calculated by Linking Factor Method.</w:t>
      </w:r>
    </w:p>
    <w:p w:rsidR="004B22CE" w:rsidRPr="00505F99" w:rsidRDefault="004B22CE" w:rsidP="004B22CE">
      <w:pPr>
        <w:pStyle w:val="ListParagraph"/>
        <w:snapToGrid w:val="0"/>
        <w:spacing w:after="0" w:line="240" w:lineRule="auto"/>
        <w:ind w:left="0"/>
        <w:rPr>
          <w:rFonts w:ascii="Times New Roman" w:hAnsi="Times New Roman" w:cs="Times New Roman"/>
          <w:i/>
          <w:iCs w:val="0"/>
          <w:sz w:val="20"/>
          <w:szCs w:val="20"/>
        </w:rPr>
      </w:pPr>
      <w:proofErr w:type="spellStart"/>
      <w:r w:rsidRPr="00505F99">
        <w:rPr>
          <w:rFonts w:ascii="Times New Roman" w:hAnsi="Times New Roman" w:cs="Times New Roman"/>
          <w:i/>
          <w:sz w:val="20"/>
          <w:szCs w:val="20"/>
        </w:rPr>
        <w:t>i</w:t>
      </w:r>
      <w:proofErr w:type="spellEnd"/>
      <w:r w:rsidRPr="00505F99">
        <w:rPr>
          <w:rFonts w:ascii="Times New Roman" w:hAnsi="Times New Roman" w:cs="Times New Roman"/>
          <w:i/>
          <w:sz w:val="20"/>
          <w:szCs w:val="20"/>
        </w:rPr>
        <w:t xml:space="preserve">) </w:t>
      </w:r>
      <w:proofErr w:type="spellStart"/>
      <w:r w:rsidRPr="00505F99">
        <w:rPr>
          <w:rFonts w:ascii="Times New Roman" w:hAnsi="Times New Roman" w:cs="Times New Roman"/>
          <w:i/>
          <w:sz w:val="20"/>
          <w:szCs w:val="20"/>
        </w:rPr>
        <w:t>Cn</w:t>
      </w:r>
      <w:proofErr w:type="spellEnd"/>
      <w:r w:rsidRPr="00505F99">
        <w:rPr>
          <w:rFonts w:ascii="Times New Roman" w:hAnsi="Times New Roman" w:cs="Times New Roman"/>
          <w:i/>
          <w:sz w:val="20"/>
          <w:szCs w:val="20"/>
        </w:rPr>
        <w:t>. =Constant</w:t>
      </w:r>
    </w:p>
    <w:p w:rsidR="004B22CE" w:rsidRPr="00505F99" w:rsidRDefault="004B22CE" w:rsidP="004B22CE">
      <w:pPr>
        <w:pStyle w:val="ListParagraph"/>
        <w:snapToGrid w:val="0"/>
        <w:spacing w:after="0" w:line="240" w:lineRule="auto"/>
        <w:ind w:left="0"/>
        <w:rPr>
          <w:rFonts w:ascii="Times New Roman" w:hAnsi="Times New Roman" w:cs="Times New Roman"/>
          <w:i/>
          <w:iCs w:val="0"/>
          <w:sz w:val="20"/>
          <w:szCs w:val="20"/>
        </w:rPr>
      </w:pPr>
      <w:r w:rsidRPr="00505F99">
        <w:rPr>
          <w:rFonts w:ascii="Times New Roman" w:hAnsi="Times New Roman" w:cs="Times New Roman"/>
          <w:i/>
          <w:sz w:val="20"/>
          <w:szCs w:val="20"/>
        </w:rPr>
        <w:t>ii) Ct. = Current</w:t>
      </w:r>
    </w:p>
    <w:p w:rsidR="004B22CE" w:rsidRPr="00505F99" w:rsidRDefault="004B22CE" w:rsidP="00505F99">
      <w:pPr>
        <w:pStyle w:val="ListParagraph"/>
        <w:snapToGrid w:val="0"/>
        <w:spacing w:after="0" w:line="240" w:lineRule="auto"/>
        <w:ind w:left="0" w:firstLine="425"/>
        <w:rPr>
          <w:rFonts w:ascii="Times New Roman" w:hAnsi="Times New Roman" w:cs="Times New Roman"/>
          <w:sz w:val="20"/>
          <w:szCs w:val="20"/>
        </w:rPr>
      </w:pPr>
    </w:p>
    <w:p w:rsidR="00CF262A" w:rsidRPr="00505F99" w:rsidRDefault="00CF262A" w:rsidP="00505F99">
      <w:pPr>
        <w:pStyle w:val="ListParagraph"/>
        <w:snapToGrid w:val="0"/>
        <w:spacing w:after="0" w:line="240" w:lineRule="auto"/>
        <w:ind w:left="0"/>
        <w:jc w:val="center"/>
        <w:rPr>
          <w:rFonts w:ascii="Times New Roman" w:hAnsi="Times New Roman" w:cs="Times New Roman"/>
          <w:sz w:val="20"/>
          <w:szCs w:val="20"/>
        </w:rPr>
      </w:pPr>
      <w:r w:rsidRPr="00505F99">
        <w:rPr>
          <w:rFonts w:ascii="Times New Roman" w:hAnsi="Times New Roman" w:cs="Times New Roman"/>
          <w:noProof/>
          <w:sz w:val="20"/>
          <w:szCs w:val="20"/>
          <w:lang w:eastAsia="zh-CN"/>
        </w:rPr>
        <w:drawing>
          <wp:inline distT="0" distB="0" distL="0" distR="0">
            <wp:extent cx="4606090" cy="2911642"/>
            <wp:effectExtent l="19050" t="0" r="23060" b="3008"/>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D6D70" w:rsidRDefault="00ED6D70" w:rsidP="00505F99">
      <w:pPr>
        <w:pStyle w:val="ListParagraph"/>
        <w:snapToGrid w:val="0"/>
        <w:spacing w:after="0" w:line="240" w:lineRule="auto"/>
        <w:ind w:left="0"/>
        <w:rPr>
          <w:rFonts w:ascii="Times New Roman" w:hAnsi="Times New Roman" w:cs="Times New Roman"/>
          <w:b/>
          <w:bCs/>
          <w:color w:val="000000"/>
          <w:sz w:val="20"/>
          <w:szCs w:val="20"/>
          <w:lang w:eastAsia="zh-CN"/>
        </w:rPr>
      </w:pPr>
    </w:p>
    <w:p w:rsidR="004B22CE" w:rsidRDefault="004B22CE" w:rsidP="00505F99">
      <w:pPr>
        <w:pStyle w:val="ListParagraph"/>
        <w:snapToGrid w:val="0"/>
        <w:spacing w:after="0" w:line="240" w:lineRule="auto"/>
        <w:ind w:left="0"/>
        <w:rPr>
          <w:rFonts w:ascii="Times New Roman" w:hAnsi="Times New Roman" w:cs="Times New Roman"/>
          <w:b/>
          <w:bCs/>
          <w:color w:val="000000"/>
          <w:sz w:val="20"/>
          <w:szCs w:val="20"/>
          <w:lang w:eastAsia="zh-CN"/>
        </w:rPr>
      </w:pPr>
    </w:p>
    <w:p w:rsidR="00633BAB" w:rsidRPr="00505F99" w:rsidRDefault="00FA2126" w:rsidP="00505F99">
      <w:pPr>
        <w:pStyle w:val="ListParagraph"/>
        <w:snapToGrid w:val="0"/>
        <w:spacing w:after="0" w:line="240" w:lineRule="auto"/>
        <w:ind w:left="0"/>
        <w:rPr>
          <w:rFonts w:ascii="Times New Roman" w:hAnsi="Times New Roman" w:cs="Times New Roman"/>
          <w:sz w:val="20"/>
          <w:szCs w:val="20"/>
        </w:rPr>
      </w:pPr>
      <w:r w:rsidRPr="00505F99">
        <w:rPr>
          <w:rFonts w:ascii="Times New Roman" w:eastAsia="Times New Roman" w:hAnsi="Times New Roman" w:cs="Times New Roman"/>
          <w:b/>
          <w:bCs/>
          <w:color w:val="000000"/>
          <w:sz w:val="20"/>
          <w:szCs w:val="20"/>
        </w:rPr>
        <w:t>Compound  growth rate of NSDP (10-yearly)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8"/>
        <w:gridCol w:w="1671"/>
        <w:gridCol w:w="1594"/>
        <w:gridCol w:w="1670"/>
        <w:gridCol w:w="1593"/>
      </w:tblGrid>
      <w:tr w:rsidR="001877EA" w:rsidRPr="00ED6D70" w:rsidTr="00ED6D70">
        <w:trPr>
          <w:jc w:val="center"/>
        </w:trPr>
        <w:tc>
          <w:tcPr>
            <w:tcW w:w="1591" w:type="pct"/>
            <w:shd w:val="clear" w:color="000000" w:fill="FFFFFF"/>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b/>
                <w:bCs/>
                <w:color w:val="000000"/>
                <w:sz w:val="20"/>
                <w:szCs w:val="20"/>
              </w:rPr>
            </w:pPr>
            <w:r w:rsidRPr="00ED6D70">
              <w:rPr>
                <w:rFonts w:ascii="Times New Roman" w:eastAsia="Times New Roman" w:hAnsi="Times New Roman" w:cs="Times New Roman"/>
                <w:b/>
                <w:bCs/>
                <w:color w:val="000000"/>
                <w:sz w:val="20"/>
                <w:szCs w:val="20"/>
              </w:rPr>
              <w:t>Year</w:t>
            </w:r>
          </w:p>
        </w:tc>
        <w:tc>
          <w:tcPr>
            <w:tcW w:w="1704" w:type="pct"/>
            <w:gridSpan w:val="2"/>
            <w:shd w:val="clear" w:color="auto" w:fill="auto"/>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color w:val="000000"/>
                <w:sz w:val="20"/>
                <w:szCs w:val="20"/>
              </w:rPr>
            </w:pPr>
            <w:r w:rsidRPr="00ED6D70">
              <w:rPr>
                <w:rFonts w:ascii="Times New Roman" w:eastAsia="Times New Roman" w:hAnsi="Times New Roman" w:cs="Times New Roman"/>
                <w:color w:val="000000"/>
                <w:sz w:val="20"/>
                <w:szCs w:val="20"/>
              </w:rPr>
              <w:t>Tertiary Sector</w:t>
            </w:r>
          </w:p>
        </w:tc>
        <w:tc>
          <w:tcPr>
            <w:tcW w:w="1704" w:type="pct"/>
            <w:gridSpan w:val="2"/>
            <w:shd w:val="clear" w:color="auto" w:fill="auto"/>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color w:val="000000"/>
                <w:sz w:val="20"/>
                <w:szCs w:val="20"/>
              </w:rPr>
            </w:pPr>
            <w:r w:rsidRPr="00ED6D70">
              <w:rPr>
                <w:rFonts w:ascii="Times New Roman" w:eastAsia="Times New Roman" w:hAnsi="Times New Roman" w:cs="Times New Roman"/>
                <w:color w:val="000000"/>
                <w:sz w:val="20"/>
                <w:szCs w:val="20"/>
              </w:rPr>
              <w:t>NSDP</w:t>
            </w:r>
          </w:p>
        </w:tc>
      </w:tr>
      <w:tr w:rsidR="001877EA" w:rsidRPr="00ED6D70" w:rsidTr="00ED6D70">
        <w:trPr>
          <w:jc w:val="center"/>
        </w:trPr>
        <w:tc>
          <w:tcPr>
            <w:tcW w:w="1591" w:type="pct"/>
            <w:shd w:val="clear" w:color="000000" w:fill="FFFFFF"/>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b/>
                <w:bCs/>
                <w:color w:val="000000"/>
                <w:sz w:val="20"/>
                <w:szCs w:val="20"/>
              </w:rPr>
            </w:pPr>
          </w:p>
        </w:tc>
        <w:tc>
          <w:tcPr>
            <w:tcW w:w="872" w:type="pct"/>
            <w:shd w:val="clear" w:color="auto" w:fill="auto"/>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color w:val="000000"/>
                <w:sz w:val="20"/>
                <w:szCs w:val="20"/>
              </w:rPr>
            </w:pPr>
            <w:proofErr w:type="spellStart"/>
            <w:r w:rsidRPr="00ED6D70">
              <w:rPr>
                <w:rFonts w:ascii="Times New Roman" w:eastAsia="Times New Roman" w:hAnsi="Times New Roman" w:cs="Times New Roman"/>
                <w:color w:val="000000"/>
                <w:sz w:val="20"/>
                <w:szCs w:val="20"/>
              </w:rPr>
              <w:t>Cn.Prices</w:t>
            </w:r>
            <w:proofErr w:type="spellEnd"/>
          </w:p>
        </w:tc>
        <w:tc>
          <w:tcPr>
            <w:tcW w:w="832" w:type="pct"/>
            <w:shd w:val="clear" w:color="auto" w:fill="auto"/>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color w:val="000000"/>
                <w:sz w:val="20"/>
                <w:szCs w:val="20"/>
              </w:rPr>
            </w:pPr>
            <w:proofErr w:type="spellStart"/>
            <w:r w:rsidRPr="00ED6D70">
              <w:rPr>
                <w:rFonts w:ascii="Times New Roman" w:eastAsia="Times New Roman" w:hAnsi="Times New Roman" w:cs="Times New Roman"/>
                <w:color w:val="000000"/>
                <w:sz w:val="20"/>
                <w:szCs w:val="20"/>
              </w:rPr>
              <w:t>Ct.Prices</w:t>
            </w:r>
            <w:proofErr w:type="spellEnd"/>
          </w:p>
        </w:tc>
        <w:tc>
          <w:tcPr>
            <w:tcW w:w="872" w:type="pct"/>
            <w:shd w:val="clear" w:color="auto" w:fill="auto"/>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color w:val="000000"/>
                <w:sz w:val="20"/>
                <w:szCs w:val="20"/>
              </w:rPr>
            </w:pPr>
            <w:proofErr w:type="spellStart"/>
            <w:r w:rsidRPr="00ED6D70">
              <w:rPr>
                <w:rFonts w:ascii="Times New Roman" w:eastAsia="Times New Roman" w:hAnsi="Times New Roman" w:cs="Times New Roman"/>
                <w:color w:val="000000"/>
                <w:sz w:val="20"/>
                <w:szCs w:val="20"/>
              </w:rPr>
              <w:t>Cn.Prices</w:t>
            </w:r>
            <w:proofErr w:type="spellEnd"/>
          </w:p>
        </w:tc>
        <w:tc>
          <w:tcPr>
            <w:tcW w:w="832" w:type="pct"/>
            <w:shd w:val="clear" w:color="auto" w:fill="auto"/>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color w:val="000000"/>
                <w:sz w:val="20"/>
                <w:szCs w:val="20"/>
              </w:rPr>
            </w:pPr>
            <w:proofErr w:type="spellStart"/>
            <w:r w:rsidRPr="00ED6D70">
              <w:rPr>
                <w:rFonts w:ascii="Times New Roman" w:eastAsia="Times New Roman" w:hAnsi="Times New Roman" w:cs="Times New Roman"/>
                <w:color w:val="000000"/>
                <w:sz w:val="20"/>
                <w:szCs w:val="20"/>
              </w:rPr>
              <w:t>Ct.Prices</w:t>
            </w:r>
            <w:proofErr w:type="spellEnd"/>
          </w:p>
        </w:tc>
      </w:tr>
      <w:tr w:rsidR="001877EA" w:rsidRPr="00ED6D70" w:rsidTr="00ED6D70">
        <w:trPr>
          <w:jc w:val="center"/>
        </w:trPr>
        <w:tc>
          <w:tcPr>
            <w:tcW w:w="1591" w:type="pct"/>
            <w:shd w:val="clear" w:color="auto" w:fill="auto"/>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color w:val="000000"/>
                <w:sz w:val="20"/>
                <w:szCs w:val="20"/>
              </w:rPr>
            </w:pPr>
            <w:r w:rsidRPr="00ED6D70">
              <w:rPr>
                <w:rFonts w:ascii="Times New Roman" w:eastAsia="Times New Roman" w:hAnsi="Times New Roman" w:cs="Times New Roman"/>
                <w:color w:val="000000"/>
                <w:sz w:val="20"/>
                <w:szCs w:val="20"/>
              </w:rPr>
              <w:t>1980-81 to 1990-91</w:t>
            </w:r>
          </w:p>
        </w:tc>
        <w:tc>
          <w:tcPr>
            <w:tcW w:w="872" w:type="pct"/>
            <w:shd w:val="clear" w:color="auto" w:fill="auto"/>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color w:val="000000"/>
                <w:sz w:val="20"/>
                <w:szCs w:val="20"/>
              </w:rPr>
            </w:pPr>
            <w:r w:rsidRPr="00ED6D70">
              <w:rPr>
                <w:rFonts w:ascii="Times New Roman" w:eastAsia="Times New Roman" w:hAnsi="Times New Roman" w:cs="Times New Roman"/>
                <w:color w:val="000000"/>
                <w:sz w:val="20"/>
                <w:szCs w:val="20"/>
              </w:rPr>
              <w:t>3.57</w:t>
            </w:r>
          </w:p>
        </w:tc>
        <w:tc>
          <w:tcPr>
            <w:tcW w:w="832" w:type="pct"/>
            <w:shd w:val="clear" w:color="auto" w:fill="auto"/>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color w:val="000000"/>
                <w:sz w:val="20"/>
                <w:szCs w:val="20"/>
              </w:rPr>
            </w:pPr>
            <w:r w:rsidRPr="00ED6D70">
              <w:rPr>
                <w:rFonts w:ascii="Times New Roman" w:eastAsia="Times New Roman" w:hAnsi="Times New Roman" w:cs="Times New Roman"/>
                <w:color w:val="000000"/>
                <w:sz w:val="20"/>
                <w:szCs w:val="20"/>
              </w:rPr>
              <w:t>12.57</w:t>
            </w:r>
          </w:p>
        </w:tc>
        <w:tc>
          <w:tcPr>
            <w:tcW w:w="872" w:type="pct"/>
            <w:shd w:val="clear" w:color="auto" w:fill="auto"/>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color w:val="000000"/>
                <w:sz w:val="20"/>
                <w:szCs w:val="20"/>
              </w:rPr>
            </w:pPr>
            <w:r w:rsidRPr="00ED6D70">
              <w:rPr>
                <w:rFonts w:ascii="Times New Roman" w:eastAsia="Times New Roman" w:hAnsi="Times New Roman" w:cs="Times New Roman"/>
                <w:color w:val="000000"/>
                <w:sz w:val="20"/>
                <w:szCs w:val="20"/>
              </w:rPr>
              <w:t>2.16</w:t>
            </w:r>
          </w:p>
        </w:tc>
        <w:tc>
          <w:tcPr>
            <w:tcW w:w="832" w:type="pct"/>
            <w:shd w:val="clear" w:color="auto" w:fill="auto"/>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color w:val="000000"/>
                <w:sz w:val="20"/>
                <w:szCs w:val="20"/>
              </w:rPr>
            </w:pPr>
            <w:r w:rsidRPr="00ED6D70">
              <w:rPr>
                <w:rFonts w:ascii="Times New Roman" w:eastAsia="Times New Roman" w:hAnsi="Times New Roman" w:cs="Times New Roman"/>
                <w:color w:val="000000"/>
                <w:sz w:val="20"/>
                <w:szCs w:val="20"/>
              </w:rPr>
              <w:t>10.81</w:t>
            </w:r>
          </w:p>
        </w:tc>
      </w:tr>
      <w:tr w:rsidR="001877EA" w:rsidRPr="00ED6D70" w:rsidTr="00ED6D70">
        <w:trPr>
          <w:jc w:val="center"/>
        </w:trPr>
        <w:tc>
          <w:tcPr>
            <w:tcW w:w="1591" w:type="pct"/>
            <w:shd w:val="clear" w:color="auto" w:fill="auto"/>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color w:val="000000"/>
                <w:sz w:val="20"/>
                <w:szCs w:val="20"/>
              </w:rPr>
            </w:pPr>
            <w:r w:rsidRPr="00ED6D70">
              <w:rPr>
                <w:rFonts w:ascii="Times New Roman" w:eastAsia="Times New Roman" w:hAnsi="Times New Roman" w:cs="Times New Roman"/>
                <w:color w:val="000000"/>
                <w:sz w:val="20"/>
                <w:szCs w:val="20"/>
              </w:rPr>
              <w:t>1990-91 to 2000-01</w:t>
            </w:r>
          </w:p>
        </w:tc>
        <w:tc>
          <w:tcPr>
            <w:tcW w:w="872" w:type="pct"/>
            <w:shd w:val="clear" w:color="auto" w:fill="auto"/>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color w:val="000000"/>
                <w:sz w:val="20"/>
                <w:szCs w:val="20"/>
              </w:rPr>
            </w:pPr>
            <w:r w:rsidRPr="00ED6D70">
              <w:rPr>
                <w:rFonts w:ascii="Times New Roman" w:eastAsia="Times New Roman" w:hAnsi="Times New Roman" w:cs="Times New Roman"/>
                <w:color w:val="000000"/>
                <w:sz w:val="20"/>
                <w:szCs w:val="20"/>
              </w:rPr>
              <w:t>5.25</w:t>
            </w:r>
          </w:p>
        </w:tc>
        <w:tc>
          <w:tcPr>
            <w:tcW w:w="832" w:type="pct"/>
            <w:shd w:val="clear" w:color="auto" w:fill="auto"/>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color w:val="000000"/>
                <w:sz w:val="20"/>
                <w:szCs w:val="20"/>
              </w:rPr>
            </w:pPr>
            <w:r w:rsidRPr="00ED6D70">
              <w:rPr>
                <w:rFonts w:ascii="Times New Roman" w:eastAsia="Times New Roman" w:hAnsi="Times New Roman" w:cs="Times New Roman"/>
                <w:color w:val="000000"/>
                <w:sz w:val="20"/>
                <w:szCs w:val="20"/>
              </w:rPr>
              <w:t>18.92</w:t>
            </w:r>
          </w:p>
        </w:tc>
        <w:tc>
          <w:tcPr>
            <w:tcW w:w="872" w:type="pct"/>
            <w:shd w:val="clear" w:color="auto" w:fill="auto"/>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color w:val="000000"/>
                <w:sz w:val="20"/>
                <w:szCs w:val="20"/>
              </w:rPr>
            </w:pPr>
            <w:r w:rsidRPr="00ED6D70">
              <w:rPr>
                <w:rFonts w:ascii="Times New Roman" w:eastAsia="Times New Roman" w:hAnsi="Times New Roman" w:cs="Times New Roman"/>
                <w:color w:val="000000"/>
                <w:sz w:val="20"/>
                <w:szCs w:val="20"/>
              </w:rPr>
              <w:t>4.62</w:t>
            </w:r>
          </w:p>
        </w:tc>
        <w:tc>
          <w:tcPr>
            <w:tcW w:w="832" w:type="pct"/>
            <w:shd w:val="clear" w:color="auto" w:fill="auto"/>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color w:val="000000"/>
                <w:sz w:val="20"/>
                <w:szCs w:val="20"/>
              </w:rPr>
            </w:pPr>
            <w:r w:rsidRPr="00ED6D70">
              <w:rPr>
                <w:rFonts w:ascii="Times New Roman" w:eastAsia="Times New Roman" w:hAnsi="Times New Roman" w:cs="Times New Roman"/>
                <w:color w:val="000000"/>
                <w:sz w:val="20"/>
                <w:szCs w:val="20"/>
              </w:rPr>
              <w:t>18.15</w:t>
            </w:r>
          </w:p>
        </w:tc>
      </w:tr>
      <w:tr w:rsidR="001877EA" w:rsidRPr="00ED6D70" w:rsidTr="00ED6D70">
        <w:trPr>
          <w:jc w:val="center"/>
        </w:trPr>
        <w:tc>
          <w:tcPr>
            <w:tcW w:w="1591" w:type="pct"/>
            <w:shd w:val="clear" w:color="auto" w:fill="auto"/>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color w:val="000000"/>
                <w:sz w:val="20"/>
                <w:szCs w:val="20"/>
              </w:rPr>
            </w:pPr>
            <w:r w:rsidRPr="00ED6D70">
              <w:rPr>
                <w:rFonts w:ascii="Times New Roman" w:eastAsia="Times New Roman" w:hAnsi="Times New Roman" w:cs="Times New Roman"/>
                <w:color w:val="000000"/>
                <w:sz w:val="20"/>
                <w:szCs w:val="20"/>
              </w:rPr>
              <w:t>2000-01 to 2010-11</w:t>
            </w:r>
          </w:p>
        </w:tc>
        <w:tc>
          <w:tcPr>
            <w:tcW w:w="872" w:type="pct"/>
            <w:shd w:val="clear" w:color="auto" w:fill="auto"/>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color w:val="000000"/>
                <w:sz w:val="20"/>
                <w:szCs w:val="20"/>
              </w:rPr>
            </w:pPr>
            <w:r w:rsidRPr="00ED6D70">
              <w:rPr>
                <w:rFonts w:ascii="Times New Roman" w:eastAsia="Times New Roman" w:hAnsi="Times New Roman" w:cs="Times New Roman"/>
                <w:color w:val="000000"/>
                <w:sz w:val="20"/>
                <w:szCs w:val="20"/>
              </w:rPr>
              <w:t>9.95</w:t>
            </w:r>
          </w:p>
        </w:tc>
        <w:tc>
          <w:tcPr>
            <w:tcW w:w="832" w:type="pct"/>
            <w:shd w:val="clear" w:color="auto" w:fill="auto"/>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color w:val="000000"/>
                <w:sz w:val="20"/>
                <w:szCs w:val="20"/>
              </w:rPr>
            </w:pPr>
            <w:r w:rsidRPr="00ED6D70">
              <w:rPr>
                <w:rFonts w:ascii="Times New Roman" w:eastAsia="Times New Roman" w:hAnsi="Times New Roman" w:cs="Times New Roman"/>
                <w:color w:val="000000"/>
                <w:sz w:val="20"/>
                <w:szCs w:val="20"/>
              </w:rPr>
              <w:t>12.57</w:t>
            </w:r>
          </w:p>
        </w:tc>
        <w:tc>
          <w:tcPr>
            <w:tcW w:w="872" w:type="pct"/>
            <w:shd w:val="clear" w:color="auto" w:fill="auto"/>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color w:val="000000"/>
                <w:sz w:val="20"/>
                <w:szCs w:val="20"/>
              </w:rPr>
            </w:pPr>
            <w:r w:rsidRPr="00ED6D70">
              <w:rPr>
                <w:rFonts w:ascii="Times New Roman" w:eastAsia="Times New Roman" w:hAnsi="Times New Roman" w:cs="Times New Roman"/>
                <w:color w:val="000000"/>
                <w:sz w:val="20"/>
                <w:szCs w:val="20"/>
              </w:rPr>
              <w:t>9.49</w:t>
            </w:r>
          </w:p>
        </w:tc>
        <w:tc>
          <w:tcPr>
            <w:tcW w:w="832" w:type="pct"/>
            <w:shd w:val="clear" w:color="auto" w:fill="auto"/>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color w:val="000000"/>
                <w:sz w:val="20"/>
                <w:szCs w:val="20"/>
              </w:rPr>
            </w:pPr>
            <w:r w:rsidRPr="00ED6D70">
              <w:rPr>
                <w:rFonts w:ascii="Times New Roman" w:eastAsia="Times New Roman" w:hAnsi="Times New Roman" w:cs="Times New Roman"/>
                <w:color w:val="000000"/>
                <w:sz w:val="20"/>
                <w:szCs w:val="20"/>
              </w:rPr>
              <w:t>11.95</w:t>
            </w:r>
          </w:p>
        </w:tc>
      </w:tr>
    </w:tbl>
    <w:p w:rsidR="00633BAB" w:rsidRPr="00505F99" w:rsidRDefault="00CF262A" w:rsidP="00505F99">
      <w:pPr>
        <w:pStyle w:val="ListParagraph"/>
        <w:snapToGrid w:val="0"/>
        <w:spacing w:after="0" w:line="240" w:lineRule="auto"/>
        <w:ind w:left="0"/>
        <w:jc w:val="center"/>
        <w:rPr>
          <w:rFonts w:ascii="Times New Roman" w:hAnsi="Times New Roman" w:cs="Times New Roman"/>
          <w:sz w:val="20"/>
          <w:szCs w:val="20"/>
        </w:rPr>
      </w:pPr>
      <w:r w:rsidRPr="00505F99">
        <w:rPr>
          <w:rFonts w:ascii="Times New Roman" w:hAnsi="Times New Roman" w:cs="Times New Roman"/>
          <w:noProof/>
          <w:sz w:val="20"/>
          <w:szCs w:val="20"/>
          <w:lang w:eastAsia="zh-CN"/>
        </w:rPr>
        <w:lastRenderedPageBreak/>
        <w:drawing>
          <wp:inline distT="0" distB="0" distL="0" distR="0">
            <wp:extent cx="4167939" cy="2502568"/>
            <wp:effectExtent l="19050" t="0" r="23061" b="0"/>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877EA" w:rsidRPr="00505F99" w:rsidRDefault="001877EA" w:rsidP="00505F99">
      <w:pPr>
        <w:pStyle w:val="ListParagraph"/>
        <w:snapToGrid w:val="0"/>
        <w:spacing w:after="0" w:line="240" w:lineRule="auto"/>
        <w:ind w:left="0"/>
        <w:rPr>
          <w:rFonts w:ascii="Times New Roman" w:eastAsia="Times New Roman" w:hAnsi="Times New Roman" w:cs="Times New Roman"/>
          <w:b/>
          <w:bCs/>
          <w:color w:val="000000"/>
          <w:sz w:val="20"/>
          <w:szCs w:val="20"/>
        </w:rPr>
      </w:pPr>
    </w:p>
    <w:p w:rsidR="00E45138" w:rsidRPr="00505F99" w:rsidRDefault="00FA2126" w:rsidP="00505F99">
      <w:pPr>
        <w:pStyle w:val="ListParagraph"/>
        <w:snapToGrid w:val="0"/>
        <w:spacing w:after="0" w:line="240" w:lineRule="auto"/>
        <w:ind w:left="0"/>
        <w:rPr>
          <w:rFonts w:ascii="Times New Roman" w:hAnsi="Times New Roman" w:cs="Times New Roman"/>
          <w:sz w:val="20"/>
          <w:szCs w:val="20"/>
        </w:rPr>
      </w:pPr>
      <w:r w:rsidRPr="00505F99">
        <w:rPr>
          <w:rFonts w:ascii="Times New Roman" w:eastAsia="Times New Roman" w:hAnsi="Times New Roman" w:cs="Times New Roman"/>
          <w:b/>
          <w:bCs/>
          <w:color w:val="000000"/>
          <w:sz w:val="20"/>
          <w:szCs w:val="20"/>
        </w:rPr>
        <w:t>Compound  growth rate of NSDP (30-yearly)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8"/>
        <w:gridCol w:w="1671"/>
        <w:gridCol w:w="1594"/>
        <w:gridCol w:w="1670"/>
        <w:gridCol w:w="1593"/>
      </w:tblGrid>
      <w:tr w:rsidR="001877EA" w:rsidRPr="00ED6D70" w:rsidTr="00ED6D70">
        <w:trPr>
          <w:jc w:val="center"/>
        </w:trPr>
        <w:tc>
          <w:tcPr>
            <w:tcW w:w="1591" w:type="pct"/>
            <w:shd w:val="clear" w:color="000000" w:fill="FFFFFF"/>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b/>
                <w:bCs/>
                <w:color w:val="000000"/>
                <w:sz w:val="20"/>
                <w:szCs w:val="20"/>
              </w:rPr>
            </w:pPr>
            <w:r w:rsidRPr="00ED6D70">
              <w:rPr>
                <w:rFonts w:ascii="Times New Roman" w:eastAsia="Times New Roman" w:hAnsi="Times New Roman" w:cs="Times New Roman"/>
                <w:b/>
                <w:bCs/>
                <w:color w:val="000000"/>
                <w:sz w:val="20"/>
                <w:szCs w:val="20"/>
              </w:rPr>
              <w:t>Year</w:t>
            </w:r>
          </w:p>
        </w:tc>
        <w:tc>
          <w:tcPr>
            <w:tcW w:w="1704" w:type="pct"/>
            <w:gridSpan w:val="2"/>
            <w:shd w:val="clear" w:color="auto" w:fill="auto"/>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color w:val="000000"/>
                <w:sz w:val="20"/>
                <w:szCs w:val="20"/>
              </w:rPr>
            </w:pPr>
            <w:r w:rsidRPr="00ED6D70">
              <w:rPr>
                <w:rFonts w:ascii="Times New Roman" w:eastAsia="Times New Roman" w:hAnsi="Times New Roman" w:cs="Times New Roman"/>
                <w:color w:val="000000"/>
                <w:sz w:val="20"/>
                <w:szCs w:val="20"/>
              </w:rPr>
              <w:t>Tertiary Sector</w:t>
            </w:r>
          </w:p>
        </w:tc>
        <w:tc>
          <w:tcPr>
            <w:tcW w:w="1704" w:type="pct"/>
            <w:gridSpan w:val="2"/>
            <w:shd w:val="clear" w:color="auto" w:fill="auto"/>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color w:val="000000"/>
                <w:sz w:val="20"/>
                <w:szCs w:val="20"/>
              </w:rPr>
            </w:pPr>
            <w:r w:rsidRPr="00ED6D70">
              <w:rPr>
                <w:rFonts w:ascii="Times New Roman" w:eastAsia="Times New Roman" w:hAnsi="Times New Roman" w:cs="Times New Roman"/>
                <w:color w:val="000000"/>
                <w:sz w:val="20"/>
                <w:szCs w:val="20"/>
              </w:rPr>
              <w:t>NSDP</w:t>
            </w:r>
          </w:p>
        </w:tc>
      </w:tr>
      <w:tr w:rsidR="001877EA" w:rsidRPr="00ED6D70" w:rsidTr="00ED6D70">
        <w:trPr>
          <w:jc w:val="center"/>
        </w:trPr>
        <w:tc>
          <w:tcPr>
            <w:tcW w:w="1591" w:type="pct"/>
            <w:vMerge w:val="restart"/>
            <w:shd w:val="clear" w:color="000000" w:fill="FFFFFF"/>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b/>
                <w:bCs/>
                <w:color w:val="000000"/>
                <w:sz w:val="20"/>
                <w:szCs w:val="20"/>
              </w:rPr>
            </w:pPr>
            <w:r w:rsidRPr="00ED6D70">
              <w:rPr>
                <w:rFonts w:ascii="Times New Roman" w:eastAsia="Times New Roman" w:hAnsi="Times New Roman" w:cs="Times New Roman"/>
                <w:color w:val="000000"/>
                <w:sz w:val="20"/>
                <w:szCs w:val="20"/>
              </w:rPr>
              <w:t>1980-81 to 2010-11</w:t>
            </w:r>
          </w:p>
        </w:tc>
        <w:tc>
          <w:tcPr>
            <w:tcW w:w="872" w:type="pct"/>
            <w:shd w:val="clear" w:color="auto" w:fill="auto"/>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color w:val="000000"/>
                <w:sz w:val="20"/>
                <w:szCs w:val="20"/>
              </w:rPr>
            </w:pPr>
            <w:proofErr w:type="spellStart"/>
            <w:r w:rsidRPr="00ED6D70">
              <w:rPr>
                <w:rFonts w:ascii="Times New Roman" w:eastAsia="Times New Roman" w:hAnsi="Times New Roman" w:cs="Times New Roman"/>
                <w:color w:val="000000"/>
                <w:sz w:val="20"/>
                <w:szCs w:val="20"/>
              </w:rPr>
              <w:t>Cn.Prices</w:t>
            </w:r>
            <w:proofErr w:type="spellEnd"/>
          </w:p>
        </w:tc>
        <w:tc>
          <w:tcPr>
            <w:tcW w:w="832" w:type="pct"/>
            <w:shd w:val="clear" w:color="auto" w:fill="auto"/>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color w:val="000000"/>
                <w:sz w:val="20"/>
                <w:szCs w:val="20"/>
              </w:rPr>
            </w:pPr>
            <w:proofErr w:type="spellStart"/>
            <w:r w:rsidRPr="00ED6D70">
              <w:rPr>
                <w:rFonts w:ascii="Times New Roman" w:eastAsia="Times New Roman" w:hAnsi="Times New Roman" w:cs="Times New Roman"/>
                <w:color w:val="000000"/>
                <w:sz w:val="20"/>
                <w:szCs w:val="20"/>
              </w:rPr>
              <w:t>Ct.Prices</w:t>
            </w:r>
            <w:proofErr w:type="spellEnd"/>
          </w:p>
        </w:tc>
        <w:tc>
          <w:tcPr>
            <w:tcW w:w="872" w:type="pct"/>
            <w:shd w:val="clear" w:color="auto" w:fill="auto"/>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color w:val="000000"/>
                <w:sz w:val="20"/>
                <w:szCs w:val="20"/>
              </w:rPr>
            </w:pPr>
            <w:proofErr w:type="spellStart"/>
            <w:r w:rsidRPr="00ED6D70">
              <w:rPr>
                <w:rFonts w:ascii="Times New Roman" w:eastAsia="Times New Roman" w:hAnsi="Times New Roman" w:cs="Times New Roman"/>
                <w:color w:val="000000"/>
                <w:sz w:val="20"/>
                <w:szCs w:val="20"/>
              </w:rPr>
              <w:t>Cn.Prices</w:t>
            </w:r>
            <w:proofErr w:type="spellEnd"/>
          </w:p>
        </w:tc>
        <w:tc>
          <w:tcPr>
            <w:tcW w:w="832" w:type="pct"/>
            <w:shd w:val="clear" w:color="auto" w:fill="auto"/>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color w:val="000000"/>
                <w:sz w:val="20"/>
                <w:szCs w:val="20"/>
              </w:rPr>
            </w:pPr>
            <w:proofErr w:type="spellStart"/>
            <w:r w:rsidRPr="00ED6D70">
              <w:rPr>
                <w:rFonts w:ascii="Times New Roman" w:eastAsia="Times New Roman" w:hAnsi="Times New Roman" w:cs="Times New Roman"/>
                <w:color w:val="000000"/>
                <w:sz w:val="20"/>
                <w:szCs w:val="20"/>
              </w:rPr>
              <w:t>Ct.Prices</w:t>
            </w:r>
            <w:proofErr w:type="spellEnd"/>
          </w:p>
        </w:tc>
      </w:tr>
      <w:tr w:rsidR="001877EA" w:rsidRPr="00ED6D70" w:rsidTr="00ED6D70">
        <w:trPr>
          <w:jc w:val="center"/>
        </w:trPr>
        <w:tc>
          <w:tcPr>
            <w:tcW w:w="1591" w:type="pct"/>
            <w:vMerge/>
            <w:shd w:val="clear" w:color="auto" w:fill="auto"/>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color w:val="000000"/>
                <w:sz w:val="20"/>
                <w:szCs w:val="20"/>
              </w:rPr>
            </w:pPr>
          </w:p>
        </w:tc>
        <w:tc>
          <w:tcPr>
            <w:tcW w:w="872" w:type="pct"/>
            <w:shd w:val="clear" w:color="auto" w:fill="auto"/>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color w:val="000000"/>
                <w:sz w:val="20"/>
                <w:szCs w:val="20"/>
              </w:rPr>
            </w:pPr>
            <w:r w:rsidRPr="00ED6D70">
              <w:rPr>
                <w:rFonts w:ascii="Times New Roman" w:eastAsia="Times New Roman" w:hAnsi="Times New Roman" w:cs="Times New Roman"/>
                <w:color w:val="000000"/>
                <w:sz w:val="20"/>
                <w:szCs w:val="20"/>
              </w:rPr>
              <w:t>5.49</w:t>
            </w:r>
          </w:p>
        </w:tc>
        <w:tc>
          <w:tcPr>
            <w:tcW w:w="832" w:type="pct"/>
            <w:shd w:val="clear" w:color="auto" w:fill="auto"/>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color w:val="000000"/>
                <w:sz w:val="20"/>
                <w:szCs w:val="20"/>
              </w:rPr>
            </w:pPr>
            <w:r w:rsidRPr="00ED6D70">
              <w:rPr>
                <w:rFonts w:ascii="Times New Roman" w:eastAsia="Times New Roman" w:hAnsi="Times New Roman" w:cs="Times New Roman"/>
                <w:color w:val="000000"/>
                <w:sz w:val="20"/>
                <w:szCs w:val="20"/>
              </w:rPr>
              <w:t>14.25</w:t>
            </w:r>
          </w:p>
        </w:tc>
        <w:tc>
          <w:tcPr>
            <w:tcW w:w="872" w:type="pct"/>
            <w:shd w:val="clear" w:color="auto" w:fill="auto"/>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color w:val="000000"/>
                <w:sz w:val="20"/>
                <w:szCs w:val="20"/>
              </w:rPr>
            </w:pPr>
            <w:r w:rsidRPr="00ED6D70">
              <w:rPr>
                <w:rFonts w:ascii="Times New Roman" w:eastAsia="Times New Roman" w:hAnsi="Times New Roman" w:cs="Times New Roman"/>
                <w:color w:val="000000"/>
                <w:sz w:val="20"/>
                <w:szCs w:val="20"/>
              </w:rPr>
              <w:t>5.07</w:t>
            </w:r>
          </w:p>
        </w:tc>
        <w:tc>
          <w:tcPr>
            <w:tcW w:w="832" w:type="pct"/>
            <w:shd w:val="clear" w:color="auto" w:fill="auto"/>
            <w:noWrap/>
            <w:vAlign w:val="center"/>
            <w:hideMark/>
          </w:tcPr>
          <w:p w:rsidR="001877EA" w:rsidRPr="00ED6D70" w:rsidRDefault="001877EA" w:rsidP="00ED6D70">
            <w:pPr>
              <w:snapToGrid w:val="0"/>
              <w:spacing w:before="0"/>
              <w:ind w:left="0"/>
              <w:jc w:val="center"/>
              <w:rPr>
                <w:rFonts w:ascii="Times New Roman" w:eastAsia="Times New Roman" w:hAnsi="Times New Roman" w:cs="Times New Roman"/>
                <w:color w:val="000000"/>
                <w:sz w:val="20"/>
                <w:szCs w:val="20"/>
              </w:rPr>
            </w:pPr>
            <w:r w:rsidRPr="00ED6D70">
              <w:rPr>
                <w:rFonts w:ascii="Times New Roman" w:eastAsia="Times New Roman" w:hAnsi="Times New Roman" w:cs="Times New Roman"/>
                <w:color w:val="000000"/>
                <w:sz w:val="20"/>
                <w:szCs w:val="20"/>
              </w:rPr>
              <w:t>13.77</w:t>
            </w:r>
          </w:p>
        </w:tc>
      </w:tr>
    </w:tbl>
    <w:p w:rsidR="00633BAB" w:rsidRPr="00505F99" w:rsidRDefault="00633BAB" w:rsidP="00505F99">
      <w:pPr>
        <w:pStyle w:val="ListParagraph"/>
        <w:snapToGrid w:val="0"/>
        <w:spacing w:after="0" w:line="240" w:lineRule="auto"/>
        <w:ind w:left="0" w:firstLine="425"/>
        <w:rPr>
          <w:rFonts w:ascii="Times New Roman" w:hAnsi="Times New Roman" w:cs="Times New Roman"/>
          <w:sz w:val="20"/>
          <w:szCs w:val="20"/>
        </w:rPr>
      </w:pPr>
    </w:p>
    <w:p w:rsidR="00E45138" w:rsidRPr="00505F99" w:rsidRDefault="00E45138" w:rsidP="00505F99">
      <w:pPr>
        <w:pStyle w:val="ListParagraph"/>
        <w:snapToGrid w:val="0"/>
        <w:spacing w:after="0" w:line="240" w:lineRule="auto"/>
        <w:ind w:left="0"/>
        <w:jc w:val="center"/>
        <w:rPr>
          <w:rFonts w:ascii="Times New Roman" w:hAnsi="Times New Roman" w:cs="Times New Roman"/>
          <w:sz w:val="20"/>
          <w:szCs w:val="20"/>
        </w:rPr>
      </w:pPr>
      <w:r w:rsidRPr="00505F99">
        <w:rPr>
          <w:rFonts w:ascii="Times New Roman" w:hAnsi="Times New Roman" w:cs="Times New Roman"/>
          <w:noProof/>
          <w:sz w:val="20"/>
          <w:szCs w:val="20"/>
          <w:lang w:eastAsia="zh-CN"/>
        </w:rPr>
        <w:drawing>
          <wp:inline distT="0" distB="0" distL="0" distR="0">
            <wp:extent cx="4425729" cy="2600077"/>
            <wp:effectExtent l="19050" t="0" r="12921" b="0"/>
            <wp:docPr id="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43D18" w:rsidRPr="00505F99" w:rsidRDefault="00743D18" w:rsidP="00505F99">
      <w:pPr>
        <w:pStyle w:val="ListParagraph"/>
        <w:snapToGrid w:val="0"/>
        <w:spacing w:after="0" w:line="240" w:lineRule="auto"/>
        <w:ind w:left="0"/>
        <w:rPr>
          <w:rFonts w:ascii="Times New Roman" w:hAnsi="Times New Roman" w:cs="Times New Roman"/>
          <w:sz w:val="20"/>
          <w:szCs w:val="20"/>
        </w:rPr>
      </w:pPr>
    </w:p>
    <w:p w:rsidR="00FA2126" w:rsidRPr="00505F99" w:rsidRDefault="00FA2126" w:rsidP="00505F99">
      <w:pPr>
        <w:pStyle w:val="ListParagraph"/>
        <w:snapToGrid w:val="0"/>
        <w:spacing w:after="0" w:line="240" w:lineRule="auto"/>
        <w:ind w:left="0"/>
        <w:rPr>
          <w:rFonts w:ascii="Times New Roman" w:hAnsi="Times New Roman" w:cs="Times New Roman"/>
          <w:sz w:val="20"/>
          <w:szCs w:val="20"/>
        </w:rPr>
      </w:pPr>
      <w:r w:rsidRPr="00505F99">
        <w:rPr>
          <w:rFonts w:ascii="Times New Roman" w:eastAsia="Times New Roman" w:hAnsi="Times New Roman" w:cs="Times New Roman"/>
          <w:b/>
          <w:bCs/>
          <w:color w:val="000000"/>
          <w:sz w:val="20"/>
          <w:szCs w:val="20"/>
        </w:rPr>
        <w:t>Employment Elasticity of Income of Tertiary sector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2"/>
        <w:gridCol w:w="2222"/>
        <w:gridCol w:w="2222"/>
        <w:gridCol w:w="2220"/>
      </w:tblGrid>
      <w:tr w:rsidR="00ED51CF" w:rsidRPr="00ED6D70" w:rsidTr="00ED6D70">
        <w:trPr>
          <w:jc w:val="center"/>
        </w:trPr>
        <w:tc>
          <w:tcPr>
            <w:tcW w:w="1521" w:type="pct"/>
            <w:shd w:val="clear" w:color="auto" w:fill="auto"/>
            <w:noWrap/>
            <w:vAlign w:val="center"/>
            <w:hideMark/>
          </w:tcPr>
          <w:p w:rsidR="00ED51CF" w:rsidRPr="00ED6D70" w:rsidRDefault="00ED51CF" w:rsidP="00ED6D70">
            <w:pPr>
              <w:snapToGrid w:val="0"/>
              <w:spacing w:before="0"/>
              <w:ind w:left="0"/>
              <w:jc w:val="center"/>
              <w:rPr>
                <w:rFonts w:ascii="Times New Roman" w:eastAsia="Times New Roman" w:hAnsi="Times New Roman" w:cs="Times New Roman"/>
                <w:color w:val="000000"/>
                <w:sz w:val="20"/>
                <w:szCs w:val="20"/>
              </w:rPr>
            </w:pPr>
            <w:r w:rsidRPr="00ED6D70">
              <w:rPr>
                <w:rFonts w:ascii="Times New Roman" w:eastAsia="Times New Roman" w:hAnsi="Times New Roman" w:cs="Times New Roman"/>
                <w:color w:val="000000"/>
                <w:sz w:val="20"/>
                <w:szCs w:val="20"/>
              </w:rPr>
              <w:t>Sector</w:t>
            </w:r>
          </w:p>
        </w:tc>
        <w:tc>
          <w:tcPr>
            <w:tcW w:w="1160" w:type="pct"/>
            <w:shd w:val="clear" w:color="auto" w:fill="auto"/>
            <w:noWrap/>
            <w:vAlign w:val="center"/>
            <w:hideMark/>
          </w:tcPr>
          <w:p w:rsidR="00ED51CF" w:rsidRPr="00ED6D70" w:rsidRDefault="00ED51CF" w:rsidP="00ED6D70">
            <w:pPr>
              <w:snapToGrid w:val="0"/>
              <w:spacing w:before="0"/>
              <w:ind w:left="0"/>
              <w:jc w:val="center"/>
              <w:rPr>
                <w:rFonts w:ascii="Times New Roman" w:eastAsia="Times New Roman" w:hAnsi="Times New Roman" w:cs="Times New Roman"/>
                <w:color w:val="000000"/>
                <w:sz w:val="20"/>
                <w:szCs w:val="20"/>
              </w:rPr>
            </w:pPr>
            <w:r w:rsidRPr="00ED6D70">
              <w:rPr>
                <w:rFonts w:ascii="Times New Roman" w:eastAsia="Times New Roman" w:hAnsi="Times New Roman" w:cs="Times New Roman"/>
                <w:color w:val="000000"/>
                <w:sz w:val="20"/>
                <w:szCs w:val="20"/>
              </w:rPr>
              <w:t>1981-1991</w:t>
            </w:r>
          </w:p>
        </w:tc>
        <w:tc>
          <w:tcPr>
            <w:tcW w:w="1160" w:type="pct"/>
            <w:shd w:val="clear" w:color="auto" w:fill="auto"/>
            <w:noWrap/>
            <w:vAlign w:val="center"/>
            <w:hideMark/>
          </w:tcPr>
          <w:p w:rsidR="00ED51CF" w:rsidRPr="00ED6D70" w:rsidRDefault="00ED51CF" w:rsidP="00ED6D70">
            <w:pPr>
              <w:snapToGrid w:val="0"/>
              <w:spacing w:before="0"/>
              <w:ind w:left="0"/>
              <w:jc w:val="center"/>
              <w:rPr>
                <w:rFonts w:ascii="Times New Roman" w:eastAsia="Times New Roman" w:hAnsi="Times New Roman" w:cs="Times New Roman"/>
                <w:color w:val="000000"/>
                <w:sz w:val="20"/>
                <w:szCs w:val="20"/>
              </w:rPr>
            </w:pPr>
            <w:r w:rsidRPr="00ED6D70">
              <w:rPr>
                <w:rFonts w:ascii="Times New Roman" w:eastAsia="Times New Roman" w:hAnsi="Times New Roman" w:cs="Times New Roman"/>
                <w:color w:val="000000"/>
                <w:sz w:val="20"/>
                <w:szCs w:val="20"/>
              </w:rPr>
              <w:t>1991-2001</w:t>
            </w:r>
          </w:p>
        </w:tc>
        <w:tc>
          <w:tcPr>
            <w:tcW w:w="1160" w:type="pct"/>
            <w:shd w:val="clear" w:color="auto" w:fill="auto"/>
            <w:noWrap/>
            <w:vAlign w:val="center"/>
            <w:hideMark/>
          </w:tcPr>
          <w:p w:rsidR="00ED51CF" w:rsidRPr="00ED6D70" w:rsidRDefault="00ED51CF" w:rsidP="00ED6D70">
            <w:pPr>
              <w:snapToGrid w:val="0"/>
              <w:spacing w:before="0"/>
              <w:ind w:left="0"/>
              <w:jc w:val="center"/>
              <w:rPr>
                <w:rFonts w:ascii="Times New Roman" w:eastAsia="Times New Roman" w:hAnsi="Times New Roman" w:cs="Times New Roman"/>
                <w:color w:val="000000"/>
                <w:sz w:val="20"/>
                <w:szCs w:val="20"/>
              </w:rPr>
            </w:pPr>
            <w:r w:rsidRPr="00ED6D70">
              <w:rPr>
                <w:rFonts w:ascii="Times New Roman" w:eastAsia="Times New Roman" w:hAnsi="Times New Roman" w:cs="Times New Roman"/>
                <w:color w:val="000000"/>
                <w:sz w:val="20"/>
                <w:szCs w:val="20"/>
              </w:rPr>
              <w:t>2001-2011</w:t>
            </w:r>
          </w:p>
        </w:tc>
      </w:tr>
      <w:tr w:rsidR="00ED51CF" w:rsidRPr="00ED6D70" w:rsidTr="00ED6D70">
        <w:trPr>
          <w:jc w:val="center"/>
        </w:trPr>
        <w:tc>
          <w:tcPr>
            <w:tcW w:w="1521" w:type="pct"/>
            <w:shd w:val="clear" w:color="auto" w:fill="auto"/>
            <w:noWrap/>
            <w:vAlign w:val="center"/>
            <w:hideMark/>
          </w:tcPr>
          <w:p w:rsidR="00ED51CF" w:rsidRPr="00ED6D70" w:rsidRDefault="00ED51CF" w:rsidP="00ED6D70">
            <w:pPr>
              <w:snapToGrid w:val="0"/>
              <w:spacing w:before="0"/>
              <w:ind w:left="0"/>
              <w:jc w:val="center"/>
              <w:rPr>
                <w:rFonts w:ascii="Times New Roman" w:eastAsia="Times New Roman" w:hAnsi="Times New Roman" w:cs="Times New Roman"/>
                <w:color w:val="000000"/>
                <w:sz w:val="20"/>
                <w:szCs w:val="20"/>
              </w:rPr>
            </w:pPr>
            <w:r w:rsidRPr="00ED6D70">
              <w:rPr>
                <w:rFonts w:ascii="Times New Roman" w:eastAsia="Times New Roman" w:hAnsi="Times New Roman" w:cs="Times New Roman"/>
                <w:color w:val="000000"/>
                <w:sz w:val="20"/>
                <w:szCs w:val="20"/>
              </w:rPr>
              <w:t>Tertiary Sector</w:t>
            </w:r>
          </w:p>
        </w:tc>
        <w:tc>
          <w:tcPr>
            <w:tcW w:w="1160" w:type="pct"/>
            <w:shd w:val="clear" w:color="auto" w:fill="auto"/>
            <w:noWrap/>
            <w:vAlign w:val="center"/>
            <w:hideMark/>
          </w:tcPr>
          <w:p w:rsidR="00ED51CF" w:rsidRPr="00ED6D70" w:rsidRDefault="00ED51CF" w:rsidP="00ED6D70">
            <w:pPr>
              <w:snapToGrid w:val="0"/>
              <w:spacing w:before="0"/>
              <w:ind w:left="0"/>
              <w:jc w:val="center"/>
              <w:rPr>
                <w:rFonts w:ascii="Times New Roman" w:eastAsia="Times New Roman" w:hAnsi="Times New Roman" w:cs="Times New Roman"/>
                <w:color w:val="000000"/>
                <w:sz w:val="20"/>
                <w:szCs w:val="20"/>
              </w:rPr>
            </w:pPr>
            <w:r w:rsidRPr="00ED6D70">
              <w:rPr>
                <w:rFonts w:ascii="Times New Roman" w:eastAsia="Times New Roman" w:hAnsi="Times New Roman" w:cs="Times New Roman"/>
                <w:color w:val="000000"/>
                <w:sz w:val="20"/>
                <w:szCs w:val="20"/>
              </w:rPr>
              <w:t>0.62</w:t>
            </w:r>
          </w:p>
        </w:tc>
        <w:tc>
          <w:tcPr>
            <w:tcW w:w="1160" w:type="pct"/>
            <w:shd w:val="clear" w:color="auto" w:fill="auto"/>
            <w:noWrap/>
            <w:vAlign w:val="center"/>
            <w:hideMark/>
          </w:tcPr>
          <w:p w:rsidR="00ED51CF" w:rsidRPr="00ED6D70" w:rsidRDefault="00ED51CF" w:rsidP="00ED6D70">
            <w:pPr>
              <w:snapToGrid w:val="0"/>
              <w:spacing w:before="0"/>
              <w:ind w:left="0"/>
              <w:jc w:val="center"/>
              <w:rPr>
                <w:rFonts w:ascii="Times New Roman" w:eastAsia="Times New Roman" w:hAnsi="Times New Roman" w:cs="Times New Roman"/>
                <w:color w:val="000000"/>
                <w:sz w:val="20"/>
                <w:szCs w:val="20"/>
              </w:rPr>
            </w:pPr>
            <w:r w:rsidRPr="00ED6D70">
              <w:rPr>
                <w:rFonts w:ascii="Times New Roman" w:eastAsia="Times New Roman" w:hAnsi="Times New Roman" w:cs="Times New Roman"/>
                <w:color w:val="000000"/>
                <w:sz w:val="20"/>
                <w:szCs w:val="20"/>
              </w:rPr>
              <w:t>0.34</w:t>
            </w:r>
          </w:p>
        </w:tc>
        <w:tc>
          <w:tcPr>
            <w:tcW w:w="1160" w:type="pct"/>
            <w:shd w:val="clear" w:color="auto" w:fill="auto"/>
            <w:noWrap/>
            <w:vAlign w:val="center"/>
            <w:hideMark/>
          </w:tcPr>
          <w:p w:rsidR="00ED51CF" w:rsidRPr="00ED6D70" w:rsidRDefault="00ED51CF" w:rsidP="00ED6D70">
            <w:pPr>
              <w:snapToGrid w:val="0"/>
              <w:spacing w:before="0"/>
              <w:ind w:left="0"/>
              <w:jc w:val="center"/>
              <w:rPr>
                <w:rFonts w:ascii="Times New Roman" w:eastAsia="Times New Roman" w:hAnsi="Times New Roman" w:cs="Times New Roman"/>
                <w:color w:val="000000"/>
                <w:sz w:val="20"/>
                <w:szCs w:val="20"/>
              </w:rPr>
            </w:pPr>
            <w:r w:rsidRPr="00ED6D70">
              <w:rPr>
                <w:rFonts w:ascii="Times New Roman" w:eastAsia="Times New Roman" w:hAnsi="Times New Roman" w:cs="Times New Roman"/>
                <w:color w:val="000000"/>
                <w:sz w:val="20"/>
                <w:szCs w:val="20"/>
              </w:rPr>
              <w:t>0.13</w:t>
            </w:r>
          </w:p>
        </w:tc>
      </w:tr>
    </w:tbl>
    <w:p w:rsidR="00505F99" w:rsidRDefault="00505F99" w:rsidP="00505F99">
      <w:pPr>
        <w:autoSpaceDE w:val="0"/>
        <w:autoSpaceDN w:val="0"/>
        <w:adjustRightInd w:val="0"/>
        <w:snapToGrid w:val="0"/>
        <w:spacing w:before="0"/>
        <w:ind w:left="0" w:firstLine="425"/>
        <w:rPr>
          <w:rFonts w:ascii="Times New Roman" w:hAnsi="Times New Roman" w:cs="Times New Roman"/>
          <w:sz w:val="20"/>
          <w:szCs w:val="20"/>
        </w:rPr>
      </w:pPr>
    </w:p>
    <w:p w:rsidR="00505F99" w:rsidRPr="00505F99" w:rsidRDefault="00505F99" w:rsidP="00505F99">
      <w:pPr>
        <w:autoSpaceDE w:val="0"/>
        <w:autoSpaceDN w:val="0"/>
        <w:adjustRightInd w:val="0"/>
        <w:snapToGrid w:val="0"/>
        <w:spacing w:before="0"/>
        <w:ind w:left="0" w:firstLine="425"/>
        <w:rPr>
          <w:rFonts w:ascii="Times New Roman" w:hAnsi="Times New Roman" w:cs="Times New Roman"/>
          <w:sz w:val="20"/>
          <w:szCs w:val="20"/>
        </w:rPr>
        <w:sectPr w:rsidR="00505F99" w:rsidRPr="00505F99" w:rsidSect="00177793">
          <w:headerReference w:type="default" r:id="rId22"/>
          <w:footerReference w:type="default" r:id="rId23"/>
          <w:type w:val="continuous"/>
          <w:pgSz w:w="12240" w:h="15840" w:code="1"/>
          <w:pgMar w:top="1440" w:right="1440" w:bottom="1440" w:left="1440" w:header="720" w:footer="720" w:gutter="0"/>
          <w:cols w:space="720"/>
          <w:docGrid w:linePitch="360"/>
        </w:sectPr>
      </w:pPr>
    </w:p>
    <w:p w:rsidR="00EE477B" w:rsidRPr="00505F99" w:rsidRDefault="00EE477B" w:rsidP="00505F99">
      <w:pPr>
        <w:autoSpaceDE w:val="0"/>
        <w:autoSpaceDN w:val="0"/>
        <w:adjustRightInd w:val="0"/>
        <w:snapToGrid w:val="0"/>
        <w:spacing w:before="0"/>
        <w:ind w:left="0" w:firstLine="425"/>
        <w:rPr>
          <w:rFonts w:ascii="Times New Roman" w:hAnsi="Times New Roman" w:cs="Times New Roman"/>
          <w:sz w:val="20"/>
          <w:szCs w:val="20"/>
        </w:rPr>
      </w:pPr>
      <w:r w:rsidRPr="00505F99">
        <w:rPr>
          <w:rFonts w:ascii="Times New Roman" w:hAnsi="Times New Roman" w:cs="Times New Roman"/>
          <w:sz w:val="20"/>
          <w:szCs w:val="20"/>
        </w:rPr>
        <w:lastRenderedPageBreak/>
        <w:t>The employment elasticity of the tertiary sector is also too low to be able to compensate for that change. But, it is the only</w:t>
      </w:r>
      <w:r w:rsidR="004F07F0" w:rsidRPr="00505F99">
        <w:rPr>
          <w:rFonts w:ascii="Times New Roman" w:hAnsi="Times New Roman" w:cs="Times New Roman"/>
          <w:sz w:val="20"/>
          <w:szCs w:val="20"/>
        </w:rPr>
        <w:t xml:space="preserve"> key</w:t>
      </w:r>
      <w:r w:rsidRPr="00505F99">
        <w:rPr>
          <w:rFonts w:ascii="Times New Roman" w:hAnsi="Times New Roman" w:cs="Times New Roman"/>
          <w:sz w:val="20"/>
          <w:szCs w:val="20"/>
        </w:rPr>
        <w:t xml:space="preserve"> sector which has become the absorber of last resort.</w:t>
      </w:r>
    </w:p>
    <w:p w:rsidR="00ED6D70" w:rsidRDefault="00ED6D70" w:rsidP="00505F99">
      <w:pPr>
        <w:autoSpaceDE w:val="0"/>
        <w:autoSpaceDN w:val="0"/>
        <w:adjustRightInd w:val="0"/>
        <w:snapToGrid w:val="0"/>
        <w:spacing w:before="0"/>
        <w:ind w:left="0"/>
        <w:rPr>
          <w:rFonts w:ascii="Times New Roman" w:hAnsi="Times New Roman" w:cs="Times New Roman"/>
          <w:b/>
          <w:bCs/>
          <w:sz w:val="20"/>
          <w:szCs w:val="20"/>
          <w:lang w:eastAsia="zh-CN"/>
        </w:rPr>
      </w:pPr>
    </w:p>
    <w:p w:rsidR="00743D18" w:rsidRPr="00505F99" w:rsidRDefault="00743D18" w:rsidP="00505F99">
      <w:pPr>
        <w:autoSpaceDE w:val="0"/>
        <w:autoSpaceDN w:val="0"/>
        <w:adjustRightInd w:val="0"/>
        <w:snapToGrid w:val="0"/>
        <w:spacing w:before="0"/>
        <w:ind w:left="0"/>
        <w:rPr>
          <w:rFonts w:ascii="Times New Roman" w:hAnsi="Times New Roman" w:cs="Times New Roman"/>
          <w:b/>
          <w:bCs/>
          <w:sz w:val="20"/>
          <w:szCs w:val="20"/>
        </w:rPr>
      </w:pPr>
      <w:r w:rsidRPr="00505F99">
        <w:rPr>
          <w:rFonts w:ascii="Times New Roman" w:hAnsi="Times New Roman" w:cs="Times New Roman"/>
          <w:b/>
          <w:bCs/>
          <w:sz w:val="20"/>
          <w:szCs w:val="20"/>
        </w:rPr>
        <w:t>Conclusion</w:t>
      </w:r>
    </w:p>
    <w:p w:rsidR="00743D18" w:rsidRPr="00505F99" w:rsidRDefault="00743D18" w:rsidP="00505F99">
      <w:pPr>
        <w:autoSpaceDE w:val="0"/>
        <w:autoSpaceDN w:val="0"/>
        <w:adjustRightInd w:val="0"/>
        <w:snapToGrid w:val="0"/>
        <w:spacing w:before="0"/>
        <w:ind w:left="0" w:firstLine="425"/>
        <w:rPr>
          <w:rFonts w:ascii="Times New Roman" w:eastAsia="Times New Roman" w:hAnsi="Times New Roman" w:cs="Times New Roman"/>
          <w:sz w:val="20"/>
          <w:szCs w:val="20"/>
        </w:rPr>
      </w:pPr>
      <w:r w:rsidRPr="00505F99">
        <w:rPr>
          <w:rFonts w:ascii="Times New Roman" w:eastAsia="Times New Roman" w:hAnsi="Times New Roman" w:cs="Times New Roman"/>
          <w:sz w:val="20"/>
          <w:szCs w:val="20"/>
        </w:rPr>
        <w:t>The percentage contribution and t</w:t>
      </w:r>
      <w:r w:rsidR="00D85B0D" w:rsidRPr="00505F99">
        <w:rPr>
          <w:rFonts w:ascii="Times New Roman" w:eastAsia="Times New Roman" w:hAnsi="Times New Roman" w:cs="Times New Roman"/>
          <w:sz w:val="20"/>
          <w:szCs w:val="20"/>
        </w:rPr>
        <w:t xml:space="preserve">he growth rate </w:t>
      </w:r>
      <w:r w:rsidRPr="00505F99">
        <w:rPr>
          <w:rFonts w:ascii="Times New Roman" w:eastAsia="Times New Roman" w:hAnsi="Times New Roman" w:cs="Times New Roman"/>
          <w:sz w:val="20"/>
          <w:szCs w:val="20"/>
        </w:rPr>
        <w:t xml:space="preserve">of the tertiary sector might have more than the </w:t>
      </w:r>
      <w:r w:rsidRPr="00505F99">
        <w:rPr>
          <w:rFonts w:ascii="Times New Roman" w:eastAsia="Times New Roman" w:hAnsi="Times New Roman" w:cs="Times New Roman"/>
          <w:sz w:val="20"/>
          <w:szCs w:val="20"/>
        </w:rPr>
        <w:lastRenderedPageBreak/>
        <w:t>existing contribution and the growth rate, but political turmoil hits its position. For example;</w:t>
      </w:r>
    </w:p>
    <w:p w:rsidR="00743D18" w:rsidRPr="00505F99" w:rsidRDefault="00743D18" w:rsidP="00505F99">
      <w:pPr>
        <w:pStyle w:val="ListParagraph"/>
        <w:numPr>
          <w:ilvl w:val="0"/>
          <w:numId w:val="6"/>
        </w:numPr>
        <w:autoSpaceDE w:val="0"/>
        <w:autoSpaceDN w:val="0"/>
        <w:adjustRightInd w:val="0"/>
        <w:snapToGrid w:val="0"/>
        <w:spacing w:after="0" w:line="240" w:lineRule="auto"/>
        <w:ind w:left="0" w:firstLine="425"/>
        <w:rPr>
          <w:rFonts w:ascii="Times New Roman" w:eastAsia="Times New Roman" w:hAnsi="Times New Roman" w:cs="Times New Roman"/>
          <w:sz w:val="20"/>
          <w:szCs w:val="20"/>
        </w:rPr>
      </w:pPr>
      <w:r w:rsidRPr="00505F99">
        <w:rPr>
          <w:rFonts w:ascii="Times New Roman" w:eastAsia="Times New Roman" w:hAnsi="Times New Roman" w:cs="Times New Roman"/>
          <w:sz w:val="20"/>
          <w:szCs w:val="20"/>
        </w:rPr>
        <w:t>Due to political turmoil the tourists flow slowed which reduced the demand for hotels and restaurants therefore hits its position in the cluster of the subsectors of the tertiary sector.</w:t>
      </w:r>
    </w:p>
    <w:p w:rsidR="00743D18" w:rsidRPr="00505F99" w:rsidRDefault="00743D18" w:rsidP="00505F99">
      <w:pPr>
        <w:pStyle w:val="ListParagraph"/>
        <w:numPr>
          <w:ilvl w:val="0"/>
          <w:numId w:val="6"/>
        </w:numPr>
        <w:autoSpaceDE w:val="0"/>
        <w:autoSpaceDN w:val="0"/>
        <w:adjustRightInd w:val="0"/>
        <w:snapToGrid w:val="0"/>
        <w:spacing w:after="0" w:line="240" w:lineRule="auto"/>
        <w:ind w:left="0" w:firstLine="425"/>
        <w:rPr>
          <w:rFonts w:ascii="Times New Roman" w:eastAsia="Times New Roman" w:hAnsi="Times New Roman" w:cs="Times New Roman"/>
          <w:sz w:val="20"/>
          <w:szCs w:val="20"/>
        </w:rPr>
      </w:pPr>
      <w:r w:rsidRPr="00505F99">
        <w:rPr>
          <w:rFonts w:ascii="Times New Roman" w:eastAsia="Times New Roman" w:hAnsi="Times New Roman" w:cs="Times New Roman"/>
          <w:sz w:val="20"/>
          <w:szCs w:val="20"/>
        </w:rPr>
        <w:t xml:space="preserve">Due to political turmoil the cellular private companies have invested in the late period which hits </w:t>
      </w:r>
      <w:r w:rsidRPr="00505F99">
        <w:rPr>
          <w:rFonts w:ascii="Times New Roman" w:eastAsia="Times New Roman" w:hAnsi="Times New Roman" w:cs="Times New Roman"/>
          <w:sz w:val="20"/>
          <w:szCs w:val="20"/>
        </w:rPr>
        <w:lastRenderedPageBreak/>
        <w:t>its position in the cluster of the subsectors of the tertiary sector.</w:t>
      </w:r>
    </w:p>
    <w:p w:rsidR="00743D18" w:rsidRPr="00505F99" w:rsidRDefault="00743D18" w:rsidP="00505F99">
      <w:pPr>
        <w:pStyle w:val="ListParagraph"/>
        <w:numPr>
          <w:ilvl w:val="0"/>
          <w:numId w:val="6"/>
        </w:numPr>
        <w:autoSpaceDE w:val="0"/>
        <w:autoSpaceDN w:val="0"/>
        <w:adjustRightInd w:val="0"/>
        <w:snapToGrid w:val="0"/>
        <w:spacing w:after="0" w:line="240" w:lineRule="auto"/>
        <w:ind w:left="0" w:firstLine="425"/>
        <w:rPr>
          <w:rFonts w:ascii="Times New Roman" w:eastAsia="Times New Roman" w:hAnsi="Times New Roman" w:cs="Times New Roman"/>
          <w:sz w:val="20"/>
          <w:szCs w:val="20"/>
        </w:rPr>
      </w:pPr>
      <w:r w:rsidRPr="00505F99">
        <w:rPr>
          <w:rFonts w:ascii="Times New Roman" w:eastAsia="Times New Roman" w:hAnsi="Times New Roman" w:cs="Times New Roman"/>
          <w:sz w:val="20"/>
          <w:szCs w:val="20"/>
        </w:rPr>
        <w:t>Due to political turmoil the private banker and insurance companies could not find feasible environment for their institutes therefore the sub-sector could not grow at the speed which were attainable for it.</w:t>
      </w:r>
    </w:p>
    <w:p w:rsidR="00743D18" w:rsidRPr="00505F99" w:rsidRDefault="00743D18" w:rsidP="00505F99">
      <w:pPr>
        <w:pStyle w:val="ListParagraph"/>
        <w:numPr>
          <w:ilvl w:val="0"/>
          <w:numId w:val="6"/>
        </w:numPr>
        <w:autoSpaceDE w:val="0"/>
        <w:autoSpaceDN w:val="0"/>
        <w:adjustRightInd w:val="0"/>
        <w:snapToGrid w:val="0"/>
        <w:spacing w:after="0" w:line="240" w:lineRule="auto"/>
        <w:ind w:left="0" w:firstLine="425"/>
        <w:rPr>
          <w:rFonts w:ascii="Times New Roman" w:eastAsia="Times New Roman" w:hAnsi="Times New Roman" w:cs="Times New Roman"/>
          <w:sz w:val="20"/>
          <w:szCs w:val="20"/>
        </w:rPr>
      </w:pPr>
      <w:r w:rsidRPr="00505F99">
        <w:rPr>
          <w:rFonts w:ascii="Times New Roman" w:eastAsia="Times New Roman" w:hAnsi="Times New Roman" w:cs="Times New Roman"/>
          <w:sz w:val="20"/>
          <w:szCs w:val="20"/>
        </w:rPr>
        <w:t>The percentage share to NSDP by public administration sector has increased continuously and gained the first rank in the sub-sectors of tertiary sector due to political instability as magnitude of administrative services are positively correlated to political instability. Therefore, this is the only sub-sector of the tertiary sector which got benefitted through political instability as political instability can be reduced by efficient administration.</w:t>
      </w:r>
    </w:p>
    <w:p w:rsidR="00743D18" w:rsidRPr="00505F99" w:rsidRDefault="00743D18" w:rsidP="00505F99">
      <w:pPr>
        <w:pStyle w:val="ListParagraph"/>
        <w:numPr>
          <w:ilvl w:val="0"/>
          <w:numId w:val="6"/>
        </w:numPr>
        <w:autoSpaceDE w:val="0"/>
        <w:autoSpaceDN w:val="0"/>
        <w:adjustRightInd w:val="0"/>
        <w:snapToGrid w:val="0"/>
        <w:spacing w:after="0" w:line="240" w:lineRule="auto"/>
        <w:ind w:left="0" w:firstLine="425"/>
        <w:rPr>
          <w:rFonts w:ascii="Times New Roman" w:eastAsia="Times New Roman" w:hAnsi="Times New Roman" w:cs="Times New Roman"/>
          <w:sz w:val="20"/>
          <w:szCs w:val="20"/>
        </w:rPr>
      </w:pPr>
      <w:r w:rsidRPr="00505F99">
        <w:rPr>
          <w:rFonts w:ascii="Times New Roman" w:eastAsia="Times New Roman" w:hAnsi="Times New Roman" w:cs="Times New Roman"/>
          <w:sz w:val="20"/>
          <w:szCs w:val="20"/>
        </w:rPr>
        <w:lastRenderedPageBreak/>
        <w:t xml:space="preserve">The percentage contribution and the growth rate of other subsectors </w:t>
      </w:r>
      <w:r w:rsidR="00EE477B" w:rsidRPr="00505F99">
        <w:rPr>
          <w:rFonts w:ascii="Times New Roman" w:eastAsia="Times New Roman" w:hAnsi="Times New Roman" w:cs="Times New Roman"/>
          <w:sz w:val="20"/>
          <w:szCs w:val="20"/>
        </w:rPr>
        <w:t xml:space="preserve">of tertiary sector </w:t>
      </w:r>
      <w:r w:rsidRPr="00505F99">
        <w:rPr>
          <w:rFonts w:ascii="Times New Roman" w:eastAsia="Times New Roman" w:hAnsi="Times New Roman" w:cs="Times New Roman"/>
          <w:sz w:val="20"/>
          <w:szCs w:val="20"/>
        </w:rPr>
        <w:t>increases continuously as because of sharp increase in the educational, medical &amp; health services because of the pushing factors in the form of different schemes by the state government.</w:t>
      </w:r>
    </w:p>
    <w:p w:rsidR="00743D18" w:rsidRPr="00505F99" w:rsidRDefault="00743D18" w:rsidP="00505F99">
      <w:pPr>
        <w:autoSpaceDE w:val="0"/>
        <w:autoSpaceDN w:val="0"/>
        <w:adjustRightInd w:val="0"/>
        <w:snapToGrid w:val="0"/>
        <w:spacing w:before="0"/>
        <w:ind w:left="0" w:firstLine="425"/>
        <w:rPr>
          <w:rFonts w:ascii="Times New Roman" w:eastAsia="Times New Roman" w:hAnsi="Times New Roman" w:cs="Times New Roman"/>
          <w:sz w:val="20"/>
          <w:szCs w:val="20"/>
        </w:rPr>
      </w:pPr>
      <w:r w:rsidRPr="00505F99">
        <w:rPr>
          <w:rFonts w:ascii="Times New Roman" w:eastAsia="Times New Roman" w:hAnsi="Times New Roman" w:cs="Times New Roman"/>
          <w:sz w:val="20"/>
          <w:szCs w:val="20"/>
        </w:rPr>
        <w:t xml:space="preserve">Spread of education in the state has made great strides during the past decades of planned development and considerable educational facilities are being made available even in remote, hilly and backward areas. Besides, mobile educational institutions have been provided for nomadic population of </w:t>
      </w:r>
      <w:proofErr w:type="spellStart"/>
      <w:r w:rsidRPr="00505F99">
        <w:rPr>
          <w:rFonts w:ascii="Times New Roman" w:eastAsia="Times New Roman" w:hAnsi="Times New Roman" w:cs="Times New Roman"/>
          <w:sz w:val="20"/>
          <w:szCs w:val="20"/>
        </w:rPr>
        <w:t>Gujjars</w:t>
      </w:r>
      <w:proofErr w:type="spellEnd"/>
      <w:r w:rsidRPr="00505F99">
        <w:rPr>
          <w:rFonts w:ascii="Times New Roman" w:eastAsia="Times New Roman" w:hAnsi="Times New Roman" w:cs="Times New Roman"/>
          <w:sz w:val="20"/>
          <w:szCs w:val="20"/>
        </w:rPr>
        <w:t xml:space="preserve"> and </w:t>
      </w:r>
      <w:proofErr w:type="spellStart"/>
      <w:r w:rsidRPr="00505F99">
        <w:rPr>
          <w:rFonts w:ascii="Times New Roman" w:eastAsia="Times New Roman" w:hAnsi="Times New Roman" w:cs="Times New Roman"/>
          <w:sz w:val="20"/>
          <w:szCs w:val="20"/>
        </w:rPr>
        <w:t>Bakerwals</w:t>
      </w:r>
      <w:proofErr w:type="spellEnd"/>
      <w:r w:rsidRPr="00505F99">
        <w:rPr>
          <w:rFonts w:ascii="Times New Roman" w:eastAsia="Times New Roman" w:hAnsi="Times New Roman" w:cs="Times New Roman"/>
          <w:sz w:val="20"/>
          <w:szCs w:val="20"/>
        </w:rPr>
        <w:t>.</w:t>
      </w:r>
    </w:p>
    <w:p w:rsidR="00743D18" w:rsidRPr="00505F99" w:rsidRDefault="00743D18" w:rsidP="00505F99">
      <w:pPr>
        <w:autoSpaceDE w:val="0"/>
        <w:autoSpaceDN w:val="0"/>
        <w:adjustRightInd w:val="0"/>
        <w:snapToGrid w:val="0"/>
        <w:spacing w:before="0"/>
        <w:ind w:left="0" w:firstLine="425"/>
        <w:rPr>
          <w:rFonts w:ascii="Times New Roman" w:eastAsia="Times New Roman" w:hAnsi="Times New Roman" w:cs="Times New Roman"/>
          <w:sz w:val="20"/>
          <w:szCs w:val="20"/>
        </w:rPr>
      </w:pPr>
      <w:r w:rsidRPr="00505F99">
        <w:rPr>
          <w:rFonts w:ascii="Times New Roman" w:eastAsia="Times New Roman" w:hAnsi="Times New Roman" w:cs="Times New Roman"/>
          <w:sz w:val="20"/>
          <w:szCs w:val="20"/>
        </w:rPr>
        <w:t>The health and medical services have been increased manifold times in Jammu &amp; Kashmir state by simply increasing the infrastructure related to health care segment of the service sector of the state economy.</w:t>
      </w:r>
    </w:p>
    <w:p w:rsidR="00505F99" w:rsidRPr="00505F99" w:rsidRDefault="00505F99" w:rsidP="00505F99">
      <w:pPr>
        <w:snapToGrid w:val="0"/>
        <w:spacing w:before="0"/>
        <w:ind w:left="0"/>
        <w:rPr>
          <w:rFonts w:ascii="Times New Roman" w:hAnsi="Times New Roman" w:cs="Times New Roman"/>
          <w:b/>
          <w:bCs/>
          <w:sz w:val="20"/>
          <w:szCs w:val="20"/>
        </w:rPr>
        <w:sectPr w:rsidR="00505F99" w:rsidRPr="00505F99" w:rsidSect="00177793">
          <w:headerReference w:type="default" r:id="rId24"/>
          <w:footerReference w:type="default" r:id="rId25"/>
          <w:type w:val="continuous"/>
          <w:pgSz w:w="12240" w:h="15840" w:code="1"/>
          <w:pgMar w:top="1440" w:right="1440" w:bottom="1440" w:left="1440" w:header="720" w:footer="720" w:gutter="0"/>
          <w:cols w:num="2" w:space="720"/>
          <w:docGrid w:linePitch="360"/>
        </w:sectPr>
      </w:pPr>
    </w:p>
    <w:p w:rsidR="00ED6D70" w:rsidRDefault="00ED6D70" w:rsidP="00505F99">
      <w:pPr>
        <w:snapToGrid w:val="0"/>
        <w:spacing w:before="0"/>
        <w:ind w:left="0"/>
        <w:rPr>
          <w:rFonts w:ascii="Times New Roman" w:hAnsi="Times New Roman" w:cs="Times New Roman"/>
          <w:b/>
          <w:bCs/>
          <w:sz w:val="20"/>
          <w:szCs w:val="20"/>
          <w:lang w:eastAsia="zh-CN"/>
        </w:rPr>
      </w:pPr>
    </w:p>
    <w:p w:rsidR="00743D18" w:rsidRPr="00505F99" w:rsidRDefault="00686820" w:rsidP="00505F99">
      <w:pPr>
        <w:snapToGrid w:val="0"/>
        <w:spacing w:before="0"/>
        <w:ind w:left="0"/>
        <w:rPr>
          <w:rFonts w:ascii="Times New Roman" w:hAnsi="Times New Roman" w:cs="Times New Roman"/>
          <w:b/>
          <w:bCs/>
          <w:sz w:val="20"/>
          <w:szCs w:val="20"/>
        </w:rPr>
      </w:pPr>
      <w:r w:rsidRPr="00505F99">
        <w:rPr>
          <w:rFonts w:ascii="Times New Roman" w:hAnsi="Times New Roman" w:cs="Times New Roman"/>
          <w:b/>
          <w:bCs/>
          <w:sz w:val="20"/>
          <w:szCs w:val="20"/>
        </w:rPr>
        <w:t>Appendix</w:t>
      </w:r>
    </w:p>
    <w:p w:rsidR="00FA2126" w:rsidRPr="00ED6D70" w:rsidRDefault="00FA2126" w:rsidP="00505F99">
      <w:pPr>
        <w:snapToGrid w:val="0"/>
        <w:spacing w:before="0"/>
        <w:ind w:left="0"/>
        <w:rPr>
          <w:rFonts w:ascii="Times New Roman" w:hAnsi="Times New Roman" w:cs="Times New Roman"/>
          <w:b/>
          <w:bCs/>
          <w:sz w:val="18"/>
          <w:szCs w:val="18"/>
        </w:rPr>
      </w:pPr>
      <w:r w:rsidRPr="00ED6D70">
        <w:rPr>
          <w:rFonts w:ascii="Times New Roman" w:eastAsia="Times New Roman" w:hAnsi="Times New Roman" w:cs="Times New Roman"/>
          <w:b/>
          <w:bCs/>
          <w:color w:val="000000"/>
          <w:sz w:val="18"/>
          <w:szCs w:val="18"/>
        </w:rPr>
        <w:t xml:space="preserve">Absolute share of Tertiary sector  to NSDP in  </w:t>
      </w:r>
      <w:proofErr w:type="spellStart"/>
      <w:r w:rsidRPr="00ED6D70">
        <w:rPr>
          <w:rFonts w:ascii="Times New Roman" w:eastAsia="Times New Roman" w:hAnsi="Times New Roman" w:cs="Times New Roman"/>
          <w:b/>
          <w:bCs/>
          <w:color w:val="000000"/>
          <w:sz w:val="18"/>
          <w:szCs w:val="18"/>
        </w:rPr>
        <w:t>Rs.crores</w:t>
      </w:r>
      <w:proofErr w:type="spellEnd"/>
      <w:r w:rsidRPr="00ED6D70">
        <w:rPr>
          <w:rFonts w:ascii="Times New Roman" w:eastAsia="Times New Roman" w:hAnsi="Times New Roman" w:cs="Times New Roman"/>
          <w:b/>
          <w:bCs/>
          <w:color w:val="000000"/>
          <w:sz w:val="18"/>
          <w:szCs w:val="18"/>
        </w:rPr>
        <w:t xml:space="preserve"> (1981-2011)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0"/>
        <w:gridCol w:w="1500"/>
        <w:gridCol w:w="1772"/>
        <w:gridCol w:w="1697"/>
        <w:gridCol w:w="1772"/>
        <w:gridCol w:w="1695"/>
      </w:tblGrid>
      <w:tr w:rsidR="00686820" w:rsidRPr="00ED6D70" w:rsidTr="00ED6D70">
        <w:trPr>
          <w:jc w:val="center"/>
        </w:trPr>
        <w:tc>
          <w:tcPr>
            <w:tcW w:w="596" w:type="pct"/>
            <w:vMerge w:val="restart"/>
            <w:shd w:val="clear" w:color="auto" w:fill="auto"/>
            <w:vAlign w:val="center"/>
            <w:hideMark/>
          </w:tcPr>
          <w:p w:rsidR="00686820" w:rsidRPr="00ED6D70" w:rsidRDefault="00686820" w:rsidP="00ED6D70">
            <w:pPr>
              <w:snapToGrid w:val="0"/>
              <w:spacing w:before="0"/>
              <w:ind w:left="0"/>
              <w:jc w:val="center"/>
              <w:rPr>
                <w:rFonts w:ascii="Times New Roman" w:eastAsia="Times New Roman" w:hAnsi="Times New Roman" w:cs="Times New Roman"/>
                <w:b/>
                <w:bCs/>
                <w:color w:val="000000"/>
                <w:sz w:val="18"/>
                <w:szCs w:val="18"/>
              </w:rPr>
            </w:pPr>
            <w:proofErr w:type="spellStart"/>
            <w:r w:rsidRPr="00ED6D70">
              <w:rPr>
                <w:rFonts w:ascii="Times New Roman" w:eastAsia="Times New Roman" w:hAnsi="Times New Roman" w:cs="Times New Roman"/>
                <w:b/>
                <w:bCs/>
                <w:color w:val="000000"/>
                <w:sz w:val="18"/>
                <w:szCs w:val="18"/>
              </w:rPr>
              <w:t>S.No</w:t>
            </w:r>
            <w:proofErr w:type="spellEnd"/>
            <w:r w:rsidRPr="00ED6D70">
              <w:rPr>
                <w:rFonts w:ascii="Times New Roman" w:eastAsia="Times New Roman" w:hAnsi="Times New Roman" w:cs="Times New Roman"/>
                <w:b/>
                <w:bCs/>
                <w:color w:val="000000"/>
                <w:sz w:val="18"/>
                <w:szCs w:val="18"/>
              </w:rPr>
              <w:t>.</w:t>
            </w:r>
          </w:p>
        </w:tc>
        <w:tc>
          <w:tcPr>
            <w:tcW w:w="783" w:type="pct"/>
            <w:vMerge w:val="restart"/>
            <w:shd w:val="clear" w:color="000000" w:fill="FFFFFF"/>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b/>
                <w:bCs/>
                <w:color w:val="000000"/>
                <w:sz w:val="18"/>
                <w:szCs w:val="18"/>
              </w:rPr>
            </w:pPr>
            <w:r w:rsidRPr="00ED6D70">
              <w:rPr>
                <w:rFonts w:ascii="Times New Roman" w:eastAsia="Times New Roman" w:hAnsi="Times New Roman" w:cs="Times New Roman"/>
                <w:b/>
                <w:bCs/>
                <w:color w:val="000000"/>
                <w:sz w:val="18"/>
                <w:szCs w:val="18"/>
              </w:rPr>
              <w:t>Year</w:t>
            </w:r>
          </w:p>
        </w:tc>
        <w:tc>
          <w:tcPr>
            <w:tcW w:w="1811" w:type="pct"/>
            <w:gridSpan w:val="2"/>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b/>
                <w:bCs/>
                <w:color w:val="000000"/>
                <w:sz w:val="18"/>
                <w:szCs w:val="18"/>
              </w:rPr>
            </w:pPr>
            <w:r w:rsidRPr="00ED6D70">
              <w:rPr>
                <w:rFonts w:ascii="Times New Roman" w:eastAsia="Times New Roman" w:hAnsi="Times New Roman" w:cs="Times New Roman"/>
                <w:b/>
                <w:bCs/>
                <w:color w:val="000000"/>
                <w:sz w:val="18"/>
                <w:szCs w:val="18"/>
              </w:rPr>
              <w:t>Tertiary Sector</w:t>
            </w:r>
          </w:p>
        </w:tc>
        <w:tc>
          <w:tcPr>
            <w:tcW w:w="1811" w:type="pct"/>
            <w:gridSpan w:val="2"/>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b/>
                <w:bCs/>
                <w:color w:val="000000"/>
                <w:sz w:val="18"/>
                <w:szCs w:val="18"/>
              </w:rPr>
            </w:pPr>
            <w:r w:rsidRPr="00ED6D70">
              <w:rPr>
                <w:rFonts w:ascii="Times New Roman" w:eastAsia="Times New Roman" w:hAnsi="Times New Roman" w:cs="Times New Roman"/>
                <w:b/>
                <w:bCs/>
                <w:color w:val="000000"/>
                <w:sz w:val="18"/>
                <w:szCs w:val="18"/>
              </w:rPr>
              <w:t>NSDP</w:t>
            </w:r>
          </w:p>
        </w:tc>
      </w:tr>
      <w:tr w:rsidR="00686820" w:rsidRPr="00ED6D70" w:rsidTr="00ED6D70">
        <w:trPr>
          <w:jc w:val="center"/>
        </w:trPr>
        <w:tc>
          <w:tcPr>
            <w:tcW w:w="596" w:type="pct"/>
            <w:vMerge/>
            <w:vAlign w:val="center"/>
            <w:hideMark/>
          </w:tcPr>
          <w:p w:rsidR="00686820" w:rsidRPr="00ED6D70" w:rsidRDefault="00686820" w:rsidP="00ED6D70">
            <w:pPr>
              <w:snapToGrid w:val="0"/>
              <w:spacing w:before="0"/>
              <w:ind w:left="0"/>
              <w:jc w:val="center"/>
              <w:rPr>
                <w:rFonts w:ascii="Times New Roman" w:eastAsia="Times New Roman" w:hAnsi="Times New Roman" w:cs="Times New Roman"/>
                <w:b/>
                <w:bCs/>
                <w:color w:val="000000"/>
                <w:sz w:val="18"/>
                <w:szCs w:val="18"/>
              </w:rPr>
            </w:pPr>
          </w:p>
        </w:tc>
        <w:tc>
          <w:tcPr>
            <w:tcW w:w="783" w:type="pct"/>
            <w:vMerge/>
            <w:vAlign w:val="center"/>
            <w:hideMark/>
          </w:tcPr>
          <w:p w:rsidR="00686820" w:rsidRPr="00ED6D70" w:rsidRDefault="00686820" w:rsidP="00ED6D70">
            <w:pPr>
              <w:snapToGrid w:val="0"/>
              <w:spacing w:before="0"/>
              <w:ind w:left="0"/>
              <w:jc w:val="center"/>
              <w:rPr>
                <w:rFonts w:ascii="Times New Roman" w:eastAsia="Times New Roman" w:hAnsi="Times New Roman" w:cs="Times New Roman"/>
                <w:b/>
                <w:bCs/>
                <w:color w:val="000000"/>
                <w:sz w:val="18"/>
                <w:szCs w:val="18"/>
              </w:rPr>
            </w:pPr>
          </w:p>
        </w:tc>
        <w:tc>
          <w:tcPr>
            <w:tcW w:w="92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b/>
                <w:bCs/>
                <w:color w:val="000000"/>
                <w:sz w:val="18"/>
                <w:szCs w:val="18"/>
              </w:rPr>
            </w:pPr>
            <w:proofErr w:type="spellStart"/>
            <w:r w:rsidRPr="00ED6D70">
              <w:rPr>
                <w:rFonts w:ascii="Times New Roman" w:eastAsia="Times New Roman" w:hAnsi="Times New Roman" w:cs="Times New Roman"/>
                <w:b/>
                <w:bCs/>
                <w:color w:val="000000"/>
                <w:sz w:val="18"/>
                <w:szCs w:val="18"/>
              </w:rPr>
              <w:t>Cn.Prices</w:t>
            </w:r>
            <w:proofErr w:type="spellEnd"/>
          </w:p>
        </w:tc>
        <w:tc>
          <w:tcPr>
            <w:tcW w:w="88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b/>
                <w:bCs/>
                <w:color w:val="000000"/>
                <w:sz w:val="18"/>
                <w:szCs w:val="18"/>
              </w:rPr>
            </w:pPr>
            <w:proofErr w:type="spellStart"/>
            <w:r w:rsidRPr="00ED6D70">
              <w:rPr>
                <w:rFonts w:ascii="Times New Roman" w:eastAsia="Times New Roman" w:hAnsi="Times New Roman" w:cs="Times New Roman"/>
                <w:b/>
                <w:bCs/>
                <w:color w:val="000000"/>
                <w:sz w:val="18"/>
                <w:szCs w:val="18"/>
              </w:rPr>
              <w:t>Ct.Prices</w:t>
            </w:r>
            <w:proofErr w:type="spellEnd"/>
          </w:p>
        </w:tc>
        <w:tc>
          <w:tcPr>
            <w:tcW w:w="92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b/>
                <w:bCs/>
                <w:color w:val="000000"/>
                <w:sz w:val="18"/>
                <w:szCs w:val="18"/>
              </w:rPr>
            </w:pPr>
            <w:proofErr w:type="spellStart"/>
            <w:r w:rsidRPr="00ED6D70">
              <w:rPr>
                <w:rFonts w:ascii="Times New Roman" w:eastAsia="Times New Roman" w:hAnsi="Times New Roman" w:cs="Times New Roman"/>
                <w:b/>
                <w:bCs/>
                <w:color w:val="000000"/>
                <w:sz w:val="18"/>
                <w:szCs w:val="18"/>
              </w:rPr>
              <w:t>Cn.Prices</w:t>
            </w:r>
            <w:proofErr w:type="spellEnd"/>
          </w:p>
        </w:tc>
        <w:tc>
          <w:tcPr>
            <w:tcW w:w="88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b/>
                <w:bCs/>
                <w:color w:val="000000"/>
                <w:sz w:val="18"/>
                <w:szCs w:val="18"/>
              </w:rPr>
            </w:pPr>
            <w:proofErr w:type="spellStart"/>
            <w:r w:rsidRPr="00ED6D70">
              <w:rPr>
                <w:rFonts w:ascii="Times New Roman" w:eastAsia="Times New Roman" w:hAnsi="Times New Roman" w:cs="Times New Roman"/>
                <w:b/>
                <w:bCs/>
                <w:color w:val="000000"/>
                <w:sz w:val="18"/>
                <w:szCs w:val="18"/>
              </w:rPr>
              <w:t>Ct.Prices</w:t>
            </w:r>
            <w:proofErr w:type="spellEnd"/>
          </w:p>
        </w:tc>
      </w:tr>
      <w:tr w:rsidR="00686820" w:rsidRPr="00ED6D70" w:rsidTr="00ED6D70">
        <w:trPr>
          <w:jc w:val="center"/>
        </w:trPr>
        <w:tc>
          <w:tcPr>
            <w:tcW w:w="596"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w:t>
            </w:r>
          </w:p>
        </w:tc>
        <w:tc>
          <w:tcPr>
            <w:tcW w:w="783" w:type="pct"/>
            <w:shd w:val="clear" w:color="000000" w:fill="FFFFFF"/>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1980-81</w:t>
            </w:r>
          </w:p>
        </w:tc>
        <w:tc>
          <w:tcPr>
            <w:tcW w:w="92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1506.06</w:t>
            </w:r>
          </w:p>
        </w:tc>
        <w:tc>
          <w:tcPr>
            <w:tcW w:w="88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416.66</w:t>
            </w:r>
          </w:p>
        </w:tc>
        <w:tc>
          <w:tcPr>
            <w:tcW w:w="92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3793.52</w:t>
            </w:r>
          </w:p>
        </w:tc>
        <w:tc>
          <w:tcPr>
            <w:tcW w:w="88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1051.93</w:t>
            </w:r>
          </w:p>
        </w:tc>
      </w:tr>
      <w:tr w:rsidR="00686820" w:rsidRPr="00ED6D70" w:rsidTr="00ED6D70">
        <w:trPr>
          <w:jc w:val="center"/>
        </w:trPr>
        <w:tc>
          <w:tcPr>
            <w:tcW w:w="596"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2</w:t>
            </w:r>
          </w:p>
        </w:tc>
        <w:tc>
          <w:tcPr>
            <w:tcW w:w="783" w:type="pct"/>
            <w:shd w:val="clear" w:color="000000" w:fill="FFFFFF"/>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1985-86</w:t>
            </w:r>
          </w:p>
        </w:tc>
        <w:tc>
          <w:tcPr>
            <w:tcW w:w="92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1785.18</w:t>
            </w:r>
          </w:p>
        </w:tc>
        <w:tc>
          <w:tcPr>
            <w:tcW w:w="88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812.65</w:t>
            </w:r>
          </w:p>
        </w:tc>
        <w:tc>
          <w:tcPr>
            <w:tcW w:w="92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4445.38</w:t>
            </w:r>
          </w:p>
        </w:tc>
        <w:tc>
          <w:tcPr>
            <w:tcW w:w="88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1929.23</w:t>
            </w:r>
          </w:p>
        </w:tc>
      </w:tr>
      <w:tr w:rsidR="00686820" w:rsidRPr="00ED6D70" w:rsidTr="00ED6D70">
        <w:trPr>
          <w:jc w:val="center"/>
        </w:trPr>
        <w:tc>
          <w:tcPr>
            <w:tcW w:w="596"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3</w:t>
            </w:r>
          </w:p>
        </w:tc>
        <w:tc>
          <w:tcPr>
            <w:tcW w:w="783" w:type="pct"/>
            <w:shd w:val="clear" w:color="000000" w:fill="FFFFFF"/>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1990-91</w:t>
            </w:r>
          </w:p>
        </w:tc>
        <w:tc>
          <w:tcPr>
            <w:tcW w:w="92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2197.03</w:t>
            </w:r>
          </w:p>
        </w:tc>
        <w:tc>
          <w:tcPr>
            <w:tcW w:w="88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1264.81</w:t>
            </w:r>
          </w:p>
        </w:tc>
        <w:tc>
          <w:tcPr>
            <w:tcW w:w="92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4913.66</w:t>
            </w:r>
          </w:p>
        </w:tc>
        <w:tc>
          <w:tcPr>
            <w:tcW w:w="88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2908.26</w:t>
            </w:r>
          </w:p>
        </w:tc>
      </w:tr>
      <w:tr w:rsidR="00686820" w:rsidRPr="00ED6D70" w:rsidTr="00ED6D70">
        <w:trPr>
          <w:jc w:val="center"/>
        </w:trPr>
        <w:tc>
          <w:tcPr>
            <w:tcW w:w="596"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4</w:t>
            </w:r>
          </w:p>
        </w:tc>
        <w:tc>
          <w:tcPr>
            <w:tcW w:w="783" w:type="pct"/>
            <w:shd w:val="clear" w:color="000000" w:fill="FFFFFF"/>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1995-96</w:t>
            </w:r>
          </w:p>
        </w:tc>
        <w:tc>
          <w:tcPr>
            <w:tcW w:w="92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2736.15</w:t>
            </w:r>
          </w:p>
        </w:tc>
        <w:tc>
          <w:tcPr>
            <w:tcW w:w="88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3158.29</w:t>
            </w:r>
          </w:p>
        </w:tc>
        <w:tc>
          <w:tcPr>
            <w:tcW w:w="92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6031.48</w:t>
            </w:r>
          </w:p>
        </w:tc>
        <w:tc>
          <w:tcPr>
            <w:tcW w:w="88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6973.05</w:t>
            </w:r>
          </w:p>
        </w:tc>
      </w:tr>
      <w:tr w:rsidR="00686820" w:rsidRPr="00ED6D70" w:rsidTr="00ED6D70">
        <w:trPr>
          <w:jc w:val="center"/>
        </w:trPr>
        <w:tc>
          <w:tcPr>
            <w:tcW w:w="596"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5</w:t>
            </w:r>
          </w:p>
        </w:tc>
        <w:tc>
          <w:tcPr>
            <w:tcW w:w="783" w:type="pct"/>
            <w:shd w:val="clear" w:color="000000" w:fill="FFFFFF"/>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2000-01</w:t>
            </w:r>
          </w:p>
        </w:tc>
        <w:tc>
          <w:tcPr>
            <w:tcW w:w="92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3546.42</w:t>
            </w:r>
          </w:p>
        </w:tc>
        <w:tc>
          <w:tcPr>
            <w:tcW w:w="88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6684.35</w:t>
            </w:r>
          </w:p>
        </w:tc>
        <w:tc>
          <w:tcPr>
            <w:tcW w:w="92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7515.45</w:t>
            </w:r>
          </w:p>
        </w:tc>
        <w:tc>
          <w:tcPr>
            <w:tcW w:w="88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14328.4</w:t>
            </w:r>
          </w:p>
        </w:tc>
      </w:tr>
      <w:tr w:rsidR="00686820" w:rsidRPr="00ED6D70" w:rsidTr="00ED6D70">
        <w:trPr>
          <w:jc w:val="center"/>
        </w:trPr>
        <w:tc>
          <w:tcPr>
            <w:tcW w:w="596"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6</w:t>
            </w:r>
          </w:p>
        </w:tc>
        <w:tc>
          <w:tcPr>
            <w:tcW w:w="783" w:type="pct"/>
            <w:shd w:val="clear" w:color="000000" w:fill="FFFFFF"/>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2005-06</w:t>
            </w:r>
          </w:p>
        </w:tc>
        <w:tc>
          <w:tcPr>
            <w:tcW w:w="92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4864.73</w:t>
            </w:r>
          </w:p>
        </w:tc>
        <w:tc>
          <w:tcPr>
            <w:tcW w:w="88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10800.65</w:t>
            </w:r>
          </w:p>
        </w:tc>
        <w:tc>
          <w:tcPr>
            <w:tcW w:w="92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12297.25</w:t>
            </w:r>
          </w:p>
        </w:tc>
        <w:tc>
          <w:tcPr>
            <w:tcW w:w="88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25278.1</w:t>
            </w:r>
          </w:p>
        </w:tc>
      </w:tr>
      <w:tr w:rsidR="00686820" w:rsidRPr="00ED6D70" w:rsidTr="00ED6D70">
        <w:trPr>
          <w:jc w:val="center"/>
        </w:trPr>
        <w:tc>
          <w:tcPr>
            <w:tcW w:w="596"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7</w:t>
            </w:r>
          </w:p>
        </w:tc>
        <w:tc>
          <w:tcPr>
            <w:tcW w:w="783" w:type="pct"/>
            <w:shd w:val="clear" w:color="000000" w:fill="FFFFFF"/>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2010-11</w:t>
            </w:r>
          </w:p>
        </w:tc>
        <w:tc>
          <w:tcPr>
            <w:tcW w:w="92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9083.49</w:t>
            </w:r>
          </w:p>
        </w:tc>
        <w:tc>
          <w:tcPr>
            <w:tcW w:w="88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21837.51</w:t>
            </w:r>
          </w:p>
        </w:tc>
        <w:tc>
          <w:tcPr>
            <w:tcW w:w="92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17380.16</w:t>
            </w:r>
          </w:p>
        </w:tc>
        <w:tc>
          <w:tcPr>
            <w:tcW w:w="88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43716.38</w:t>
            </w:r>
          </w:p>
        </w:tc>
      </w:tr>
    </w:tbl>
    <w:p w:rsidR="00686820" w:rsidRPr="00ED6D70" w:rsidRDefault="00686820" w:rsidP="00505F99">
      <w:pPr>
        <w:pStyle w:val="ListParagraph"/>
        <w:snapToGrid w:val="0"/>
        <w:spacing w:after="0" w:line="240" w:lineRule="auto"/>
        <w:ind w:left="0" w:firstLine="425"/>
        <w:rPr>
          <w:rFonts w:ascii="Times New Roman" w:hAnsi="Times New Roman" w:cs="Times New Roman"/>
          <w:b/>
          <w:bCs/>
          <w:sz w:val="18"/>
          <w:szCs w:val="18"/>
        </w:rPr>
      </w:pPr>
    </w:p>
    <w:p w:rsidR="00686820" w:rsidRPr="00ED6D70" w:rsidRDefault="00FA2126" w:rsidP="00505F99">
      <w:pPr>
        <w:pStyle w:val="ListParagraph"/>
        <w:snapToGrid w:val="0"/>
        <w:spacing w:after="0" w:line="240" w:lineRule="auto"/>
        <w:ind w:left="0"/>
        <w:rPr>
          <w:rFonts w:ascii="Times New Roman" w:hAnsi="Times New Roman" w:cs="Times New Roman"/>
          <w:b/>
          <w:bCs/>
          <w:sz w:val="18"/>
          <w:szCs w:val="18"/>
        </w:rPr>
      </w:pPr>
      <w:r w:rsidRPr="00ED6D70">
        <w:rPr>
          <w:rFonts w:ascii="Times New Roman" w:eastAsia="Times New Roman" w:hAnsi="Times New Roman" w:cs="Times New Roman"/>
          <w:b/>
          <w:bCs/>
          <w:color w:val="000000"/>
          <w:sz w:val="18"/>
          <w:szCs w:val="18"/>
        </w:rPr>
        <w:t xml:space="preserve">Per capita share of Tertiary sector  to NSDP </w:t>
      </w:r>
      <w:proofErr w:type="spellStart"/>
      <w:r w:rsidRPr="00ED6D70">
        <w:rPr>
          <w:rFonts w:ascii="Times New Roman" w:eastAsia="Times New Roman" w:hAnsi="Times New Roman" w:cs="Times New Roman"/>
          <w:b/>
          <w:bCs/>
          <w:color w:val="000000"/>
          <w:sz w:val="18"/>
          <w:szCs w:val="18"/>
        </w:rPr>
        <w:t>Rs.crores</w:t>
      </w:r>
      <w:proofErr w:type="spellEnd"/>
      <w:r w:rsidRPr="00ED6D70">
        <w:rPr>
          <w:rFonts w:ascii="Times New Roman" w:eastAsia="Times New Roman" w:hAnsi="Times New Roman" w:cs="Times New Roman"/>
          <w:b/>
          <w:bCs/>
          <w:color w:val="000000"/>
          <w:sz w:val="18"/>
          <w:szCs w:val="18"/>
        </w:rPr>
        <w:t xml:space="preserve"> (1981-2011)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9"/>
        <w:gridCol w:w="1547"/>
        <w:gridCol w:w="1733"/>
        <w:gridCol w:w="1693"/>
        <w:gridCol w:w="1733"/>
        <w:gridCol w:w="1691"/>
      </w:tblGrid>
      <w:tr w:rsidR="00686820" w:rsidRPr="00ED6D70" w:rsidTr="00ED6D70">
        <w:trPr>
          <w:jc w:val="center"/>
        </w:trPr>
        <w:tc>
          <w:tcPr>
            <w:tcW w:w="615" w:type="pct"/>
            <w:shd w:val="clear" w:color="auto" w:fill="auto"/>
            <w:vAlign w:val="center"/>
            <w:hideMark/>
          </w:tcPr>
          <w:p w:rsidR="00686820" w:rsidRPr="00ED6D70" w:rsidRDefault="00686820" w:rsidP="00ED6D70">
            <w:pPr>
              <w:snapToGrid w:val="0"/>
              <w:spacing w:before="0"/>
              <w:ind w:left="0"/>
              <w:jc w:val="center"/>
              <w:rPr>
                <w:rFonts w:ascii="Times New Roman" w:eastAsia="Times New Roman" w:hAnsi="Times New Roman" w:cs="Times New Roman"/>
                <w:b/>
                <w:bCs/>
                <w:color w:val="000000"/>
                <w:sz w:val="18"/>
                <w:szCs w:val="18"/>
              </w:rPr>
            </w:pPr>
            <w:proofErr w:type="spellStart"/>
            <w:r w:rsidRPr="00ED6D70">
              <w:rPr>
                <w:rFonts w:ascii="Times New Roman" w:eastAsia="Times New Roman" w:hAnsi="Times New Roman" w:cs="Times New Roman"/>
                <w:b/>
                <w:bCs/>
                <w:color w:val="000000"/>
                <w:sz w:val="18"/>
                <w:szCs w:val="18"/>
              </w:rPr>
              <w:t>S.No</w:t>
            </w:r>
            <w:proofErr w:type="spellEnd"/>
            <w:r w:rsidRPr="00ED6D70">
              <w:rPr>
                <w:rFonts w:ascii="Times New Roman" w:eastAsia="Times New Roman" w:hAnsi="Times New Roman" w:cs="Times New Roman"/>
                <w:b/>
                <w:bCs/>
                <w:color w:val="000000"/>
                <w:sz w:val="18"/>
                <w:szCs w:val="18"/>
              </w:rPr>
              <w:t>.</w:t>
            </w:r>
          </w:p>
        </w:tc>
        <w:tc>
          <w:tcPr>
            <w:tcW w:w="808" w:type="pct"/>
            <w:shd w:val="clear" w:color="000000" w:fill="FFFFFF"/>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b/>
                <w:bCs/>
                <w:color w:val="000000"/>
                <w:sz w:val="18"/>
                <w:szCs w:val="18"/>
              </w:rPr>
            </w:pPr>
            <w:r w:rsidRPr="00ED6D70">
              <w:rPr>
                <w:rFonts w:ascii="Times New Roman" w:eastAsia="Times New Roman" w:hAnsi="Times New Roman" w:cs="Times New Roman"/>
                <w:b/>
                <w:bCs/>
                <w:color w:val="000000"/>
                <w:sz w:val="18"/>
                <w:szCs w:val="18"/>
              </w:rPr>
              <w:t>Year</w:t>
            </w:r>
          </w:p>
        </w:tc>
        <w:tc>
          <w:tcPr>
            <w:tcW w:w="1789" w:type="pct"/>
            <w:gridSpan w:val="2"/>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Tertiary Sector</w:t>
            </w:r>
          </w:p>
        </w:tc>
        <w:tc>
          <w:tcPr>
            <w:tcW w:w="1789" w:type="pct"/>
            <w:gridSpan w:val="2"/>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NSDP</w:t>
            </w:r>
          </w:p>
        </w:tc>
      </w:tr>
      <w:tr w:rsidR="00686820" w:rsidRPr="00ED6D70" w:rsidTr="00ED6D70">
        <w:trPr>
          <w:jc w:val="center"/>
        </w:trPr>
        <w:tc>
          <w:tcPr>
            <w:tcW w:w="615" w:type="pct"/>
            <w:shd w:val="clear" w:color="auto" w:fill="auto"/>
            <w:vAlign w:val="center"/>
            <w:hideMark/>
          </w:tcPr>
          <w:p w:rsidR="00686820" w:rsidRPr="00ED6D70" w:rsidRDefault="00686820" w:rsidP="00ED6D70">
            <w:pPr>
              <w:snapToGrid w:val="0"/>
              <w:spacing w:before="0"/>
              <w:ind w:left="0"/>
              <w:jc w:val="center"/>
              <w:rPr>
                <w:rFonts w:ascii="Times New Roman" w:eastAsia="Times New Roman" w:hAnsi="Times New Roman" w:cs="Times New Roman"/>
                <w:b/>
                <w:bCs/>
                <w:color w:val="000000"/>
                <w:sz w:val="18"/>
                <w:szCs w:val="18"/>
              </w:rPr>
            </w:pPr>
          </w:p>
        </w:tc>
        <w:tc>
          <w:tcPr>
            <w:tcW w:w="808" w:type="pct"/>
            <w:shd w:val="clear" w:color="000000" w:fill="FFFFFF"/>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b/>
                <w:bCs/>
                <w:color w:val="000000"/>
                <w:sz w:val="18"/>
                <w:szCs w:val="18"/>
              </w:rPr>
            </w:pPr>
          </w:p>
        </w:tc>
        <w:tc>
          <w:tcPr>
            <w:tcW w:w="90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proofErr w:type="spellStart"/>
            <w:r w:rsidRPr="00ED6D70">
              <w:rPr>
                <w:rFonts w:ascii="Times New Roman" w:eastAsia="Times New Roman" w:hAnsi="Times New Roman" w:cs="Times New Roman"/>
                <w:color w:val="000000"/>
                <w:sz w:val="18"/>
                <w:szCs w:val="18"/>
              </w:rPr>
              <w:t>Cn.Prices</w:t>
            </w:r>
            <w:proofErr w:type="spellEnd"/>
          </w:p>
        </w:tc>
        <w:tc>
          <w:tcPr>
            <w:tcW w:w="884"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proofErr w:type="spellStart"/>
            <w:r w:rsidRPr="00ED6D70">
              <w:rPr>
                <w:rFonts w:ascii="Times New Roman" w:eastAsia="Times New Roman" w:hAnsi="Times New Roman" w:cs="Times New Roman"/>
                <w:color w:val="000000"/>
                <w:sz w:val="18"/>
                <w:szCs w:val="18"/>
              </w:rPr>
              <w:t>Ct.Prices</w:t>
            </w:r>
            <w:proofErr w:type="spellEnd"/>
          </w:p>
        </w:tc>
        <w:tc>
          <w:tcPr>
            <w:tcW w:w="90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proofErr w:type="spellStart"/>
            <w:r w:rsidRPr="00ED6D70">
              <w:rPr>
                <w:rFonts w:ascii="Times New Roman" w:eastAsia="Times New Roman" w:hAnsi="Times New Roman" w:cs="Times New Roman"/>
                <w:color w:val="000000"/>
                <w:sz w:val="18"/>
                <w:szCs w:val="18"/>
              </w:rPr>
              <w:t>Cn.Prices</w:t>
            </w:r>
            <w:proofErr w:type="spellEnd"/>
          </w:p>
        </w:tc>
        <w:tc>
          <w:tcPr>
            <w:tcW w:w="884"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proofErr w:type="spellStart"/>
            <w:r w:rsidRPr="00ED6D70">
              <w:rPr>
                <w:rFonts w:ascii="Times New Roman" w:eastAsia="Times New Roman" w:hAnsi="Times New Roman" w:cs="Times New Roman"/>
                <w:color w:val="000000"/>
                <w:sz w:val="18"/>
                <w:szCs w:val="18"/>
              </w:rPr>
              <w:t>Ct.Prices</w:t>
            </w:r>
            <w:proofErr w:type="spellEnd"/>
          </w:p>
        </w:tc>
      </w:tr>
      <w:tr w:rsidR="00686820" w:rsidRPr="00ED6D70" w:rsidTr="00ED6D70">
        <w:trPr>
          <w:jc w:val="center"/>
        </w:trPr>
        <w:tc>
          <w:tcPr>
            <w:tcW w:w="61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w:t>
            </w:r>
          </w:p>
        </w:tc>
        <w:tc>
          <w:tcPr>
            <w:tcW w:w="808" w:type="pct"/>
            <w:shd w:val="clear" w:color="000000" w:fill="FFFFFF"/>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1980-81</w:t>
            </w:r>
          </w:p>
        </w:tc>
        <w:tc>
          <w:tcPr>
            <w:tcW w:w="90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2548.32</w:t>
            </w:r>
          </w:p>
        </w:tc>
        <w:tc>
          <w:tcPr>
            <w:tcW w:w="884"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705.01</w:t>
            </w:r>
          </w:p>
        </w:tc>
        <w:tc>
          <w:tcPr>
            <w:tcW w:w="90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6418.82</w:t>
            </w:r>
          </w:p>
        </w:tc>
        <w:tc>
          <w:tcPr>
            <w:tcW w:w="884"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1779.91</w:t>
            </w:r>
          </w:p>
        </w:tc>
      </w:tr>
      <w:tr w:rsidR="00686820" w:rsidRPr="00ED6D70" w:rsidTr="00ED6D70">
        <w:trPr>
          <w:jc w:val="center"/>
        </w:trPr>
        <w:tc>
          <w:tcPr>
            <w:tcW w:w="61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2</w:t>
            </w:r>
          </w:p>
        </w:tc>
        <w:tc>
          <w:tcPr>
            <w:tcW w:w="808" w:type="pct"/>
            <w:shd w:val="clear" w:color="000000" w:fill="FFFFFF"/>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1985-86</w:t>
            </w:r>
          </w:p>
        </w:tc>
        <w:tc>
          <w:tcPr>
            <w:tcW w:w="90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2659.29</w:t>
            </w:r>
          </w:p>
        </w:tc>
        <w:tc>
          <w:tcPr>
            <w:tcW w:w="884"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1210.56</w:t>
            </w:r>
          </w:p>
        </w:tc>
        <w:tc>
          <w:tcPr>
            <w:tcW w:w="90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6622.05</w:t>
            </w:r>
          </w:p>
        </w:tc>
        <w:tc>
          <w:tcPr>
            <w:tcW w:w="884"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2873.87</w:t>
            </w:r>
          </w:p>
        </w:tc>
      </w:tr>
      <w:tr w:rsidR="00686820" w:rsidRPr="00ED6D70" w:rsidTr="00ED6D70">
        <w:trPr>
          <w:jc w:val="center"/>
        </w:trPr>
        <w:tc>
          <w:tcPr>
            <w:tcW w:w="61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3</w:t>
            </w:r>
          </w:p>
        </w:tc>
        <w:tc>
          <w:tcPr>
            <w:tcW w:w="808" w:type="pct"/>
            <w:shd w:val="clear" w:color="000000" w:fill="FFFFFF"/>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1990-91</w:t>
            </w:r>
          </w:p>
        </w:tc>
        <w:tc>
          <w:tcPr>
            <w:tcW w:w="90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2882.48</w:t>
            </w:r>
          </w:p>
        </w:tc>
        <w:tc>
          <w:tcPr>
            <w:tcW w:w="884"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1659.42</w:t>
            </w:r>
          </w:p>
        </w:tc>
        <w:tc>
          <w:tcPr>
            <w:tcW w:w="90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6446.68</w:t>
            </w:r>
          </w:p>
        </w:tc>
        <w:tc>
          <w:tcPr>
            <w:tcW w:w="884"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3815.61</w:t>
            </w:r>
          </w:p>
        </w:tc>
      </w:tr>
      <w:tr w:rsidR="00686820" w:rsidRPr="00ED6D70" w:rsidTr="00ED6D70">
        <w:trPr>
          <w:jc w:val="center"/>
        </w:trPr>
        <w:tc>
          <w:tcPr>
            <w:tcW w:w="61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4</w:t>
            </w:r>
          </w:p>
        </w:tc>
        <w:tc>
          <w:tcPr>
            <w:tcW w:w="808" w:type="pct"/>
            <w:shd w:val="clear" w:color="000000" w:fill="FFFFFF"/>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1995-96</w:t>
            </w:r>
          </w:p>
        </w:tc>
        <w:tc>
          <w:tcPr>
            <w:tcW w:w="90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3054.08</w:t>
            </w:r>
          </w:p>
        </w:tc>
        <w:tc>
          <w:tcPr>
            <w:tcW w:w="884"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3525.27</w:t>
            </w:r>
          </w:p>
        </w:tc>
        <w:tc>
          <w:tcPr>
            <w:tcW w:w="90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6732.31</w:t>
            </w:r>
          </w:p>
        </w:tc>
        <w:tc>
          <w:tcPr>
            <w:tcW w:w="884"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7783.29</w:t>
            </w:r>
          </w:p>
        </w:tc>
      </w:tr>
      <w:tr w:rsidR="00686820" w:rsidRPr="00ED6D70" w:rsidTr="00ED6D70">
        <w:trPr>
          <w:jc w:val="center"/>
        </w:trPr>
        <w:tc>
          <w:tcPr>
            <w:tcW w:w="61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5</w:t>
            </w:r>
          </w:p>
        </w:tc>
        <w:tc>
          <w:tcPr>
            <w:tcW w:w="808" w:type="pct"/>
            <w:shd w:val="clear" w:color="000000" w:fill="FFFFFF"/>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2000-01</w:t>
            </w:r>
          </w:p>
        </w:tc>
        <w:tc>
          <w:tcPr>
            <w:tcW w:w="90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3531.59</w:t>
            </w:r>
          </w:p>
        </w:tc>
        <w:tc>
          <w:tcPr>
            <w:tcW w:w="884"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6656.39</w:t>
            </w:r>
          </w:p>
        </w:tc>
        <w:tc>
          <w:tcPr>
            <w:tcW w:w="90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7484.02</w:t>
            </w:r>
          </w:p>
        </w:tc>
        <w:tc>
          <w:tcPr>
            <w:tcW w:w="884"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14268.47</w:t>
            </w:r>
          </w:p>
        </w:tc>
      </w:tr>
      <w:tr w:rsidR="00686820" w:rsidRPr="00ED6D70" w:rsidTr="00ED6D70">
        <w:trPr>
          <w:jc w:val="center"/>
        </w:trPr>
        <w:tc>
          <w:tcPr>
            <w:tcW w:w="61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6</w:t>
            </w:r>
          </w:p>
        </w:tc>
        <w:tc>
          <w:tcPr>
            <w:tcW w:w="808" w:type="pct"/>
            <w:shd w:val="clear" w:color="000000" w:fill="FFFFFF"/>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2005-06</w:t>
            </w:r>
          </w:p>
        </w:tc>
        <w:tc>
          <w:tcPr>
            <w:tcW w:w="90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4472.49</w:t>
            </w:r>
          </w:p>
        </w:tc>
        <w:tc>
          <w:tcPr>
            <w:tcW w:w="884"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9929.81</w:t>
            </w:r>
          </w:p>
        </w:tc>
        <w:tc>
          <w:tcPr>
            <w:tcW w:w="90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11305.74</w:t>
            </w:r>
          </w:p>
        </w:tc>
        <w:tc>
          <w:tcPr>
            <w:tcW w:w="884"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23239.96</w:t>
            </w:r>
          </w:p>
        </w:tc>
      </w:tr>
      <w:tr w:rsidR="00686820" w:rsidRPr="00ED6D70" w:rsidTr="00ED6D70">
        <w:trPr>
          <w:jc w:val="center"/>
        </w:trPr>
        <w:tc>
          <w:tcPr>
            <w:tcW w:w="61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7</w:t>
            </w:r>
          </w:p>
        </w:tc>
        <w:tc>
          <w:tcPr>
            <w:tcW w:w="808" w:type="pct"/>
            <w:shd w:val="clear" w:color="000000" w:fill="FFFFFF"/>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2010-11</w:t>
            </w:r>
          </w:p>
        </w:tc>
        <w:tc>
          <w:tcPr>
            <w:tcW w:w="90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7790.97</w:t>
            </w:r>
          </w:p>
        </w:tc>
        <w:tc>
          <w:tcPr>
            <w:tcW w:w="884"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18730.17</w:t>
            </w:r>
          </w:p>
        </w:tc>
        <w:tc>
          <w:tcPr>
            <w:tcW w:w="905"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14907.08</w:t>
            </w:r>
          </w:p>
        </w:tc>
        <w:tc>
          <w:tcPr>
            <w:tcW w:w="884"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37495.82</w:t>
            </w:r>
          </w:p>
        </w:tc>
      </w:tr>
    </w:tbl>
    <w:p w:rsidR="00686820" w:rsidRPr="00ED6D70" w:rsidRDefault="00686820" w:rsidP="00505F99">
      <w:pPr>
        <w:pStyle w:val="ListParagraph"/>
        <w:snapToGrid w:val="0"/>
        <w:spacing w:after="0" w:line="240" w:lineRule="auto"/>
        <w:ind w:left="0" w:firstLine="425"/>
        <w:rPr>
          <w:rFonts w:ascii="Times New Roman" w:hAnsi="Times New Roman" w:cs="Times New Roman"/>
          <w:b/>
          <w:bCs/>
          <w:sz w:val="18"/>
          <w:szCs w:val="18"/>
        </w:rPr>
      </w:pPr>
    </w:p>
    <w:p w:rsidR="00FA2126" w:rsidRPr="00ED6D70" w:rsidRDefault="00FA2126" w:rsidP="00505F99">
      <w:pPr>
        <w:pStyle w:val="ListParagraph"/>
        <w:snapToGrid w:val="0"/>
        <w:spacing w:after="0" w:line="240" w:lineRule="auto"/>
        <w:ind w:left="0"/>
        <w:rPr>
          <w:rFonts w:ascii="Times New Roman" w:hAnsi="Times New Roman" w:cs="Times New Roman"/>
          <w:b/>
          <w:bCs/>
          <w:sz w:val="18"/>
          <w:szCs w:val="18"/>
        </w:rPr>
      </w:pPr>
      <w:r w:rsidRPr="00ED6D70">
        <w:rPr>
          <w:rFonts w:ascii="Times New Roman" w:eastAsia="Times New Roman" w:hAnsi="Times New Roman" w:cs="Times New Roman"/>
          <w:b/>
          <w:bCs/>
          <w:color w:val="000000"/>
          <w:sz w:val="18"/>
          <w:szCs w:val="18"/>
        </w:rPr>
        <w:t>Percentage of average annual growth rate of NSDP (5-yearly)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2831"/>
        <w:gridCol w:w="1469"/>
        <w:gridCol w:w="1404"/>
        <w:gridCol w:w="1469"/>
        <w:gridCol w:w="1404"/>
      </w:tblGrid>
      <w:tr w:rsidR="00686820" w:rsidRPr="00ED6D70" w:rsidTr="00ED6D70">
        <w:trPr>
          <w:jc w:val="center"/>
        </w:trPr>
        <w:tc>
          <w:tcPr>
            <w:tcW w:w="521" w:type="pct"/>
            <w:shd w:val="clear" w:color="auto" w:fill="auto"/>
            <w:vAlign w:val="center"/>
            <w:hideMark/>
          </w:tcPr>
          <w:p w:rsidR="00686820" w:rsidRPr="00ED6D70" w:rsidRDefault="00686820" w:rsidP="00ED6D70">
            <w:pPr>
              <w:snapToGrid w:val="0"/>
              <w:spacing w:before="0"/>
              <w:ind w:left="0"/>
              <w:jc w:val="center"/>
              <w:rPr>
                <w:rFonts w:ascii="Times New Roman" w:eastAsia="Times New Roman" w:hAnsi="Times New Roman" w:cs="Times New Roman"/>
                <w:b/>
                <w:bCs/>
                <w:color w:val="000000"/>
                <w:sz w:val="18"/>
                <w:szCs w:val="18"/>
              </w:rPr>
            </w:pPr>
            <w:proofErr w:type="spellStart"/>
            <w:r w:rsidRPr="00ED6D70">
              <w:rPr>
                <w:rFonts w:ascii="Times New Roman" w:eastAsia="Times New Roman" w:hAnsi="Times New Roman" w:cs="Times New Roman"/>
                <w:b/>
                <w:bCs/>
                <w:color w:val="000000"/>
                <w:sz w:val="18"/>
                <w:szCs w:val="18"/>
              </w:rPr>
              <w:t>S.No</w:t>
            </w:r>
            <w:proofErr w:type="spellEnd"/>
            <w:r w:rsidRPr="00ED6D70">
              <w:rPr>
                <w:rFonts w:ascii="Times New Roman" w:eastAsia="Times New Roman" w:hAnsi="Times New Roman" w:cs="Times New Roman"/>
                <w:b/>
                <w:bCs/>
                <w:color w:val="000000"/>
                <w:sz w:val="18"/>
                <w:szCs w:val="18"/>
              </w:rPr>
              <w:t>.</w:t>
            </w:r>
          </w:p>
        </w:tc>
        <w:tc>
          <w:tcPr>
            <w:tcW w:w="1478" w:type="pct"/>
            <w:shd w:val="clear" w:color="000000" w:fill="FFFFFF"/>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b/>
                <w:bCs/>
                <w:color w:val="000000"/>
                <w:sz w:val="18"/>
                <w:szCs w:val="18"/>
              </w:rPr>
            </w:pPr>
            <w:r w:rsidRPr="00ED6D70">
              <w:rPr>
                <w:rFonts w:ascii="Times New Roman" w:eastAsia="Times New Roman" w:hAnsi="Times New Roman" w:cs="Times New Roman"/>
                <w:b/>
                <w:bCs/>
                <w:color w:val="000000"/>
                <w:sz w:val="18"/>
                <w:szCs w:val="18"/>
              </w:rPr>
              <w:t>Year</w:t>
            </w:r>
          </w:p>
        </w:tc>
        <w:tc>
          <w:tcPr>
            <w:tcW w:w="1500" w:type="pct"/>
            <w:gridSpan w:val="2"/>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Tertiary Sector</w:t>
            </w:r>
          </w:p>
        </w:tc>
        <w:tc>
          <w:tcPr>
            <w:tcW w:w="1500" w:type="pct"/>
            <w:gridSpan w:val="2"/>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NSDP</w:t>
            </w:r>
          </w:p>
        </w:tc>
      </w:tr>
      <w:tr w:rsidR="00686820" w:rsidRPr="00ED6D70" w:rsidTr="00ED6D70">
        <w:trPr>
          <w:jc w:val="center"/>
        </w:trPr>
        <w:tc>
          <w:tcPr>
            <w:tcW w:w="521" w:type="pct"/>
            <w:shd w:val="clear" w:color="auto" w:fill="auto"/>
            <w:vAlign w:val="center"/>
            <w:hideMark/>
          </w:tcPr>
          <w:p w:rsidR="00686820" w:rsidRPr="00ED6D70" w:rsidRDefault="00686820" w:rsidP="00ED6D70">
            <w:pPr>
              <w:snapToGrid w:val="0"/>
              <w:spacing w:before="0"/>
              <w:ind w:left="0"/>
              <w:jc w:val="center"/>
              <w:rPr>
                <w:rFonts w:ascii="Times New Roman" w:eastAsia="Times New Roman" w:hAnsi="Times New Roman" w:cs="Times New Roman"/>
                <w:b/>
                <w:bCs/>
                <w:color w:val="000000"/>
                <w:sz w:val="18"/>
                <w:szCs w:val="18"/>
              </w:rPr>
            </w:pPr>
          </w:p>
        </w:tc>
        <w:tc>
          <w:tcPr>
            <w:tcW w:w="1478" w:type="pct"/>
            <w:shd w:val="clear" w:color="000000" w:fill="FFFFFF"/>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b/>
                <w:bCs/>
                <w:color w:val="000000"/>
                <w:sz w:val="18"/>
                <w:szCs w:val="18"/>
              </w:rPr>
            </w:pPr>
          </w:p>
        </w:tc>
        <w:tc>
          <w:tcPr>
            <w:tcW w:w="767"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proofErr w:type="spellStart"/>
            <w:r w:rsidRPr="00ED6D70">
              <w:rPr>
                <w:rFonts w:ascii="Times New Roman" w:eastAsia="Times New Roman" w:hAnsi="Times New Roman" w:cs="Times New Roman"/>
                <w:color w:val="000000"/>
                <w:sz w:val="18"/>
                <w:szCs w:val="18"/>
              </w:rPr>
              <w:t>Cn.Prices</w:t>
            </w:r>
            <w:proofErr w:type="spellEnd"/>
          </w:p>
        </w:tc>
        <w:tc>
          <w:tcPr>
            <w:tcW w:w="733"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proofErr w:type="spellStart"/>
            <w:r w:rsidRPr="00ED6D70">
              <w:rPr>
                <w:rFonts w:ascii="Times New Roman" w:eastAsia="Times New Roman" w:hAnsi="Times New Roman" w:cs="Times New Roman"/>
                <w:color w:val="000000"/>
                <w:sz w:val="18"/>
                <w:szCs w:val="18"/>
              </w:rPr>
              <w:t>Ct.Prices</w:t>
            </w:r>
            <w:proofErr w:type="spellEnd"/>
          </w:p>
        </w:tc>
        <w:tc>
          <w:tcPr>
            <w:tcW w:w="767"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proofErr w:type="spellStart"/>
            <w:r w:rsidRPr="00ED6D70">
              <w:rPr>
                <w:rFonts w:ascii="Times New Roman" w:eastAsia="Times New Roman" w:hAnsi="Times New Roman" w:cs="Times New Roman"/>
                <w:color w:val="000000"/>
                <w:sz w:val="18"/>
                <w:szCs w:val="18"/>
              </w:rPr>
              <w:t>Cn.Prices</w:t>
            </w:r>
            <w:proofErr w:type="spellEnd"/>
          </w:p>
        </w:tc>
        <w:tc>
          <w:tcPr>
            <w:tcW w:w="733"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proofErr w:type="spellStart"/>
            <w:r w:rsidRPr="00ED6D70">
              <w:rPr>
                <w:rFonts w:ascii="Times New Roman" w:eastAsia="Times New Roman" w:hAnsi="Times New Roman" w:cs="Times New Roman"/>
                <w:color w:val="000000"/>
                <w:sz w:val="18"/>
                <w:szCs w:val="18"/>
              </w:rPr>
              <w:t>Ct.Prices</w:t>
            </w:r>
            <w:proofErr w:type="spellEnd"/>
          </w:p>
        </w:tc>
      </w:tr>
      <w:tr w:rsidR="00686820" w:rsidRPr="00ED6D70" w:rsidTr="00ED6D70">
        <w:trPr>
          <w:jc w:val="center"/>
        </w:trPr>
        <w:tc>
          <w:tcPr>
            <w:tcW w:w="521"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w:t>
            </w:r>
          </w:p>
        </w:tc>
        <w:tc>
          <w:tcPr>
            <w:tcW w:w="1478"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1980-81 to 19985-86</w:t>
            </w:r>
          </w:p>
        </w:tc>
        <w:tc>
          <w:tcPr>
            <w:tcW w:w="767"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3.4</w:t>
            </w:r>
          </w:p>
        </w:tc>
        <w:tc>
          <w:tcPr>
            <w:tcW w:w="733"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13.36</w:t>
            </w:r>
          </w:p>
        </w:tc>
        <w:tc>
          <w:tcPr>
            <w:tcW w:w="767"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3.17</w:t>
            </w:r>
          </w:p>
        </w:tc>
        <w:tc>
          <w:tcPr>
            <w:tcW w:w="733"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12.13</w:t>
            </w:r>
          </w:p>
        </w:tc>
      </w:tr>
      <w:tr w:rsidR="00686820" w:rsidRPr="00ED6D70" w:rsidTr="00ED6D70">
        <w:trPr>
          <w:jc w:val="center"/>
        </w:trPr>
        <w:tc>
          <w:tcPr>
            <w:tcW w:w="521"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2</w:t>
            </w:r>
          </w:p>
        </w:tc>
        <w:tc>
          <w:tcPr>
            <w:tcW w:w="1478"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1985-86 to 1990-91</w:t>
            </w:r>
          </w:p>
        </w:tc>
        <w:tc>
          <w:tcPr>
            <w:tcW w:w="767"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4.15</w:t>
            </w:r>
          </w:p>
        </w:tc>
        <w:tc>
          <w:tcPr>
            <w:tcW w:w="733"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8.85</w:t>
            </w:r>
          </w:p>
        </w:tc>
        <w:tc>
          <w:tcPr>
            <w:tcW w:w="767"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2</w:t>
            </w:r>
          </w:p>
        </w:tc>
        <w:tc>
          <w:tcPr>
            <w:tcW w:w="733"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8.21</w:t>
            </w:r>
          </w:p>
        </w:tc>
      </w:tr>
      <w:tr w:rsidR="00686820" w:rsidRPr="00ED6D70" w:rsidTr="00ED6D70">
        <w:trPr>
          <w:jc w:val="center"/>
        </w:trPr>
        <w:tc>
          <w:tcPr>
            <w:tcW w:w="521"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3</w:t>
            </w:r>
          </w:p>
        </w:tc>
        <w:tc>
          <w:tcPr>
            <w:tcW w:w="1478"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1990-91 to 1995-96</w:t>
            </w:r>
          </w:p>
        </w:tc>
        <w:tc>
          <w:tcPr>
            <w:tcW w:w="767"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4.39</w:t>
            </w:r>
          </w:p>
        </w:tc>
        <w:tc>
          <w:tcPr>
            <w:tcW w:w="733"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18.3</w:t>
            </w:r>
          </w:p>
        </w:tc>
        <w:tc>
          <w:tcPr>
            <w:tcW w:w="767"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4.1</w:t>
            </w:r>
          </w:p>
        </w:tc>
        <w:tc>
          <w:tcPr>
            <w:tcW w:w="733"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17.49</w:t>
            </w:r>
          </w:p>
        </w:tc>
      </w:tr>
      <w:tr w:rsidR="00686820" w:rsidRPr="00ED6D70" w:rsidTr="00ED6D70">
        <w:trPr>
          <w:jc w:val="center"/>
        </w:trPr>
        <w:tc>
          <w:tcPr>
            <w:tcW w:w="521"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4</w:t>
            </w:r>
          </w:p>
        </w:tc>
        <w:tc>
          <w:tcPr>
            <w:tcW w:w="1478"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1995-96 to 2000-01</w:t>
            </w:r>
          </w:p>
        </w:tc>
        <w:tc>
          <w:tcPr>
            <w:tcW w:w="767"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5.19</w:t>
            </w:r>
          </w:p>
        </w:tc>
        <w:tc>
          <w:tcPr>
            <w:tcW w:w="733"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14.99</w:t>
            </w:r>
          </w:p>
        </w:tc>
        <w:tc>
          <w:tcPr>
            <w:tcW w:w="767"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4.4</w:t>
            </w:r>
          </w:p>
        </w:tc>
        <w:tc>
          <w:tcPr>
            <w:tcW w:w="733"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14.4</w:t>
            </w:r>
          </w:p>
        </w:tc>
      </w:tr>
      <w:tr w:rsidR="00686820" w:rsidRPr="00ED6D70" w:rsidTr="00ED6D70">
        <w:trPr>
          <w:jc w:val="center"/>
        </w:trPr>
        <w:tc>
          <w:tcPr>
            <w:tcW w:w="521"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5</w:t>
            </w:r>
          </w:p>
        </w:tc>
        <w:tc>
          <w:tcPr>
            <w:tcW w:w="1478"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2000-01 to 2005-06</w:t>
            </w:r>
          </w:p>
        </w:tc>
        <w:tc>
          <w:tcPr>
            <w:tcW w:w="767"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6.32</w:t>
            </w:r>
          </w:p>
        </w:tc>
        <w:tc>
          <w:tcPr>
            <w:tcW w:w="733"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9.6</w:t>
            </w:r>
          </w:p>
        </w:tc>
        <w:tc>
          <w:tcPr>
            <w:tcW w:w="767"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9.85</w:t>
            </w:r>
          </w:p>
        </w:tc>
        <w:tc>
          <w:tcPr>
            <w:tcW w:w="733"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11.35</w:t>
            </w:r>
          </w:p>
        </w:tc>
      </w:tr>
      <w:tr w:rsidR="00686820" w:rsidRPr="00ED6D70" w:rsidTr="00ED6D70">
        <w:trPr>
          <w:jc w:val="center"/>
        </w:trPr>
        <w:tc>
          <w:tcPr>
            <w:tcW w:w="521"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6</w:t>
            </w:r>
          </w:p>
        </w:tc>
        <w:tc>
          <w:tcPr>
            <w:tcW w:w="1478"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2005-06 to 2010-11</w:t>
            </w:r>
          </w:p>
        </w:tc>
        <w:tc>
          <w:tcPr>
            <w:tcW w:w="767"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12.49</w:t>
            </w:r>
          </w:p>
        </w:tc>
        <w:tc>
          <w:tcPr>
            <w:tcW w:w="733"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14.08</w:t>
            </w:r>
          </w:p>
        </w:tc>
        <w:tc>
          <w:tcPr>
            <w:tcW w:w="767"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6.92</w:t>
            </w:r>
          </w:p>
        </w:tc>
        <w:tc>
          <w:tcPr>
            <w:tcW w:w="733"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10.96</w:t>
            </w:r>
          </w:p>
        </w:tc>
      </w:tr>
    </w:tbl>
    <w:p w:rsidR="00686820" w:rsidRPr="00ED6D70" w:rsidRDefault="00686820" w:rsidP="00505F99">
      <w:pPr>
        <w:pStyle w:val="ListParagraph"/>
        <w:snapToGrid w:val="0"/>
        <w:spacing w:after="0" w:line="240" w:lineRule="auto"/>
        <w:ind w:left="0" w:firstLine="425"/>
        <w:rPr>
          <w:rFonts w:ascii="Times New Roman" w:hAnsi="Times New Roman" w:cs="Times New Roman"/>
          <w:b/>
          <w:bCs/>
          <w:sz w:val="18"/>
          <w:szCs w:val="18"/>
        </w:rPr>
      </w:pPr>
    </w:p>
    <w:p w:rsidR="00686820" w:rsidRPr="00ED6D70" w:rsidRDefault="00FA2126" w:rsidP="00505F99">
      <w:pPr>
        <w:pStyle w:val="ListParagraph"/>
        <w:snapToGrid w:val="0"/>
        <w:spacing w:after="0" w:line="240" w:lineRule="auto"/>
        <w:ind w:left="0"/>
        <w:rPr>
          <w:rFonts w:ascii="Times New Roman" w:hAnsi="Times New Roman" w:cs="Times New Roman"/>
          <w:b/>
          <w:bCs/>
          <w:sz w:val="18"/>
          <w:szCs w:val="18"/>
        </w:rPr>
      </w:pPr>
      <w:r w:rsidRPr="00ED6D70">
        <w:rPr>
          <w:rFonts w:ascii="Times New Roman" w:eastAsia="Times New Roman" w:hAnsi="Times New Roman" w:cs="Times New Roman"/>
          <w:b/>
          <w:bCs/>
          <w:color w:val="000000"/>
          <w:sz w:val="18"/>
          <w:szCs w:val="18"/>
        </w:rPr>
        <w:t>Percentage of average annual growth rate of NSDP (10-yearly)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
        <w:gridCol w:w="2725"/>
        <w:gridCol w:w="1494"/>
        <w:gridCol w:w="1425"/>
        <w:gridCol w:w="1494"/>
        <w:gridCol w:w="1423"/>
      </w:tblGrid>
      <w:tr w:rsidR="00686820" w:rsidRPr="00ED6D70" w:rsidTr="00ED6D70">
        <w:trPr>
          <w:jc w:val="center"/>
        </w:trPr>
        <w:tc>
          <w:tcPr>
            <w:tcW w:w="530" w:type="pct"/>
            <w:shd w:val="clear" w:color="auto" w:fill="auto"/>
            <w:vAlign w:val="center"/>
            <w:hideMark/>
          </w:tcPr>
          <w:p w:rsidR="00686820" w:rsidRPr="00ED6D70" w:rsidRDefault="00686820" w:rsidP="00ED6D70">
            <w:pPr>
              <w:snapToGrid w:val="0"/>
              <w:spacing w:before="0"/>
              <w:ind w:left="0"/>
              <w:jc w:val="center"/>
              <w:rPr>
                <w:rFonts w:ascii="Times New Roman" w:eastAsia="Times New Roman" w:hAnsi="Times New Roman" w:cs="Times New Roman"/>
                <w:b/>
                <w:bCs/>
                <w:color w:val="000000"/>
                <w:sz w:val="18"/>
                <w:szCs w:val="18"/>
              </w:rPr>
            </w:pPr>
            <w:proofErr w:type="spellStart"/>
            <w:r w:rsidRPr="00ED6D70">
              <w:rPr>
                <w:rFonts w:ascii="Times New Roman" w:eastAsia="Times New Roman" w:hAnsi="Times New Roman" w:cs="Times New Roman"/>
                <w:b/>
                <w:bCs/>
                <w:color w:val="000000"/>
                <w:sz w:val="18"/>
                <w:szCs w:val="18"/>
              </w:rPr>
              <w:t>S.No</w:t>
            </w:r>
            <w:proofErr w:type="spellEnd"/>
            <w:r w:rsidRPr="00ED6D70">
              <w:rPr>
                <w:rFonts w:ascii="Times New Roman" w:eastAsia="Times New Roman" w:hAnsi="Times New Roman" w:cs="Times New Roman"/>
                <w:b/>
                <w:bCs/>
                <w:color w:val="000000"/>
                <w:sz w:val="18"/>
                <w:szCs w:val="18"/>
              </w:rPr>
              <w:t>.</w:t>
            </w:r>
          </w:p>
        </w:tc>
        <w:tc>
          <w:tcPr>
            <w:tcW w:w="1423" w:type="pct"/>
            <w:shd w:val="clear" w:color="000000" w:fill="FFFFFF"/>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b/>
                <w:bCs/>
                <w:color w:val="000000"/>
                <w:sz w:val="18"/>
                <w:szCs w:val="18"/>
              </w:rPr>
            </w:pPr>
            <w:r w:rsidRPr="00ED6D70">
              <w:rPr>
                <w:rFonts w:ascii="Times New Roman" w:eastAsia="Times New Roman" w:hAnsi="Times New Roman" w:cs="Times New Roman"/>
                <w:b/>
                <w:bCs/>
                <w:color w:val="000000"/>
                <w:sz w:val="18"/>
                <w:szCs w:val="18"/>
              </w:rPr>
              <w:t>Year</w:t>
            </w:r>
          </w:p>
        </w:tc>
        <w:tc>
          <w:tcPr>
            <w:tcW w:w="1524" w:type="pct"/>
            <w:gridSpan w:val="2"/>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Tertiary Sector</w:t>
            </w:r>
          </w:p>
        </w:tc>
        <w:tc>
          <w:tcPr>
            <w:tcW w:w="1524" w:type="pct"/>
            <w:gridSpan w:val="2"/>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NSDP</w:t>
            </w:r>
          </w:p>
        </w:tc>
      </w:tr>
      <w:tr w:rsidR="00686820" w:rsidRPr="00ED6D70" w:rsidTr="00ED6D70">
        <w:trPr>
          <w:jc w:val="center"/>
        </w:trPr>
        <w:tc>
          <w:tcPr>
            <w:tcW w:w="530" w:type="pct"/>
            <w:shd w:val="clear" w:color="auto" w:fill="auto"/>
            <w:vAlign w:val="center"/>
            <w:hideMark/>
          </w:tcPr>
          <w:p w:rsidR="00686820" w:rsidRPr="00ED6D70" w:rsidRDefault="00686820" w:rsidP="00ED6D70">
            <w:pPr>
              <w:snapToGrid w:val="0"/>
              <w:spacing w:before="0"/>
              <w:ind w:left="0"/>
              <w:jc w:val="center"/>
              <w:rPr>
                <w:rFonts w:ascii="Times New Roman" w:eastAsia="Times New Roman" w:hAnsi="Times New Roman" w:cs="Times New Roman"/>
                <w:b/>
                <w:bCs/>
                <w:color w:val="000000"/>
                <w:sz w:val="18"/>
                <w:szCs w:val="18"/>
              </w:rPr>
            </w:pPr>
          </w:p>
        </w:tc>
        <w:tc>
          <w:tcPr>
            <w:tcW w:w="1423" w:type="pct"/>
            <w:shd w:val="clear" w:color="000000" w:fill="FFFFFF"/>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b/>
                <w:bCs/>
                <w:color w:val="000000"/>
                <w:sz w:val="18"/>
                <w:szCs w:val="18"/>
              </w:rPr>
            </w:pPr>
          </w:p>
        </w:tc>
        <w:tc>
          <w:tcPr>
            <w:tcW w:w="780"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proofErr w:type="spellStart"/>
            <w:r w:rsidRPr="00ED6D70">
              <w:rPr>
                <w:rFonts w:ascii="Times New Roman" w:eastAsia="Times New Roman" w:hAnsi="Times New Roman" w:cs="Times New Roman"/>
                <w:color w:val="000000"/>
                <w:sz w:val="18"/>
                <w:szCs w:val="18"/>
              </w:rPr>
              <w:t>Cn.Prices</w:t>
            </w:r>
            <w:proofErr w:type="spellEnd"/>
          </w:p>
        </w:tc>
        <w:tc>
          <w:tcPr>
            <w:tcW w:w="744"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proofErr w:type="spellStart"/>
            <w:r w:rsidRPr="00ED6D70">
              <w:rPr>
                <w:rFonts w:ascii="Times New Roman" w:eastAsia="Times New Roman" w:hAnsi="Times New Roman" w:cs="Times New Roman"/>
                <w:color w:val="000000"/>
                <w:sz w:val="18"/>
                <w:szCs w:val="18"/>
              </w:rPr>
              <w:t>Ct.Prices</w:t>
            </w:r>
            <w:proofErr w:type="spellEnd"/>
          </w:p>
        </w:tc>
        <w:tc>
          <w:tcPr>
            <w:tcW w:w="780"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proofErr w:type="spellStart"/>
            <w:r w:rsidRPr="00ED6D70">
              <w:rPr>
                <w:rFonts w:ascii="Times New Roman" w:eastAsia="Times New Roman" w:hAnsi="Times New Roman" w:cs="Times New Roman"/>
                <w:color w:val="000000"/>
                <w:sz w:val="18"/>
                <w:szCs w:val="18"/>
              </w:rPr>
              <w:t>Cn.Prices</w:t>
            </w:r>
            <w:proofErr w:type="spellEnd"/>
          </w:p>
        </w:tc>
        <w:tc>
          <w:tcPr>
            <w:tcW w:w="744"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proofErr w:type="spellStart"/>
            <w:r w:rsidRPr="00ED6D70">
              <w:rPr>
                <w:rFonts w:ascii="Times New Roman" w:eastAsia="Times New Roman" w:hAnsi="Times New Roman" w:cs="Times New Roman"/>
                <w:color w:val="000000"/>
                <w:sz w:val="18"/>
                <w:szCs w:val="18"/>
              </w:rPr>
              <w:t>Ct.Prices</w:t>
            </w:r>
            <w:proofErr w:type="spellEnd"/>
          </w:p>
        </w:tc>
      </w:tr>
      <w:tr w:rsidR="00686820" w:rsidRPr="00ED6D70" w:rsidTr="00ED6D70">
        <w:trPr>
          <w:jc w:val="center"/>
        </w:trPr>
        <w:tc>
          <w:tcPr>
            <w:tcW w:w="530"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w:t>
            </w:r>
          </w:p>
        </w:tc>
        <w:tc>
          <w:tcPr>
            <w:tcW w:w="1423"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1980-81 to 1990-91</w:t>
            </w:r>
          </w:p>
        </w:tc>
        <w:tc>
          <w:tcPr>
            <w:tcW w:w="780"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3.78</w:t>
            </w:r>
          </w:p>
        </w:tc>
        <w:tc>
          <w:tcPr>
            <w:tcW w:w="744"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11.1</w:t>
            </w:r>
          </w:p>
        </w:tc>
        <w:tc>
          <w:tcPr>
            <w:tcW w:w="780"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2.59</w:t>
            </w:r>
          </w:p>
        </w:tc>
        <w:tc>
          <w:tcPr>
            <w:tcW w:w="744"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10.17</w:t>
            </w:r>
          </w:p>
        </w:tc>
      </w:tr>
      <w:tr w:rsidR="00686820" w:rsidRPr="00ED6D70" w:rsidTr="00ED6D70">
        <w:trPr>
          <w:jc w:val="center"/>
        </w:trPr>
        <w:tc>
          <w:tcPr>
            <w:tcW w:w="530"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2</w:t>
            </w:r>
          </w:p>
        </w:tc>
        <w:tc>
          <w:tcPr>
            <w:tcW w:w="1423"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1990-91 to 2000-01</w:t>
            </w:r>
          </w:p>
        </w:tc>
        <w:tc>
          <w:tcPr>
            <w:tcW w:w="780"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4.79</w:t>
            </w:r>
          </w:p>
        </w:tc>
        <w:tc>
          <w:tcPr>
            <w:tcW w:w="744"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16.65</w:t>
            </w:r>
          </w:p>
        </w:tc>
        <w:tc>
          <w:tcPr>
            <w:tcW w:w="780"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4.25</w:t>
            </w:r>
          </w:p>
        </w:tc>
        <w:tc>
          <w:tcPr>
            <w:tcW w:w="744"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15.95</w:t>
            </w:r>
          </w:p>
        </w:tc>
      </w:tr>
      <w:tr w:rsidR="00686820" w:rsidRPr="00ED6D70" w:rsidTr="00ED6D70">
        <w:trPr>
          <w:jc w:val="center"/>
        </w:trPr>
        <w:tc>
          <w:tcPr>
            <w:tcW w:w="530"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3</w:t>
            </w:r>
          </w:p>
        </w:tc>
        <w:tc>
          <w:tcPr>
            <w:tcW w:w="1423"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2000-01 to 2010-11</w:t>
            </w:r>
          </w:p>
        </w:tc>
        <w:tc>
          <w:tcPr>
            <w:tcW w:w="780"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9.41</w:t>
            </w:r>
          </w:p>
        </w:tc>
        <w:tc>
          <w:tcPr>
            <w:tcW w:w="744"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11.84</w:t>
            </w:r>
          </w:p>
        </w:tc>
        <w:tc>
          <w:tcPr>
            <w:tcW w:w="780"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8.38</w:t>
            </w:r>
          </w:p>
        </w:tc>
        <w:tc>
          <w:tcPr>
            <w:tcW w:w="744"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11.15</w:t>
            </w:r>
          </w:p>
        </w:tc>
      </w:tr>
    </w:tbl>
    <w:p w:rsidR="004B22CE" w:rsidRDefault="004B22CE" w:rsidP="00505F99">
      <w:pPr>
        <w:pStyle w:val="ListParagraph"/>
        <w:snapToGrid w:val="0"/>
        <w:spacing w:after="0" w:line="240" w:lineRule="auto"/>
        <w:ind w:left="0"/>
        <w:rPr>
          <w:rFonts w:ascii="Times New Roman" w:eastAsia="Times New Roman" w:hAnsi="Times New Roman" w:cs="Times New Roman"/>
          <w:b/>
          <w:bCs/>
          <w:color w:val="000000"/>
          <w:sz w:val="18"/>
          <w:szCs w:val="18"/>
        </w:rPr>
      </w:pPr>
    </w:p>
    <w:p w:rsidR="004B22CE" w:rsidRDefault="004B22CE" w:rsidP="00505F99">
      <w:pPr>
        <w:pStyle w:val="ListParagraph"/>
        <w:snapToGrid w:val="0"/>
        <w:spacing w:after="0" w:line="240" w:lineRule="auto"/>
        <w:ind w:left="0"/>
        <w:rPr>
          <w:rFonts w:ascii="Times New Roman" w:eastAsia="Times New Roman" w:hAnsi="Times New Roman" w:cs="Times New Roman"/>
          <w:b/>
          <w:bCs/>
          <w:color w:val="000000"/>
          <w:sz w:val="18"/>
          <w:szCs w:val="18"/>
        </w:rPr>
      </w:pPr>
    </w:p>
    <w:p w:rsidR="004B22CE" w:rsidRDefault="004B22CE" w:rsidP="00505F99">
      <w:pPr>
        <w:pStyle w:val="ListParagraph"/>
        <w:snapToGrid w:val="0"/>
        <w:spacing w:after="0" w:line="240" w:lineRule="auto"/>
        <w:ind w:left="0"/>
        <w:rPr>
          <w:rFonts w:ascii="Times New Roman" w:eastAsia="Times New Roman" w:hAnsi="Times New Roman" w:cs="Times New Roman"/>
          <w:b/>
          <w:bCs/>
          <w:color w:val="000000"/>
          <w:sz w:val="18"/>
          <w:szCs w:val="18"/>
        </w:rPr>
      </w:pPr>
    </w:p>
    <w:p w:rsidR="00686820" w:rsidRPr="00ED6D70" w:rsidRDefault="00FA2126" w:rsidP="00505F99">
      <w:pPr>
        <w:pStyle w:val="ListParagraph"/>
        <w:snapToGrid w:val="0"/>
        <w:spacing w:after="0" w:line="240" w:lineRule="auto"/>
        <w:ind w:left="0"/>
        <w:rPr>
          <w:rFonts w:ascii="Times New Roman" w:hAnsi="Times New Roman" w:cs="Times New Roman"/>
          <w:b/>
          <w:bCs/>
          <w:sz w:val="18"/>
          <w:szCs w:val="18"/>
        </w:rPr>
      </w:pPr>
      <w:r w:rsidRPr="00ED6D70">
        <w:rPr>
          <w:rFonts w:ascii="Times New Roman" w:eastAsia="Times New Roman" w:hAnsi="Times New Roman" w:cs="Times New Roman"/>
          <w:b/>
          <w:bCs/>
          <w:color w:val="000000"/>
          <w:sz w:val="18"/>
          <w:szCs w:val="18"/>
        </w:rPr>
        <w:t>Percentage of average annual growth rate of NSDP (30-yearly)</w:t>
      </w:r>
    </w:p>
    <w:tbl>
      <w:tblPr>
        <w:tblW w:w="484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9"/>
        <w:gridCol w:w="2725"/>
        <w:gridCol w:w="1494"/>
        <w:gridCol w:w="1426"/>
        <w:gridCol w:w="1494"/>
        <w:gridCol w:w="1222"/>
      </w:tblGrid>
      <w:tr w:rsidR="00686820" w:rsidRPr="00ED6D70" w:rsidTr="00ED6D70">
        <w:trPr>
          <w:jc w:val="center"/>
        </w:trPr>
        <w:tc>
          <w:tcPr>
            <w:tcW w:w="490" w:type="pct"/>
            <w:shd w:val="clear" w:color="auto" w:fill="auto"/>
            <w:vAlign w:val="center"/>
            <w:hideMark/>
          </w:tcPr>
          <w:p w:rsidR="00686820" w:rsidRPr="00ED6D70" w:rsidRDefault="00686820" w:rsidP="00ED6D70">
            <w:pPr>
              <w:snapToGrid w:val="0"/>
              <w:spacing w:before="0"/>
              <w:ind w:left="0"/>
              <w:jc w:val="center"/>
              <w:rPr>
                <w:rFonts w:ascii="Times New Roman" w:eastAsia="Times New Roman" w:hAnsi="Times New Roman" w:cs="Times New Roman"/>
                <w:b/>
                <w:bCs/>
                <w:color w:val="000000"/>
                <w:sz w:val="18"/>
                <w:szCs w:val="18"/>
              </w:rPr>
            </w:pPr>
            <w:proofErr w:type="spellStart"/>
            <w:r w:rsidRPr="00ED6D70">
              <w:rPr>
                <w:rFonts w:ascii="Times New Roman" w:eastAsia="Times New Roman" w:hAnsi="Times New Roman" w:cs="Times New Roman"/>
                <w:b/>
                <w:bCs/>
                <w:color w:val="000000"/>
                <w:sz w:val="18"/>
                <w:szCs w:val="18"/>
              </w:rPr>
              <w:t>S.No</w:t>
            </w:r>
            <w:proofErr w:type="spellEnd"/>
            <w:r w:rsidRPr="00ED6D70">
              <w:rPr>
                <w:rFonts w:ascii="Times New Roman" w:eastAsia="Times New Roman" w:hAnsi="Times New Roman" w:cs="Times New Roman"/>
                <w:b/>
                <w:bCs/>
                <w:color w:val="000000"/>
                <w:sz w:val="18"/>
                <w:szCs w:val="18"/>
              </w:rPr>
              <w:t>.</w:t>
            </w:r>
          </w:p>
        </w:tc>
        <w:tc>
          <w:tcPr>
            <w:tcW w:w="1470" w:type="pct"/>
            <w:shd w:val="clear" w:color="000000" w:fill="FFFFFF"/>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b/>
                <w:bCs/>
                <w:color w:val="000000"/>
                <w:sz w:val="18"/>
                <w:szCs w:val="18"/>
              </w:rPr>
            </w:pPr>
            <w:r w:rsidRPr="00ED6D70">
              <w:rPr>
                <w:rFonts w:ascii="Times New Roman" w:eastAsia="Times New Roman" w:hAnsi="Times New Roman" w:cs="Times New Roman"/>
                <w:b/>
                <w:bCs/>
                <w:color w:val="000000"/>
                <w:sz w:val="18"/>
                <w:szCs w:val="18"/>
              </w:rPr>
              <w:t>Year</w:t>
            </w:r>
          </w:p>
        </w:tc>
        <w:tc>
          <w:tcPr>
            <w:tcW w:w="1575" w:type="pct"/>
            <w:gridSpan w:val="2"/>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Tertiary Sector</w:t>
            </w:r>
          </w:p>
        </w:tc>
        <w:tc>
          <w:tcPr>
            <w:tcW w:w="1465" w:type="pct"/>
            <w:gridSpan w:val="2"/>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NSDP</w:t>
            </w:r>
          </w:p>
        </w:tc>
      </w:tr>
      <w:tr w:rsidR="00686820" w:rsidRPr="00ED6D70" w:rsidTr="00ED6D70">
        <w:trPr>
          <w:jc w:val="center"/>
        </w:trPr>
        <w:tc>
          <w:tcPr>
            <w:tcW w:w="490" w:type="pct"/>
            <w:shd w:val="clear" w:color="auto" w:fill="auto"/>
            <w:vAlign w:val="center"/>
            <w:hideMark/>
          </w:tcPr>
          <w:p w:rsidR="00686820" w:rsidRPr="00ED6D70" w:rsidRDefault="00686820" w:rsidP="00ED6D70">
            <w:pPr>
              <w:snapToGrid w:val="0"/>
              <w:spacing w:before="0"/>
              <w:ind w:left="0"/>
              <w:jc w:val="center"/>
              <w:rPr>
                <w:rFonts w:ascii="Times New Roman" w:eastAsia="Times New Roman" w:hAnsi="Times New Roman" w:cs="Times New Roman"/>
                <w:b/>
                <w:bCs/>
                <w:color w:val="000000"/>
                <w:sz w:val="18"/>
                <w:szCs w:val="18"/>
              </w:rPr>
            </w:pPr>
          </w:p>
        </w:tc>
        <w:tc>
          <w:tcPr>
            <w:tcW w:w="1470" w:type="pct"/>
            <w:shd w:val="clear" w:color="000000" w:fill="FFFFFF"/>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b/>
                <w:bCs/>
                <w:color w:val="000000"/>
                <w:sz w:val="18"/>
                <w:szCs w:val="18"/>
              </w:rPr>
            </w:pPr>
          </w:p>
        </w:tc>
        <w:tc>
          <w:tcPr>
            <w:tcW w:w="806"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proofErr w:type="spellStart"/>
            <w:r w:rsidRPr="00ED6D70">
              <w:rPr>
                <w:rFonts w:ascii="Times New Roman" w:eastAsia="Times New Roman" w:hAnsi="Times New Roman" w:cs="Times New Roman"/>
                <w:color w:val="000000"/>
                <w:sz w:val="18"/>
                <w:szCs w:val="18"/>
              </w:rPr>
              <w:t>Cn.Prices</w:t>
            </w:r>
            <w:proofErr w:type="spellEnd"/>
          </w:p>
        </w:tc>
        <w:tc>
          <w:tcPr>
            <w:tcW w:w="769"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proofErr w:type="spellStart"/>
            <w:r w:rsidRPr="00ED6D70">
              <w:rPr>
                <w:rFonts w:ascii="Times New Roman" w:eastAsia="Times New Roman" w:hAnsi="Times New Roman" w:cs="Times New Roman"/>
                <w:color w:val="000000"/>
                <w:sz w:val="18"/>
                <w:szCs w:val="18"/>
              </w:rPr>
              <w:t>Ct.Prices</w:t>
            </w:r>
            <w:proofErr w:type="spellEnd"/>
          </w:p>
        </w:tc>
        <w:tc>
          <w:tcPr>
            <w:tcW w:w="806"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proofErr w:type="spellStart"/>
            <w:r w:rsidRPr="00ED6D70">
              <w:rPr>
                <w:rFonts w:ascii="Times New Roman" w:eastAsia="Times New Roman" w:hAnsi="Times New Roman" w:cs="Times New Roman"/>
                <w:color w:val="000000"/>
                <w:sz w:val="18"/>
                <w:szCs w:val="18"/>
              </w:rPr>
              <w:t>Cn.Prices</w:t>
            </w:r>
            <w:proofErr w:type="spellEnd"/>
          </w:p>
        </w:tc>
        <w:tc>
          <w:tcPr>
            <w:tcW w:w="659"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proofErr w:type="spellStart"/>
            <w:r w:rsidRPr="00ED6D70">
              <w:rPr>
                <w:rFonts w:ascii="Times New Roman" w:eastAsia="Times New Roman" w:hAnsi="Times New Roman" w:cs="Times New Roman"/>
                <w:color w:val="000000"/>
                <w:sz w:val="18"/>
                <w:szCs w:val="18"/>
              </w:rPr>
              <w:t>Ct.Prices</w:t>
            </w:r>
            <w:proofErr w:type="spellEnd"/>
          </w:p>
        </w:tc>
      </w:tr>
      <w:tr w:rsidR="00686820" w:rsidRPr="00ED6D70" w:rsidTr="00ED6D70">
        <w:trPr>
          <w:jc w:val="center"/>
        </w:trPr>
        <w:tc>
          <w:tcPr>
            <w:tcW w:w="490"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w:t>
            </w:r>
          </w:p>
        </w:tc>
        <w:tc>
          <w:tcPr>
            <w:tcW w:w="1470"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1980-81 to 2010-11</w:t>
            </w:r>
          </w:p>
        </w:tc>
        <w:tc>
          <w:tcPr>
            <w:tcW w:w="806"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5.99</w:t>
            </w:r>
          </w:p>
        </w:tc>
        <w:tc>
          <w:tcPr>
            <w:tcW w:w="769"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13.2</w:t>
            </w:r>
          </w:p>
        </w:tc>
        <w:tc>
          <w:tcPr>
            <w:tcW w:w="806"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5.07</w:t>
            </w:r>
          </w:p>
        </w:tc>
        <w:tc>
          <w:tcPr>
            <w:tcW w:w="659" w:type="pct"/>
            <w:shd w:val="clear" w:color="auto" w:fill="auto"/>
            <w:noWrap/>
            <w:vAlign w:val="center"/>
            <w:hideMark/>
          </w:tcPr>
          <w:p w:rsidR="00686820" w:rsidRPr="00ED6D70" w:rsidRDefault="00686820" w:rsidP="00ED6D70">
            <w:pPr>
              <w:snapToGrid w:val="0"/>
              <w:spacing w:before="0"/>
              <w:ind w:left="0"/>
              <w:jc w:val="center"/>
              <w:rPr>
                <w:rFonts w:ascii="Times New Roman" w:eastAsia="Times New Roman" w:hAnsi="Times New Roman" w:cs="Times New Roman"/>
                <w:color w:val="000000"/>
                <w:sz w:val="18"/>
                <w:szCs w:val="18"/>
              </w:rPr>
            </w:pPr>
            <w:r w:rsidRPr="00ED6D70">
              <w:rPr>
                <w:rFonts w:ascii="Times New Roman" w:eastAsia="Times New Roman" w:hAnsi="Times New Roman" w:cs="Times New Roman"/>
                <w:color w:val="000000"/>
                <w:sz w:val="18"/>
                <w:szCs w:val="18"/>
              </w:rPr>
              <w:t>12.42</w:t>
            </w:r>
          </w:p>
        </w:tc>
      </w:tr>
    </w:tbl>
    <w:p w:rsidR="00505F99" w:rsidRDefault="00505F99" w:rsidP="00505F99">
      <w:pPr>
        <w:pStyle w:val="ListParagraph"/>
        <w:snapToGrid w:val="0"/>
        <w:spacing w:after="0" w:line="240" w:lineRule="auto"/>
        <w:ind w:left="0"/>
        <w:rPr>
          <w:rFonts w:ascii="Times New Roman" w:hAnsi="Times New Roman" w:cs="Times New Roman"/>
          <w:b/>
          <w:bCs/>
          <w:sz w:val="20"/>
          <w:szCs w:val="20"/>
        </w:rPr>
      </w:pPr>
    </w:p>
    <w:p w:rsidR="004B22CE" w:rsidRDefault="004B22CE" w:rsidP="00505F99">
      <w:pPr>
        <w:pStyle w:val="ListParagraph"/>
        <w:snapToGrid w:val="0"/>
        <w:spacing w:after="0" w:line="240" w:lineRule="auto"/>
        <w:ind w:left="0"/>
        <w:rPr>
          <w:rFonts w:ascii="Times New Roman" w:hAnsi="Times New Roman" w:cs="Times New Roman"/>
          <w:b/>
          <w:bCs/>
          <w:sz w:val="20"/>
          <w:szCs w:val="20"/>
        </w:rPr>
      </w:pPr>
    </w:p>
    <w:p w:rsidR="00505F99" w:rsidRPr="00505F99" w:rsidRDefault="00505F99" w:rsidP="00505F99">
      <w:pPr>
        <w:pStyle w:val="ListParagraph"/>
        <w:snapToGrid w:val="0"/>
        <w:spacing w:after="0" w:line="240" w:lineRule="auto"/>
        <w:ind w:left="0"/>
        <w:rPr>
          <w:rFonts w:ascii="Times New Roman" w:hAnsi="Times New Roman" w:cs="Times New Roman"/>
          <w:b/>
          <w:bCs/>
          <w:sz w:val="20"/>
          <w:szCs w:val="20"/>
        </w:rPr>
        <w:sectPr w:rsidR="00505F99" w:rsidRPr="00505F99" w:rsidSect="00177793">
          <w:headerReference w:type="default" r:id="rId26"/>
          <w:footerReference w:type="default" r:id="rId27"/>
          <w:type w:val="continuous"/>
          <w:pgSz w:w="12240" w:h="15840" w:code="1"/>
          <w:pgMar w:top="1440" w:right="1440" w:bottom="1440" w:left="1440" w:header="720" w:footer="720" w:gutter="0"/>
          <w:cols w:space="720"/>
          <w:docGrid w:linePitch="360"/>
        </w:sectPr>
      </w:pPr>
    </w:p>
    <w:p w:rsidR="00FA2126" w:rsidRPr="00505F99" w:rsidRDefault="00505F99" w:rsidP="00505F99">
      <w:pPr>
        <w:pStyle w:val="ListParagraph"/>
        <w:snapToGrid w:val="0"/>
        <w:spacing w:after="0" w:line="240" w:lineRule="auto"/>
        <w:ind w:left="0"/>
        <w:rPr>
          <w:rFonts w:ascii="Times New Roman" w:hAnsi="Times New Roman" w:cs="Times New Roman"/>
          <w:b/>
          <w:bCs/>
          <w:sz w:val="20"/>
          <w:szCs w:val="20"/>
        </w:rPr>
      </w:pPr>
      <w:r w:rsidRPr="00505F99">
        <w:rPr>
          <w:rFonts w:ascii="Times New Roman" w:hAnsi="Times New Roman" w:cs="Times New Roman"/>
          <w:b/>
          <w:bCs/>
          <w:sz w:val="20"/>
          <w:szCs w:val="20"/>
        </w:rPr>
        <w:lastRenderedPageBreak/>
        <w:t>References</w:t>
      </w:r>
    </w:p>
    <w:p w:rsidR="00FA2126" w:rsidRPr="00505F99" w:rsidRDefault="00FA2126" w:rsidP="00ED6D70">
      <w:pPr>
        <w:pStyle w:val="ListParagraph"/>
        <w:numPr>
          <w:ilvl w:val="0"/>
          <w:numId w:val="11"/>
        </w:numPr>
        <w:snapToGrid w:val="0"/>
        <w:spacing w:after="0" w:line="240" w:lineRule="auto"/>
        <w:ind w:left="425" w:hanging="425"/>
        <w:rPr>
          <w:rFonts w:ascii="Times New Roman" w:hAnsi="Times New Roman" w:cs="Times New Roman"/>
          <w:sz w:val="20"/>
          <w:szCs w:val="20"/>
        </w:rPr>
      </w:pPr>
      <w:r w:rsidRPr="00505F99">
        <w:rPr>
          <w:rFonts w:ascii="Times New Roman" w:hAnsi="Times New Roman" w:cs="Times New Roman"/>
          <w:sz w:val="20"/>
          <w:szCs w:val="20"/>
        </w:rPr>
        <w:t>Economic census, Govt. of India, various issues.</w:t>
      </w:r>
    </w:p>
    <w:p w:rsidR="00FA2126" w:rsidRPr="00505F99" w:rsidRDefault="00FA2126" w:rsidP="00ED6D70">
      <w:pPr>
        <w:pStyle w:val="ListParagraph"/>
        <w:numPr>
          <w:ilvl w:val="0"/>
          <w:numId w:val="11"/>
        </w:numPr>
        <w:snapToGrid w:val="0"/>
        <w:spacing w:after="0" w:line="240" w:lineRule="auto"/>
        <w:ind w:left="425" w:hanging="425"/>
        <w:rPr>
          <w:rFonts w:ascii="Times New Roman" w:hAnsi="Times New Roman" w:cs="Times New Roman"/>
          <w:sz w:val="20"/>
          <w:szCs w:val="20"/>
        </w:rPr>
      </w:pPr>
      <w:r w:rsidRPr="00505F99">
        <w:rPr>
          <w:rFonts w:ascii="Times New Roman" w:hAnsi="Times New Roman" w:cs="Times New Roman"/>
          <w:sz w:val="20"/>
          <w:szCs w:val="20"/>
        </w:rPr>
        <w:t>Digest of statistics; Directorate of Economics and Statistics; Govt. of J&amp;K, various issues.</w:t>
      </w:r>
    </w:p>
    <w:p w:rsidR="00FA2126" w:rsidRPr="00505F99" w:rsidRDefault="00FA2126" w:rsidP="00ED6D70">
      <w:pPr>
        <w:pStyle w:val="ListParagraph"/>
        <w:numPr>
          <w:ilvl w:val="0"/>
          <w:numId w:val="11"/>
        </w:numPr>
        <w:snapToGrid w:val="0"/>
        <w:spacing w:after="0" w:line="240" w:lineRule="auto"/>
        <w:ind w:left="425" w:hanging="425"/>
        <w:rPr>
          <w:rFonts w:ascii="Times New Roman" w:hAnsi="Times New Roman" w:cs="Times New Roman"/>
          <w:sz w:val="20"/>
          <w:szCs w:val="20"/>
        </w:rPr>
      </w:pPr>
      <w:r w:rsidRPr="00505F99">
        <w:rPr>
          <w:rFonts w:ascii="Times New Roman" w:hAnsi="Times New Roman" w:cs="Times New Roman"/>
          <w:sz w:val="20"/>
          <w:szCs w:val="20"/>
        </w:rPr>
        <w:t>Economic Survey; Directorate of Economics and Statistics; Govt. of J&amp;K, various issues.</w:t>
      </w:r>
    </w:p>
    <w:p w:rsidR="00FA2126" w:rsidRPr="00505F99" w:rsidRDefault="00FA2126" w:rsidP="00ED6D70">
      <w:pPr>
        <w:pStyle w:val="ListParagraph"/>
        <w:numPr>
          <w:ilvl w:val="0"/>
          <w:numId w:val="11"/>
        </w:numPr>
        <w:snapToGrid w:val="0"/>
        <w:spacing w:after="0" w:line="240" w:lineRule="auto"/>
        <w:ind w:left="425" w:hanging="425"/>
        <w:rPr>
          <w:rFonts w:ascii="Times New Roman" w:hAnsi="Times New Roman" w:cs="Times New Roman"/>
          <w:b/>
          <w:sz w:val="20"/>
          <w:szCs w:val="20"/>
        </w:rPr>
      </w:pPr>
      <w:r w:rsidRPr="00505F99">
        <w:rPr>
          <w:rFonts w:ascii="Times New Roman" w:hAnsi="Times New Roman" w:cs="Times New Roman"/>
          <w:sz w:val="20"/>
          <w:szCs w:val="20"/>
        </w:rPr>
        <w:t>Economic Review of J&amp;K; Directorate of Economics and Statistics; Govt. of J&amp;K, 2007-08.</w:t>
      </w:r>
    </w:p>
    <w:p w:rsidR="00FA2126" w:rsidRPr="00505F99" w:rsidRDefault="00FA2126" w:rsidP="00ED6D70">
      <w:pPr>
        <w:pStyle w:val="ListParagraph"/>
        <w:numPr>
          <w:ilvl w:val="0"/>
          <w:numId w:val="11"/>
        </w:numPr>
        <w:snapToGrid w:val="0"/>
        <w:spacing w:after="0" w:line="240" w:lineRule="auto"/>
        <w:ind w:left="425" w:hanging="425"/>
        <w:rPr>
          <w:rFonts w:ascii="Times New Roman" w:hAnsi="Times New Roman" w:cs="Times New Roman"/>
          <w:b/>
          <w:sz w:val="20"/>
          <w:szCs w:val="20"/>
        </w:rPr>
      </w:pPr>
      <w:r w:rsidRPr="00505F99">
        <w:rPr>
          <w:rFonts w:ascii="Times New Roman" w:hAnsi="Times New Roman" w:cs="Times New Roman"/>
          <w:sz w:val="20"/>
          <w:szCs w:val="20"/>
        </w:rPr>
        <w:t>Reports, journals, magazines and news papers.</w:t>
      </w:r>
    </w:p>
    <w:p w:rsidR="00FA2126" w:rsidRPr="00505F99" w:rsidRDefault="00FA2126" w:rsidP="00ED6D70">
      <w:pPr>
        <w:pStyle w:val="ListParagraph"/>
        <w:numPr>
          <w:ilvl w:val="0"/>
          <w:numId w:val="11"/>
        </w:numPr>
        <w:snapToGrid w:val="0"/>
        <w:spacing w:after="0" w:line="240" w:lineRule="auto"/>
        <w:ind w:left="425" w:hanging="425"/>
        <w:rPr>
          <w:rFonts w:ascii="Times New Roman" w:hAnsi="Times New Roman" w:cs="Times New Roman"/>
          <w:b/>
          <w:sz w:val="20"/>
          <w:szCs w:val="20"/>
        </w:rPr>
      </w:pPr>
      <w:r w:rsidRPr="00505F99">
        <w:rPr>
          <w:rFonts w:ascii="Times New Roman" w:hAnsi="Times New Roman" w:cs="Times New Roman"/>
          <w:sz w:val="20"/>
          <w:szCs w:val="20"/>
        </w:rPr>
        <w:t>In addition to the above sources relevant information has been collected from the following departments:</w:t>
      </w:r>
    </w:p>
    <w:p w:rsidR="00FA2126" w:rsidRPr="00505F99" w:rsidRDefault="00FA2126" w:rsidP="00ED6D70">
      <w:pPr>
        <w:pStyle w:val="ListParagraph"/>
        <w:numPr>
          <w:ilvl w:val="0"/>
          <w:numId w:val="11"/>
        </w:numPr>
        <w:snapToGrid w:val="0"/>
        <w:spacing w:after="0" w:line="240" w:lineRule="auto"/>
        <w:ind w:left="425" w:hanging="425"/>
        <w:rPr>
          <w:rFonts w:ascii="Times New Roman" w:hAnsi="Times New Roman" w:cs="Times New Roman"/>
          <w:sz w:val="20"/>
          <w:szCs w:val="20"/>
        </w:rPr>
      </w:pPr>
      <w:r w:rsidRPr="00505F99">
        <w:rPr>
          <w:rFonts w:ascii="Times New Roman" w:hAnsi="Times New Roman" w:cs="Times New Roman"/>
          <w:sz w:val="20"/>
          <w:szCs w:val="20"/>
        </w:rPr>
        <w:lastRenderedPageBreak/>
        <w:t>Directorate of Economics, Statistics &amp; planning, Govt. of Jammu and Kashmir, Srinagar.</w:t>
      </w:r>
    </w:p>
    <w:p w:rsidR="00FA2126" w:rsidRPr="00505F99" w:rsidRDefault="00FA2126" w:rsidP="00ED6D70">
      <w:pPr>
        <w:pStyle w:val="ListParagraph"/>
        <w:numPr>
          <w:ilvl w:val="0"/>
          <w:numId w:val="11"/>
        </w:numPr>
        <w:snapToGrid w:val="0"/>
        <w:spacing w:after="0" w:line="240" w:lineRule="auto"/>
        <w:ind w:left="425" w:hanging="425"/>
        <w:rPr>
          <w:rFonts w:ascii="Times New Roman" w:hAnsi="Times New Roman" w:cs="Times New Roman"/>
          <w:sz w:val="20"/>
          <w:szCs w:val="20"/>
        </w:rPr>
      </w:pPr>
      <w:r w:rsidRPr="00505F99">
        <w:rPr>
          <w:rFonts w:ascii="Times New Roman" w:hAnsi="Times New Roman" w:cs="Times New Roman"/>
          <w:sz w:val="20"/>
          <w:szCs w:val="20"/>
        </w:rPr>
        <w:t>Directorate of Sericulture, J&amp;K, Srinagar.</w:t>
      </w:r>
    </w:p>
    <w:p w:rsidR="00FA2126" w:rsidRPr="00505F99" w:rsidRDefault="00FA2126" w:rsidP="00ED6D70">
      <w:pPr>
        <w:pStyle w:val="ListParagraph"/>
        <w:numPr>
          <w:ilvl w:val="0"/>
          <w:numId w:val="11"/>
        </w:numPr>
        <w:snapToGrid w:val="0"/>
        <w:spacing w:after="0" w:line="240" w:lineRule="auto"/>
        <w:ind w:left="425" w:hanging="425"/>
        <w:rPr>
          <w:rFonts w:ascii="Times New Roman" w:hAnsi="Times New Roman" w:cs="Times New Roman"/>
          <w:sz w:val="20"/>
          <w:szCs w:val="20"/>
        </w:rPr>
      </w:pPr>
      <w:r w:rsidRPr="00505F99">
        <w:rPr>
          <w:rFonts w:ascii="Times New Roman" w:hAnsi="Times New Roman" w:cs="Times New Roman"/>
          <w:sz w:val="20"/>
          <w:szCs w:val="20"/>
        </w:rPr>
        <w:t>Directorate of Handicrafts, J&amp;K, Srinagar.</w:t>
      </w:r>
    </w:p>
    <w:p w:rsidR="00FA2126" w:rsidRPr="00505F99" w:rsidRDefault="00FA2126" w:rsidP="00ED6D70">
      <w:pPr>
        <w:pStyle w:val="ListParagraph"/>
        <w:numPr>
          <w:ilvl w:val="0"/>
          <w:numId w:val="11"/>
        </w:numPr>
        <w:snapToGrid w:val="0"/>
        <w:spacing w:after="0" w:line="240" w:lineRule="auto"/>
        <w:ind w:left="425" w:hanging="425"/>
        <w:rPr>
          <w:rFonts w:ascii="Times New Roman" w:hAnsi="Times New Roman" w:cs="Times New Roman"/>
          <w:sz w:val="20"/>
          <w:szCs w:val="20"/>
        </w:rPr>
      </w:pPr>
      <w:r w:rsidRPr="00505F99">
        <w:rPr>
          <w:rFonts w:ascii="Times New Roman" w:hAnsi="Times New Roman" w:cs="Times New Roman"/>
          <w:sz w:val="20"/>
          <w:szCs w:val="20"/>
        </w:rPr>
        <w:t>Directorate of Handlooms, J&amp;K, Srinagar.</w:t>
      </w:r>
    </w:p>
    <w:p w:rsidR="00FA2126" w:rsidRPr="00505F99" w:rsidRDefault="00FA2126" w:rsidP="00ED6D70">
      <w:pPr>
        <w:pStyle w:val="ListParagraph"/>
        <w:numPr>
          <w:ilvl w:val="0"/>
          <w:numId w:val="11"/>
        </w:numPr>
        <w:snapToGrid w:val="0"/>
        <w:spacing w:after="0" w:line="240" w:lineRule="auto"/>
        <w:ind w:left="425" w:hanging="425"/>
        <w:rPr>
          <w:rFonts w:ascii="Times New Roman" w:hAnsi="Times New Roman" w:cs="Times New Roman"/>
          <w:sz w:val="20"/>
          <w:szCs w:val="20"/>
        </w:rPr>
      </w:pPr>
      <w:proofErr w:type="spellStart"/>
      <w:r w:rsidRPr="00505F99">
        <w:rPr>
          <w:rFonts w:ascii="Times New Roman" w:hAnsi="Times New Roman" w:cs="Times New Roman"/>
          <w:sz w:val="20"/>
          <w:szCs w:val="20"/>
        </w:rPr>
        <w:t>Labour</w:t>
      </w:r>
      <w:proofErr w:type="spellEnd"/>
      <w:r w:rsidRPr="00505F99">
        <w:rPr>
          <w:rFonts w:ascii="Times New Roman" w:hAnsi="Times New Roman" w:cs="Times New Roman"/>
          <w:sz w:val="20"/>
          <w:szCs w:val="20"/>
        </w:rPr>
        <w:t xml:space="preserve"> Commissioner, J&amp;K, Srinagar.</w:t>
      </w:r>
    </w:p>
    <w:p w:rsidR="00FA2126" w:rsidRPr="00505F99" w:rsidRDefault="00FA2126" w:rsidP="00ED6D70">
      <w:pPr>
        <w:pStyle w:val="ListParagraph"/>
        <w:numPr>
          <w:ilvl w:val="0"/>
          <w:numId w:val="11"/>
        </w:numPr>
        <w:snapToGrid w:val="0"/>
        <w:spacing w:after="0" w:line="240" w:lineRule="auto"/>
        <w:ind w:left="425" w:hanging="425"/>
        <w:rPr>
          <w:rFonts w:ascii="Times New Roman" w:hAnsi="Times New Roman" w:cs="Times New Roman"/>
          <w:sz w:val="20"/>
          <w:szCs w:val="20"/>
        </w:rPr>
      </w:pPr>
      <w:r w:rsidRPr="00505F99">
        <w:rPr>
          <w:rFonts w:ascii="Times New Roman" w:hAnsi="Times New Roman" w:cs="Times New Roman"/>
          <w:sz w:val="20"/>
          <w:szCs w:val="20"/>
        </w:rPr>
        <w:t>Financial Commissioner (Rev), J&amp;K, Srinagar.</w:t>
      </w:r>
    </w:p>
    <w:p w:rsidR="00FA2126" w:rsidRPr="00505F99" w:rsidRDefault="00FA2126" w:rsidP="00ED6D70">
      <w:pPr>
        <w:pStyle w:val="ListParagraph"/>
        <w:numPr>
          <w:ilvl w:val="0"/>
          <w:numId w:val="11"/>
        </w:numPr>
        <w:snapToGrid w:val="0"/>
        <w:spacing w:after="0" w:line="240" w:lineRule="auto"/>
        <w:ind w:left="425" w:hanging="425"/>
        <w:rPr>
          <w:rFonts w:ascii="Times New Roman" w:hAnsi="Times New Roman" w:cs="Times New Roman"/>
          <w:sz w:val="20"/>
          <w:szCs w:val="20"/>
        </w:rPr>
      </w:pPr>
      <w:r w:rsidRPr="00505F99">
        <w:rPr>
          <w:rFonts w:ascii="Times New Roman" w:hAnsi="Times New Roman" w:cs="Times New Roman"/>
          <w:sz w:val="20"/>
          <w:szCs w:val="20"/>
        </w:rPr>
        <w:t>D.F.O Forest Statics Division, Srinagar</w:t>
      </w:r>
    </w:p>
    <w:p w:rsidR="00FA2126" w:rsidRPr="00505F99" w:rsidRDefault="00FA2126" w:rsidP="00ED6D70">
      <w:pPr>
        <w:pStyle w:val="ListParagraph"/>
        <w:numPr>
          <w:ilvl w:val="0"/>
          <w:numId w:val="11"/>
        </w:numPr>
        <w:snapToGrid w:val="0"/>
        <w:spacing w:after="0" w:line="240" w:lineRule="auto"/>
        <w:ind w:left="425" w:hanging="425"/>
        <w:rPr>
          <w:rFonts w:ascii="Times New Roman" w:hAnsi="Times New Roman" w:cs="Times New Roman"/>
          <w:sz w:val="20"/>
          <w:szCs w:val="20"/>
        </w:rPr>
      </w:pPr>
      <w:r w:rsidRPr="00505F99">
        <w:rPr>
          <w:rFonts w:ascii="Times New Roman" w:hAnsi="Times New Roman" w:cs="Times New Roman"/>
          <w:sz w:val="20"/>
          <w:szCs w:val="20"/>
        </w:rPr>
        <w:t>Directorates of Animal Husbandry, J&amp;K, Srinagar.</w:t>
      </w:r>
    </w:p>
    <w:p w:rsidR="00FA2126" w:rsidRPr="00505F99" w:rsidRDefault="00FA2126" w:rsidP="00ED6D70">
      <w:pPr>
        <w:pStyle w:val="ListParagraph"/>
        <w:numPr>
          <w:ilvl w:val="0"/>
          <w:numId w:val="11"/>
        </w:numPr>
        <w:snapToGrid w:val="0"/>
        <w:spacing w:after="0" w:line="240" w:lineRule="auto"/>
        <w:ind w:left="425" w:hanging="425"/>
        <w:rPr>
          <w:rFonts w:ascii="Times New Roman" w:hAnsi="Times New Roman" w:cs="Times New Roman"/>
          <w:sz w:val="20"/>
          <w:szCs w:val="20"/>
        </w:rPr>
      </w:pPr>
      <w:r w:rsidRPr="00505F99">
        <w:rPr>
          <w:rFonts w:ascii="Times New Roman" w:hAnsi="Times New Roman" w:cs="Times New Roman"/>
          <w:sz w:val="20"/>
          <w:szCs w:val="20"/>
        </w:rPr>
        <w:t>Development Commission of Power, J&amp;K, Srinagar.</w:t>
      </w:r>
    </w:p>
    <w:p w:rsidR="00505F99" w:rsidRPr="00505F99" w:rsidRDefault="00505F99" w:rsidP="00505F99">
      <w:pPr>
        <w:pStyle w:val="ListParagraph"/>
        <w:snapToGrid w:val="0"/>
        <w:spacing w:after="0" w:line="240" w:lineRule="auto"/>
        <w:ind w:left="425" w:hanging="425"/>
        <w:rPr>
          <w:rFonts w:ascii="Times New Roman" w:hAnsi="Times New Roman" w:cs="Times New Roman"/>
          <w:b/>
          <w:bCs/>
          <w:sz w:val="20"/>
          <w:szCs w:val="20"/>
        </w:rPr>
        <w:sectPr w:rsidR="00505F99" w:rsidRPr="00505F99" w:rsidSect="00177793">
          <w:headerReference w:type="default" r:id="rId28"/>
          <w:footerReference w:type="default" r:id="rId29"/>
          <w:type w:val="continuous"/>
          <w:pgSz w:w="12240" w:h="15840" w:code="1"/>
          <w:pgMar w:top="1440" w:right="1440" w:bottom="1440" w:left="1440" w:header="720" w:footer="720" w:gutter="0"/>
          <w:cols w:num="2" w:space="720"/>
          <w:docGrid w:linePitch="360"/>
        </w:sectPr>
      </w:pPr>
    </w:p>
    <w:p w:rsidR="002443FD" w:rsidRDefault="002443FD" w:rsidP="00505F99">
      <w:pPr>
        <w:pStyle w:val="ListParagraph"/>
        <w:snapToGrid w:val="0"/>
        <w:spacing w:after="0" w:line="240" w:lineRule="auto"/>
        <w:ind w:left="425" w:hanging="425"/>
        <w:rPr>
          <w:rFonts w:ascii="Times New Roman" w:hAnsi="Times New Roman" w:cs="Times New Roman"/>
          <w:b/>
          <w:bCs/>
          <w:sz w:val="20"/>
          <w:szCs w:val="20"/>
          <w:lang w:eastAsia="zh-CN"/>
        </w:rPr>
      </w:pPr>
    </w:p>
    <w:p w:rsidR="00ED6D70" w:rsidRDefault="00ED6D70" w:rsidP="00505F99">
      <w:pPr>
        <w:pStyle w:val="ListParagraph"/>
        <w:snapToGrid w:val="0"/>
        <w:spacing w:after="0" w:line="240" w:lineRule="auto"/>
        <w:ind w:left="425" w:hanging="425"/>
        <w:rPr>
          <w:rFonts w:ascii="Times New Roman" w:hAnsi="Times New Roman" w:cs="Times New Roman"/>
          <w:b/>
          <w:bCs/>
          <w:sz w:val="20"/>
          <w:szCs w:val="20"/>
          <w:lang w:eastAsia="zh-CN"/>
        </w:rPr>
      </w:pPr>
    </w:p>
    <w:p w:rsidR="00ED6D70" w:rsidRPr="00ED6D70" w:rsidRDefault="00ED6D70" w:rsidP="00505F99">
      <w:pPr>
        <w:pStyle w:val="ListParagraph"/>
        <w:snapToGrid w:val="0"/>
        <w:spacing w:after="0" w:line="240" w:lineRule="auto"/>
        <w:ind w:left="425" w:hanging="425"/>
        <w:rPr>
          <w:rFonts w:ascii="Times New Roman" w:hAnsi="Times New Roman" w:cs="Times New Roman"/>
          <w:bCs/>
          <w:sz w:val="20"/>
          <w:szCs w:val="20"/>
          <w:lang w:eastAsia="zh-CN"/>
        </w:rPr>
      </w:pPr>
    </w:p>
    <w:p w:rsidR="00FA2126" w:rsidRPr="00ED6D70" w:rsidRDefault="002443FD" w:rsidP="00505F99">
      <w:pPr>
        <w:pStyle w:val="ListParagraph"/>
        <w:snapToGrid w:val="0"/>
        <w:spacing w:after="0" w:line="240" w:lineRule="auto"/>
        <w:ind w:left="425" w:hanging="425"/>
        <w:rPr>
          <w:rFonts w:ascii="Times New Roman" w:hAnsi="Times New Roman" w:cs="Times New Roman"/>
          <w:bCs/>
          <w:sz w:val="20"/>
          <w:szCs w:val="20"/>
        </w:rPr>
      </w:pPr>
      <w:r w:rsidRPr="00ED6D70">
        <w:rPr>
          <w:rFonts w:ascii="Times New Roman" w:hAnsi="Times New Roman" w:cs="Times New Roman"/>
          <w:bCs/>
          <w:sz w:val="20"/>
          <w:szCs w:val="20"/>
        </w:rPr>
        <w:t>7/11/2014</w:t>
      </w:r>
    </w:p>
    <w:sectPr w:rsidR="00FA2126" w:rsidRPr="00ED6D70" w:rsidSect="00177793">
      <w:headerReference w:type="default" r:id="rId30"/>
      <w:footerReference w:type="default" r:id="rId31"/>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FA7" w:rsidRDefault="00F17FA7" w:rsidP="00986171">
      <w:pPr>
        <w:spacing w:before="0"/>
      </w:pPr>
      <w:r>
        <w:separator/>
      </w:r>
    </w:p>
  </w:endnote>
  <w:endnote w:type="continuationSeparator" w:id="0">
    <w:p w:rsidR="00F17FA7" w:rsidRDefault="00F17FA7" w:rsidP="00986171">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99" w:rsidRPr="002443FD" w:rsidRDefault="001A3956" w:rsidP="002443FD">
    <w:pPr>
      <w:spacing w:before="0"/>
      <w:jc w:val="center"/>
      <w:rPr>
        <w:rFonts w:ascii="Times New Roman" w:hAnsi="Times New Roman" w:cs="Times New Roman"/>
        <w:sz w:val="20"/>
      </w:rPr>
    </w:pPr>
    <w:r w:rsidRPr="002443FD">
      <w:rPr>
        <w:rFonts w:ascii="Times New Roman" w:hAnsi="Times New Roman" w:cs="Times New Roman"/>
        <w:sz w:val="20"/>
      </w:rPr>
      <w:fldChar w:fldCharType="begin"/>
    </w:r>
    <w:r w:rsidR="00505F99" w:rsidRPr="002443FD">
      <w:rPr>
        <w:rFonts w:ascii="Times New Roman" w:hAnsi="Times New Roman" w:cs="Times New Roman"/>
        <w:sz w:val="20"/>
      </w:rPr>
      <w:instrText xml:space="preserve"> page </w:instrText>
    </w:r>
    <w:r w:rsidRPr="002443FD">
      <w:rPr>
        <w:rFonts w:ascii="Times New Roman" w:hAnsi="Times New Roman" w:cs="Times New Roman"/>
        <w:sz w:val="20"/>
      </w:rPr>
      <w:fldChar w:fldCharType="separate"/>
    </w:r>
    <w:r w:rsidR="004B22CE">
      <w:rPr>
        <w:rFonts w:ascii="Times New Roman" w:hAnsi="Times New Roman" w:cs="Times New Roman"/>
        <w:noProof/>
        <w:sz w:val="20"/>
      </w:rPr>
      <w:t>1</w:t>
    </w:r>
    <w:r w:rsidRPr="002443FD">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99" w:rsidRPr="002443FD" w:rsidRDefault="001A3956" w:rsidP="002443FD">
    <w:pPr>
      <w:spacing w:before="0"/>
      <w:jc w:val="center"/>
      <w:rPr>
        <w:rFonts w:ascii="Times New Roman" w:hAnsi="Times New Roman" w:cs="Times New Roman"/>
        <w:sz w:val="20"/>
      </w:rPr>
    </w:pPr>
    <w:r w:rsidRPr="002443FD">
      <w:rPr>
        <w:rFonts w:ascii="Times New Roman" w:hAnsi="Times New Roman" w:cs="Times New Roman"/>
        <w:sz w:val="20"/>
      </w:rPr>
      <w:fldChar w:fldCharType="begin"/>
    </w:r>
    <w:r w:rsidR="00505F99" w:rsidRPr="002443FD">
      <w:rPr>
        <w:rFonts w:ascii="Times New Roman" w:hAnsi="Times New Roman" w:cs="Times New Roman"/>
        <w:sz w:val="20"/>
      </w:rPr>
      <w:instrText xml:space="preserve"> page </w:instrText>
    </w:r>
    <w:r w:rsidRPr="002443FD">
      <w:rPr>
        <w:rFonts w:ascii="Times New Roman" w:hAnsi="Times New Roman" w:cs="Times New Roman"/>
        <w:sz w:val="20"/>
      </w:rPr>
      <w:fldChar w:fldCharType="separate"/>
    </w:r>
    <w:r w:rsidR="00505F99">
      <w:rPr>
        <w:rFonts w:ascii="Times New Roman" w:hAnsi="Times New Roman" w:cs="Times New Roman"/>
        <w:noProof/>
        <w:sz w:val="20"/>
      </w:rPr>
      <w:t>1</w:t>
    </w:r>
    <w:r w:rsidRPr="002443FD">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99" w:rsidRPr="002443FD" w:rsidRDefault="001A3956" w:rsidP="002443FD">
    <w:pPr>
      <w:spacing w:before="0"/>
      <w:jc w:val="center"/>
      <w:rPr>
        <w:rFonts w:ascii="Times New Roman" w:hAnsi="Times New Roman" w:cs="Times New Roman"/>
        <w:sz w:val="20"/>
      </w:rPr>
    </w:pPr>
    <w:r w:rsidRPr="002443FD">
      <w:rPr>
        <w:rFonts w:ascii="Times New Roman" w:hAnsi="Times New Roman" w:cs="Times New Roman"/>
        <w:sz w:val="20"/>
      </w:rPr>
      <w:fldChar w:fldCharType="begin"/>
    </w:r>
    <w:r w:rsidR="00505F99" w:rsidRPr="002443FD">
      <w:rPr>
        <w:rFonts w:ascii="Times New Roman" w:hAnsi="Times New Roman" w:cs="Times New Roman"/>
        <w:sz w:val="20"/>
      </w:rPr>
      <w:instrText xml:space="preserve"> page </w:instrText>
    </w:r>
    <w:r w:rsidRPr="002443FD">
      <w:rPr>
        <w:rFonts w:ascii="Times New Roman" w:hAnsi="Times New Roman" w:cs="Times New Roman"/>
        <w:sz w:val="20"/>
      </w:rPr>
      <w:fldChar w:fldCharType="separate"/>
    </w:r>
    <w:r w:rsidR="004B22CE">
      <w:rPr>
        <w:rFonts w:ascii="Times New Roman" w:hAnsi="Times New Roman" w:cs="Times New Roman"/>
        <w:noProof/>
        <w:sz w:val="20"/>
      </w:rPr>
      <w:t>2</w:t>
    </w:r>
    <w:r w:rsidRPr="002443FD">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99" w:rsidRPr="002443FD" w:rsidRDefault="001A3956" w:rsidP="002443FD">
    <w:pPr>
      <w:spacing w:before="0"/>
      <w:jc w:val="center"/>
      <w:rPr>
        <w:rFonts w:ascii="Times New Roman" w:hAnsi="Times New Roman" w:cs="Times New Roman"/>
        <w:sz w:val="20"/>
      </w:rPr>
    </w:pPr>
    <w:r w:rsidRPr="002443FD">
      <w:rPr>
        <w:rFonts w:ascii="Times New Roman" w:hAnsi="Times New Roman" w:cs="Times New Roman"/>
        <w:sz w:val="20"/>
      </w:rPr>
      <w:fldChar w:fldCharType="begin"/>
    </w:r>
    <w:r w:rsidR="00505F99" w:rsidRPr="002443FD">
      <w:rPr>
        <w:rFonts w:ascii="Times New Roman" w:hAnsi="Times New Roman" w:cs="Times New Roman"/>
        <w:sz w:val="20"/>
      </w:rPr>
      <w:instrText xml:space="preserve"> page </w:instrText>
    </w:r>
    <w:r w:rsidRPr="002443FD">
      <w:rPr>
        <w:rFonts w:ascii="Times New Roman" w:hAnsi="Times New Roman" w:cs="Times New Roman"/>
        <w:sz w:val="20"/>
      </w:rPr>
      <w:fldChar w:fldCharType="separate"/>
    </w:r>
    <w:r w:rsidR="004B22CE">
      <w:rPr>
        <w:rFonts w:ascii="Times New Roman" w:hAnsi="Times New Roman" w:cs="Times New Roman"/>
        <w:noProof/>
        <w:sz w:val="20"/>
      </w:rPr>
      <w:t>4</w:t>
    </w:r>
    <w:r w:rsidRPr="002443FD">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99" w:rsidRPr="002443FD" w:rsidRDefault="001A3956" w:rsidP="002443FD">
    <w:pPr>
      <w:spacing w:before="0"/>
      <w:jc w:val="center"/>
      <w:rPr>
        <w:rFonts w:ascii="Times New Roman" w:hAnsi="Times New Roman" w:cs="Times New Roman"/>
        <w:sz w:val="20"/>
      </w:rPr>
    </w:pPr>
    <w:r w:rsidRPr="002443FD">
      <w:rPr>
        <w:rFonts w:ascii="Times New Roman" w:hAnsi="Times New Roman" w:cs="Times New Roman"/>
        <w:sz w:val="20"/>
      </w:rPr>
      <w:fldChar w:fldCharType="begin"/>
    </w:r>
    <w:r w:rsidR="00505F99" w:rsidRPr="002443FD">
      <w:rPr>
        <w:rFonts w:ascii="Times New Roman" w:hAnsi="Times New Roman" w:cs="Times New Roman"/>
        <w:sz w:val="20"/>
      </w:rPr>
      <w:instrText xml:space="preserve"> page </w:instrText>
    </w:r>
    <w:r w:rsidRPr="002443FD">
      <w:rPr>
        <w:rFonts w:ascii="Times New Roman" w:hAnsi="Times New Roman" w:cs="Times New Roman"/>
        <w:sz w:val="20"/>
      </w:rPr>
      <w:fldChar w:fldCharType="separate"/>
    </w:r>
    <w:r w:rsidR="004B22CE">
      <w:rPr>
        <w:rFonts w:ascii="Times New Roman" w:hAnsi="Times New Roman" w:cs="Times New Roman"/>
        <w:noProof/>
        <w:sz w:val="20"/>
      </w:rPr>
      <w:t>5</w:t>
    </w:r>
    <w:r w:rsidRPr="002443FD">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99" w:rsidRPr="002443FD" w:rsidRDefault="001A3956" w:rsidP="002443FD">
    <w:pPr>
      <w:spacing w:before="0"/>
      <w:jc w:val="center"/>
      <w:rPr>
        <w:rFonts w:ascii="Times New Roman" w:hAnsi="Times New Roman" w:cs="Times New Roman"/>
        <w:sz w:val="20"/>
      </w:rPr>
    </w:pPr>
    <w:r w:rsidRPr="002443FD">
      <w:rPr>
        <w:rFonts w:ascii="Times New Roman" w:hAnsi="Times New Roman" w:cs="Times New Roman"/>
        <w:sz w:val="20"/>
      </w:rPr>
      <w:fldChar w:fldCharType="begin"/>
    </w:r>
    <w:r w:rsidR="00505F99" w:rsidRPr="002443FD">
      <w:rPr>
        <w:rFonts w:ascii="Times New Roman" w:hAnsi="Times New Roman" w:cs="Times New Roman"/>
        <w:sz w:val="20"/>
      </w:rPr>
      <w:instrText xml:space="preserve"> page </w:instrText>
    </w:r>
    <w:r w:rsidRPr="002443FD">
      <w:rPr>
        <w:rFonts w:ascii="Times New Roman" w:hAnsi="Times New Roman" w:cs="Times New Roman"/>
        <w:sz w:val="20"/>
      </w:rPr>
      <w:fldChar w:fldCharType="separate"/>
    </w:r>
    <w:r w:rsidR="004B22CE">
      <w:rPr>
        <w:rFonts w:ascii="Times New Roman" w:hAnsi="Times New Roman" w:cs="Times New Roman"/>
        <w:noProof/>
        <w:sz w:val="20"/>
      </w:rPr>
      <w:t>6</w:t>
    </w:r>
    <w:r w:rsidRPr="002443FD">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99" w:rsidRPr="002443FD" w:rsidRDefault="001A3956" w:rsidP="002443FD">
    <w:pPr>
      <w:spacing w:before="0"/>
      <w:jc w:val="center"/>
      <w:rPr>
        <w:rFonts w:ascii="Times New Roman" w:hAnsi="Times New Roman" w:cs="Times New Roman"/>
        <w:sz w:val="20"/>
      </w:rPr>
    </w:pPr>
    <w:r w:rsidRPr="002443FD">
      <w:rPr>
        <w:rFonts w:ascii="Times New Roman" w:hAnsi="Times New Roman" w:cs="Times New Roman"/>
        <w:sz w:val="20"/>
      </w:rPr>
      <w:fldChar w:fldCharType="begin"/>
    </w:r>
    <w:r w:rsidR="00505F99" w:rsidRPr="002443FD">
      <w:rPr>
        <w:rFonts w:ascii="Times New Roman" w:hAnsi="Times New Roman" w:cs="Times New Roman"/>
        <w:sz w:val="20"/>
      </w:rPr>
      <w:instrText xml:space="preserve"> page </w:instrText>
    </w:r>
    <w:r w:rsidRPr="002443FD">
      <w:rPr>
        <w:rFonts w:ascii="Times New Roman" w:hAnsi="Times New Roman" w:cs="Times New Roman"/>
        <w:sz w:val="20"/>
      </w:rPr>
      <w:fldChar w:fldCharType="separate"/>
    </w:r>
    <w:r w:rsidR="004B22CE">
      <w:rPr>
        <w:rFonts w:ascii="Times New Roman" w:hAnsi="Times New Roman" w:cs="Times New Roman"/>
        <w:noProof/>
        <w:sz w:val="20"/>
      </w:rPr>
      <w:t>7</w:t>
    </w:r>
    <w:r w:rsidRPr="002443FD">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99" w:rsidRPr="002443FD" w:rsidRDefault="001A3956" w:rsidP="002443FD">
    <w:pPr>
      <w:spacing w:before="0"/>
      <w:jc w:val="center"/>
      <w:rPr>
        <w:rFonts w:ascii="Times New Roman" w:hAnsi="Times New Roman" w:cs="Times New Roman"/>
        <w:sz w:val="20"/>
      </w:rPr>
    </w:pPr>
    <w:r w:rsidRPr="002443FD">
      <w:rPr>
        <w:rFonts w:ascii="Times New Roman" w:hAnsi="Times New Roman" w:cs="Times New Roman"/>
        <w:sz w:val="20"/>
      </w:rPr>
      <w:fldChar w:fldCharType="begin"/>
    </w:r>
    <w:r w:rsidR="00505F99" w:rsidRPr="002443FD">
      <w:rPr>
        <w:rFonts w:ascii="Times New Roman" w:hAnsi="Times New Roman" w:cs="Times New Roman"/>
        <w:sz w:val="20"/>
      </w:rPr>
      <w:instrText xml:space="preserve"> page </w:instrText>
    </w:r>
    <w:r w:rsidRPr="002443FD">
      <w:rPr>
        <w:rFonts w:ascii="Times New Roman" w:hAnsi="Times New Roman" w:cs="Times New Roman"/>
        <w:sz w:val="20"/>
      </w:rPr>
      <w:fldChar w:fldCharType="separate"/>
    </w:r>
    <w:r w:rsidR="00505F99">
      <w:rPr>
        <w:rFonts w:ascii="Times New Roman" w:hAnsi="Times New Roman" w:cs="Times New Roman"/>
        <w:noProof/>
        <w:sz w:val="20"/>
      </w:rPr>
      <w:t>1</w:t>
    </w:r>
    <w:r w:rsidRPr="002443FD">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99" w:rsidRPr="002443FD" w:rsidRDefault="001A3956" w:rsidP="002443FD">
    <w:pPr>
      <w:spacing w:before="0"/>
      <w:jc w:val="center"/>
      <w:rPr>
        <w:rFonts w:ascii="Times New Roman" w:hAnsi="Times New Roman" w:cs="Times New Roman"/>
        <w:sz w:val="20"/>
      </w:rPr>
    </w:pPr>
    <w:r w:rsidRPr="002443FD">
      <w:rPr>
        <w:rFonts w:ascii="Times New Roman" w:hAnsi="Times New Roman" w:cs="Times New Roman"/>
        <w:sz w:val="20"/>
      </w:rPr>
      <w:fldChar w:fldCharType="begin"/>
    </w:r>
    <w:r w:rsidR="00505F99" w:rsidRPr="002443FD">
      <w:rPr>
        <w:rFonts w:ascii="Times New Roman" w:hAnsi="Times New Roman" w:cs="Times New Roman"/>
        <w:sz w:val="20"/>
      </w:rPr>
      <w:instrText xml:space="preserve"> page </w:instrText>
    </w:r>
    <w:r w:rsidRPr="002443FD">
      <w:rPr>
        <w:rFonts w:ascii="Times New Roman" w:hAnsi="Times New Roman" w:cs="Times New Roman"/>
        <w:sz w:val="20"/>
      </w:rPr>
      <w:fldChar w:fldCharType="separate"/>
    </w:r>
    <w:r w:rsidR="00505F99">
      <w:rPr>
        <w:rFonts w:ascii="Times New Roman" w:hAnsi="Times New Roman" w:cs="Times New Roman"/>
        <w:noProof/>
        <w:sz w:val="20"/>
      </w:rPr>
      <w:t>1</w:t>
    </w:r>
    <w:r w:rsidRPr="002443F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FA7" w:rsidRDefault="00F17FA7" w:rsidP="00986171">
      <w:pPr>
        <w:spacing w:before="0"/>
      </w:pPr>
      <w:r>
        <w:separator/>
      </w:r>
    </w:p>
  </w:footnote>
  <w:footnote w:type="continuationSeparator" w:id="0">
    <w:p w:rsidR="00F17FA7" w:rsidRDefault="00F17FA7" w:rsidP="00986171">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99" w:rsidRPr="002443FD" w:rsidRDefault="00505F99" w:rsidP="002443FD">
    <w:pPr>
      <w:pBdr>
        <w:bottom w:val="thinThickMediumGap" w:sz="12" w:space="1" w:color="auto"/>
      </w:pBdr>
      <w:tabs>
        <w:tab w:val="left" w:pos="851"/>
        <w:tab w:val="right" w:pos="8364"/>
      </w:tabs>
      <w:adjustRightInd w:val="0"/>
      <w:snapToGrid w:val="0"/>
      <w:spacing w:before="0"/>
      <w:rPr>
        <w:rFonts w:ascii="Times New Roman" w:hAnsi="Times New Roman" w:cs="Times New Roman"/>
        <w:iCs/>
        <w:sz w:val="20"/>
      </w:rPr>
    </w:pPr>
    <w:r w:rsidRPr="002443FD">
      <w:rPr>
        <w:rFonts w:ascii="Times New Roman" w:hAnsi="Times New Roman" w:cs="Times New Roman" w:hint="eastAsia"/>
        <w:sz w:val="20"/>
        <w:szCs w:val="20"/>
      </w:rPr>
      <w:tab/>
    </w:r>
    <w:r w:rsidRPr="002443FD">
      <w:rPr>
        <w:rFonts w:ascii="Times New Roman" w:hAnsi="Times New Roman" w:cs="Times New Roman"/>
        <w:sz w:val="20"/>
        <w:szCs w:val="20"/>
      </w:rPr>
      <w:t>World Rural Observations 201</w:t>
    </w:r>
    <w:r w:rsidRPr="002443FD">
      <w:rPr>
        <w:rFonts w:ascii="Times New Roman" w:hAnsi="Times New Roman" w:cs="Times New Roman" w:hint="eastAsia"/>
        <w:sz w:val="20"/>
        <w:szCs w:val="20"/>
      </w:rPr>
      <w:t>4</w:t>
    </w:r>
    <w:r w:rsidRPr="002443FD">
      <w:rPr>
        <w:rFonts w:ascii="Times New Roman" w:hAnsi="Times New Roman" w:cs="Times New Roman"/>
        <w:sz w:val="20"/>
        <w:szCs w:val="20"/>
      </w:rPr>
      <w:t>;</w:t>
    </w:r>
    <w:r w:rsidRPr="002443FD">
      <w:rPr>
        <w:rFonts w:ascii="Times New Roman" w:hAnsi="Times New Roman" w:cs="Times New Roman" w:hint="eastAsia"/>
        <w:sz w:val="20"/>
        <w:szCs w:val="20"/>
      </w:rPr>
      <w:t>6</w:t>
    </w:r>
    <w:r w:rsidRPr="002443FD">
      <w:rPr>
        <w:rFonts w:ascii="Times New Roman" w:hAnsi="Times New Roman" w:cs="Times New Roman"/>
        <w:sz w:val="20"/>
        <w:szCs w:val="20"/>
      </w:rPr>
      <w:t>(</w:t>
    </w:r>
    <w:r w:rsidRPr="002443FD">
      <w:rPr>
        <w:rFonts w:ascii="Times New Roman" w:hAnsi="Times New Roman" w:cs="Times New Roman" w:hint="eastAsia"/>
        <w:sz w:val="20"/>
        <w:szCs w:val="20"/>
      </w:rPr>
      <w:t>3</w:t>
    </w:r>
    <w:r w:rsidRPr="002443FD">
      <w:rPr>
        <w:rFonts w:ascii="Times New Roman" w:hAnsi="Times New Roman" w:cs="Times New Roman"/>
        <w:sz w:val="20"/>
        <w:szCs w:val="20"/>
      </w:rPr>
      <w:t xml:space="preserve">)      </w:t>
    </w:r>
    <w:r w:rsidRPr="002443FD">
      <w:rPr>
        <w:rFonts w:ascii="Times New Roman" w:hAnsi="Times New Roman" w:cs="Times New Roman" w:hint="eastAsia"/>
        <w:sz w:val="20"/>
        <w:szCs w:val="20"/>
      </w:rPr>
      <w:tab/>
    </w:r>
    <w:r w:rsidRPr="002443FD">
      <w:rPr>
        <w:rFonts w:ascii="Times New Roman" w:hAnsi="Times New Roman" w:cs="Times New Roman"/>
        <w:sz w:val="20"/>
        <w:szCs w:val="20"/>
      </w:rPr>
      <w:t xml:space="preserve">       </w:t>
    </w:r>
    <w:hyperlink r:id="rId1" w:history="1">
      <w:r w:rsidRPr="002443FD">
        <w:rPr>
          <w:rStyle w:val="Hyperlink"/>
          <w:rFonts w:ascii="Times New Roman" w:hAnsi="Times New Roman" w:cs="Times New Roman"/>
          <w:color w:val="0000FF"/>
          <w:sz w:val="20"/>
          <w:szCs w:val="20"/>
        </w:rPr>
        <w:t>http://www.sciencepub.net/rural</w:t>
      </w:r>
    </w:hyperlink>
  </w:p>
  <w:p w:rsidR="00505F99" w:rsidRPr="002443FD" w:rsidRDefault="00505F99" w:rsidP="002443FD">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99" w:rsidRPr="002443FD" w:rsidRDefault="00505F99" w:rsidP="002443FD">
    <w:pPr>
      <w:pBdr>
        <w:bottom w:val="thinThickMediumGap" w:sz="12" w:space="1" w:color="auto"/>
      </w:pBdr>
      <w:tabs>
        <w:tab w:val="left" w:pos="851"/>
        <w:tab w:val="right" w:pos="8364"/>
      </w:tabs>
      <w:adjustRightInd w:val="0"/>
      <w:snapToGrid w:val="0"/>
      <w:spacing w:before="0"/>
      <w:rPr>
        <w:rFonts w:ascii="Times New Roman" w:hAnsi="Times New Roman" w:cs="Times New Roman"/>
        <w:iCs/>
        <w:sz w:val="20"/>
      </w:rPr>
    </w:pPr>
    <w:r w:rsidRPr="002443FD">
      <w:rPr>
        <w:rFonts w:ascii="Times New Roman" w:hAnsi="Times New Roman" w:cs="Times New Roman" w:hint="eastAsia"/>
        <w:sz w:val="20"/>
        <w:szCs w:val="20"/>
      </w:rPr>
      <w:tab/>
    </w:r>
    <w:r w:rsidRPr="002443FD">
      <w:rPr>
        <w:rFonts w:ascii="Times New Roman" w:hAnsi="Times New Roman" w:cs="Times New Roman"/>
        <w:sz w:val="20"/>
        <w:szCs w:val="20"/>
      </w:rPr>
      <w:t>World Rural Observations 201</w:t>
    </w:r>
    <w:r w:rsidRPr="002443FD">
      <w:rPr>
        <w:rFonts w:ascii="Times New Roman" w:hAnsi="Times New Roman" w:cs="Times New Roman" w:hint="eastAsia"/>
        <w:sz w:val="20"/>
        <w:szCs w:val="20"/>
      </w:rPr>
      <w:t>4</w:t>
    </w:r>
    <w:r w:rsidRPr="002443FD">
      <w:rPr>
        <w:rFonts w:ascii="Times New Roman" w:hAnsi="Times New Roman" w:cs="Times New Roman"/>
        <w:sz w:val="20"/>
        <w:szCs w:val="20"/>
      </w:rPr>
      <w:t>;</w:t>
    </w:r>
    <w:r w:rsidRPr="002443FD">
      <w:rPr>
        <w:rFonts w:ascii="Times New Roman" w:hAnsi="Times New Roman" w:cs="Times New Roman" w:hint="eastAsia"/>
        <w:sz w:val="20"/>
        <w:szCs w:val="20"/>
      </w:rPr>
      <w:t>6</w:t>
    </w:r>
    <w:r w:rsidRPr="002443FD">
      <w:rPr>
        <w:rFonts w:ascii="Times New Roman" w:hAnsi="Times New Roman" w:cs="Times New Roman"/>
        <w:sz w:val="20"/>
        <w:szCs w:val="20"/>
      </w:rPr>
      <w:t>(</w:t>
    </w:r>
    <w:r w:rsidRPr="002443FD">
      <w:rPr>
        <w:rFonts w:ascii="Times New Roman" w:hAnsi="Times New Roman" w:cs="Times New Roman" w:hint="eastAsia"/>
        <w:sz w:val="20"/>
        <w:szCs w:val="20"/>
      </w:rPr>
      <w:t>3</w:t>
    </w:r>
    <w:r w:rsidRPr="002443FD">
      <w:rPr>
        <w:rFonts w:ascii="Times New Roman" w:hAnsi="Times New Roman" w:cs="Times New Roman"/>
        <w:sz w:val="20"/>
        <w:szCs w:val="20"/>
      </w:rPr>
      <w:t xml:space="preserve">)      </w:t>
    </w:r>
    <w:r w:rsidRPr="002443FD">
      <w:rPr>
        <w:rFonts w:ascii="Times New Roman" w:hAnsi="Times New Roman" w:cs="Times New Roman" w:hint="eastAsia"/>
        <w:sz w:val="20"/>
        <w:szCs w:val="20"/>
      </w:rPr>
      <w:tab/>
    </w:r>
    <w:r w:rsidRPr="002443FD">
      <w:rPr>
        <w:rFonts w:ascii="Times New Roman" w:hAnsi="Times New Roman" w:cs="Times New Roman"/>
        <w:sz w:val="20"/>
        <w:szCs w:val="20"/>
      </w:rPr>
      <w:t xml:space="preserve">       </w:t>
    </w:r>
    <w:hyperlink r:id="rId1" w:history="1">
      <w:r w:rsidRPr="002443FD">
        <w:rPr>
          <w:rStyle w:val="Hyperlink"/>
          <w:rFonts w:ascii="Times New Roman" w:hAnsi="Times New Roman" w:cs="Times New Roman"/>
          <w:color w:val="0000FF"/>
          <w:sz w:val="20"/>
          <w:szCs w:val="20"/>
        </w:rPr>
        <w:t>http://www.sciencepub.net/rural</w:t>
      </w:r>
    </w:hyperlink>
  </w:p>
  <w:p w:rsidR="00505F99" w:rsidRPr="002443FD" w:rsidRDefault="00505F99" w:rsidP="002443FD">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99" w:rsidRPr="002443FD" w:rsidRDefault="00505F99" w:rsidP="002443FD">
    <w:pPr>
      <w:pBdr>
        <w:bottom w:val="thinThickMediumGap" w:sz="12" w:space="1" w:color="auto"/>
      </w:pBdr>
      <w:tabs>
        <w:tab w:val="left" w:pos="851"/>
        <w:tab w:val="right" w:pos="8364"/>
      </w:tabs>
      <w:adjustRightInd w:val="0"/>
      <w:snapToGrid w:val="0"/>
      <w:spacing w:before="0"/>
      <w:rPr>
        <w:rFonts w:ascii="Times New Roman" w:hAnsi="Times New Roman" w:cs="Times New Roman"/>
        <w:iCs/>
        <w:sz w:val="20"/>
      </w:rPr>
    </w:pPr>
    <w:r w:rsidRPr="002443FD">
      <w:rPr>
        <w:rFonts w:ascii="Times New Roman" w:hAnsi="Times New Roman" w:cs="Times New Roman" w:hint="eastAsia"/>
        <w:sz w:val="20"/>
        <w:szCs w:val="20"/>
      </w:rPr>
      <w:tab/>
    </w:r>
    <w:r w:rsidRPr="002443FD">
      <w:rPr>
        <w:rFonts w:ascii="Times New Roman" w:hAnsi="Times New Roman" w:cs="Times New Roman"/>
        <w:sz w:val="20"/>
        <w:szCs w:val="20"/>
      </w:rPr>
      <w:t>World Rural Observations 201</w:t>
    </w:r>
    <w:r w:rsidRPr="002443FD">
      <w:rPr>
        <w:rFonts w:ascii="Times New Roman" w:hAnsi="Times New Roman" w:cs="Times New Roman" w:hint="eastAsia"/>
        <w:sz w:val="20"/>
        <w:szCs w:val="20"/>
      </w:rPr>
      <w:t>4</w:t>
    </w:r>
    <w:r w:rsidRPr="002443FD">
      <w:rPr>
        <w:rFonts w:ascii="Times New Roman" w:hAnsi="Times New Roman" w:cs="Times New Roman"/>
        <w:sz w:val="20"/>
        <w:szCs w:val="20"/>
      </w:rPr>
      <w:t>;</w:t>
    </w:r>
    <w:r w:rsidRPr="002443FD">
      <w:rPr>
        <w:rFonts w:ascii="Times New Roman" w:hAnsi="Times New Roman" w:cs="Times New Roman" w:hint="eastAsia"/>
        <w:sz w:val="20"/>
        <w:szCs w:val="20"/>
      </w:rPr>
      <w:t>6</w:t>
    </w:r>
    <w:r w:rsidRPr="002443FD">
      <w:rPr>
        <w:rFonts w:ascii="Times New Roman" w:hAnsi="Times New Roman" w:cs="Times New Roman"/>
        <w:sz w:val="20"/>
        <w:szCs w:val="20"/>
      </w:rPr>
      <w:t>(</w:t>
    </w:r>
    <w:r w:rsidRPr="002443FD">
      <w:rPr>
        <w:rFonts w:ascii="Times New Roman" w:hAnsi="Times New Roman" w:cs="Times New Roman" w:hint="eastAsia"/>
        <w:sz w:val="20"/>
        <w:szCs w:val="20"/>
      </w:rPr>
      <w:t>3</w:t>
    </w:r>
    <w:r w:rsidRPr="002443FD">
      <w:rPr>
        <w:rFonts w:ascii="Times New Roman" w:hAnsi="Times New Roman" w:cs="Times New Roman"/>
        <w:sz w:val="20"/>
        <w:szCs w:val="20"/>
      </w:rPr>
      <w:t xml:space="preserve">)      </w:t>
    </w:r>
    <w:r w:rsidRPr="002443FD">
      <w:rPr>
        <w:rFonts w:ascii="Times New Roman" w:hAnsi="Times New Roman" w:cs="Times New Roman" w:hint="eastAsia"/>
        <w:sz w:val="20"/>
        <w:szCs w:val="20"/>
      </w:rPr>
      <w:tab/>
    </w:r>
    <w:r w:rsidRPr="002443FD">
      <w:rPr>
        <w:rFonts w:ascii="Times New Roman" w:hAnsi="Times New Roman" w:cs="Times New Roman"/>
        <w:sz w:val="20"/>
        <w:szCs w:val="20"/>
      </w:rPr>
      <w:t xml:space="preserve">       </w:t>
    </w:r>
    <w:hyperlink r:id="rId1" w:history="1">
      <w:r w:rsidRPr="002443FD">
        <w:rPr>
          <w:rStyle w:val="Hyperlink"/>
          <w:rFonts w:ascii="Times New Roman" w:hAnsi="Times New Roman" w:cs="Times New Roman"/>
          <w:color w:val="0000FF"/>
          <w:sz w:val="20"/>
          <w:szCs w:val="20"/>
        </w:rPr>
        <w:t>http://www.sciencepub.net/rural</w:t>
      </w:r>
    </w:hyperlink>
  </w:p>
  <w:p w:rsidR="00505F99" w:rsidRPr="002443FD" w:rsidRDefault="00505F99" w:rsidP="002443FD">
    <w:pPr>
      <w:pStyle w:val="Default"/>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99" w:rsidRPr="002443FD" w:rsidRDefault="00505F99" w:rsidP="002443FD">
    <w:pPr>
      <w:pBdr>
        <w:bottom w:val="thinThickMediumGap" w:sz="12" w:space="1" w:color="auto"/>
      </w:pBdr>
      <w:tabs>
        <w:tab w:val="left" w:pos="851"/>
        <w:tab w:val="right" w:pos="8364"/>
      </w:tabs>
      <w:adjustRightInd w:val="0"/>
      <w:snapToGrid w:val="0"/>
      <w:spacing w:before="0"/>
      <w:rPr>
        <w:rFonts w:ascii="Times New Roman" w:hAnsi="Times New Roman" w:cs="Times New Roman"/>
        <w:iCs/>
        <w:sz w:val="20"/>
      </w:rPr>
    </w:pPr>
    <w:r w:rsidRPr="002443FD">
      <w:rPr>
        <w:rFonts w:ascii="Times New Roman" w:hAnsi="Times New Roman" w:cs="Times New Roman" w:hint="eastAsia"/>
        <w:sz w:val="20"/>
        <w:szCs w:val="20"/>
      </w:rPr>
      <w:tab/>
    </w:r>
    <w:r w:rsidRPr="002443FD">
      <w:rPr>
        <w:rFonts w:ascii="Times New Roman" w:hAnsi="Times New Roman" w:cs="Times New Roman"/>
        <w:sz w:val="20"/>
        <w:szCs w:val="20"/>
      </w:rPr>
      <w:t>World Rural Observations 201</w:t>
    </w:r>
    <w:r w:rsidRPr="002443FD">
      <w:rPr>
        <w:rFonts w:ascii="Times New Roman" w:hAnsi="Times New Roman" w:cs="Times New Roman" w:hint="eastAsia"/>
        <w:sz w:val="20"/>
        <w:szCs w:val="20"/>
      </w:rPr>
      <w:t>4</w:t>
    </w:r>
    <w:r w:rsidRPr="002443FD">
      <w:rPr>
        <w:rFonts w:ascii="Times New Roman" w:hAnsi="Times New Roman" w:cs="Times New Roman"/>
        <w:sz w:val="20"/>
        <w:szCs w:val="20"/>
      </w:rPr>
      <w:t>;</w:t>
    </w:r>
    <w:r w:rsidRPr="002443FD">
      <w:rPr>
        <w:rFonts w:ascii="Times New Roman" w:hAnsi="Times New Roman" w:cs="Times New Roman" w:hint="eastAsia"/>
        <w:sz w:val="20"/>
        <w:szCs w:val="20"/>
      </w:rPr>
      <w:t>6</w:t>
    </w:r>
    <w:r w:rsidRPr="002443FD">
      <w:rPr>
        <w:rFonts w:ascii="Times New Roman" w:hAnsi="Times New Roman" w:cs="Times New Roman"/>
        <w:sz w:val="20"/>
        <w:szCs w:val="20"/>
      </w:rPr>
      <w:t>(</w:t>
    </w:r>
    <w:r w:rsidRPr="002443FD">
      <w:rPr>
        <w:rFonts w:ascii="Times New Roman" w:hAnsi="Times New Roman" w:cs="Times New Roman" w:hint="eastAsia"/>
        <w:sz w:val="20"/>
        <w:szCs w:val="20"/>
      </w:rPr>
      <w:t>3</w:t>
    </w:r>
    <w:r w:rsidRPr="002443FD">
      <w:rPr>
        <w:rFonts w:ascii="Times New Roman" w:hAnsi="Times New Roman" w:cs="Times New Roman"/>
        <w:sz w:val="20"/>
        <w:szCs w:val="20"/>
      </w:rPr>
      <w:t xml:space="preserve">)      </w:t>
    </w:r>
    <w:r w:rsidRPr="002443FD">
      <w:rPr>
        <w:rFonts w:ascii="Times New Roman" w:hAnsi="Times New Roman" w:cs="Times New Roman" w:hint="eastAsia"/>
        <w:sz w:val="20"/>
        <w:szCs w:val="20"/>
      </w:rPr>
      <w:tab/>
    </w:r>
    <w:r w:rsidRPr="002443FD">
      <w:rPr>
        <w:rFonts w:ascii="Times New Roman" w:hAnsi="Times New Roman" w:cs="Times New Roman"/>
        <w:sz w:val="20"/>
        <w:szCs w:val="20"/>
      </w:rPr>
      <w:t xml:space="preserve">       </w:t>
    </w:r>
    <w:hyperlink r:id="rId1" w:history="1">
      <w:r w:rsidRPr="002443FD">
        <w:rPr>
          <w:rStyle w:val="Hyperlink"/>
          <w:rFonts w:ascii="Times New Roman" w:hAnsi="Times New Roman" w:cs="Times New Roman"/>
          <w:color w:val="0000FF"/>
          <w:sz w:val="20"/>
          <w:szCs w:val="20"/>
        </w:rPr>
        <w:t>http://www.sciencepub.net/rural</w:t>
      </w:r>
    </w:hyperlink>
  </w:p>
  <w:p w:rsidR="00505F99" w:rsidRPr="002443FD" w:rsidRDefault="00505F99" w:rsidP="002443FD">
    <w:pPr>
      <w:pStyle w:val="Default"/>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99" w:rsidRPr="002443FD" w:rsidRDefault="00505F99" w:rsidP="002443FD">
    <w:pPr>
      <w:pBdr>
        <w:bottom w:val="thinThickMediumGap" w:sz="12" w:space="1" w:color="auto"/>
      </w:pBdr>
      <w:tabs>
        <w:tab w:val="left" w:pos="851"/>
        <w:tab w:val="right" w:pos="8364"/>
      </w:tabs>
      <w:adjustRightInd w:val="0"/>
      <w:snapToGrid w:val="0"/>
      <w:spacing w:before="0"/>
      <w:rPr>
        <w:rFonts w:ascii="Times New Roman" w:hAnsi="Times New Roman" w:cs="Times New Roman"/>
        <w:iCs/>
        <w:sz w:val="20"/>
      </w:rPr>
    </w:pPr>
    <w:r w:rsidRPr="002443FD">
      <w:rPr>
        <w:rFonts w:ascii="Times New Roman" w:hAnsi="Times New Roman" w:cs="Times New Roman" w:hint="eastAsia"/>
        <w:sz w:val="20"/>
        <w:szCs w:val="20"/>
      </w:rPr>
      <w:tab/>
    </w:r>
    <w:r w:rsidRPr="002443FD">
      <w:rPr>
        <w:rFonts w:ascii="Times New Roman" w:hAnsi="Times New Roman" w:cs="Times New Roman"/>
        <w:sz w:val="20"/>
        <w:szCs w:val="20"/>
      </w:rPr>
      <w:t>World Rural Observations 201</w:t>
    </w:r>
    <w:r w:rsidRPr="002443FD">
      <w:rPr>
        <w:rFonts w:ascii="Times New Roman" w:hAnsi="Times New Roman" w:cs="Times New Roman" w:hint="eastAsia"/>
        <w:sz w:val="20"/>
        <w:szCs w:val="20"/>
      </w:rPr>
      <w:t>4</w:t>
    </w:r>
    <w:r w:rsidRPr="002443FD">
      <w:rPr>
        <w:rFonts w:ascii="Times New Roman" w:hAnsi="Times New Roman" w:cs="Times New Roman"/>
        <w:sz w:val="20"/>
        <w:szCs w:val="20"/>
      </w:rPr>
      <w:t>;</w:t>
    </w:r>
    <w:r w:rsidRPr="002443FD">
      <w:rPr>
        <w:rFonts w:ascii="Times New Roman" w:hAnsi="Times New Roman" w:cs="Times New Roman" w:hint="eastAsia"/>
        <w:sz w:val="20"/>
        <w:szCs w:val="20"/>
      </w:rPr>
      <w:t>6</w:t>
    </w:r>
    <w:r w:rsidRPr="002443FD">
      <w:rPr>
        <w:rFonts w:ascii="Times New Roman" w:hAnsi="Times New Roman" w:cs="Times New Roman"/>
        <w:sz w:val="20"/>
        <w:szCs w:val="20"/>
      </w:rPr>
      <w:t>(</w:t>
    </w:r>
    <w:r w:rsidRPr="002443FD">
      <w:rPr>
        <w:rFonts w:ascii="Times New Roman" w:hAnsi="Times New Roman" w:cs="Times New Roman" w:hint="eastAsia"/>
        <w:sz w:val="20"/>
        <w:szCs w:val="20"/>
      </w:rPr>
      <w:t>3</w:t>
    </w:r>
    <w:r w:rsidRPr="002443FD">
      <w:rPr>
        <w:rFonts w:ascii="Times New Roman" w:hAnsi="Times New Roman" w:cs="Times New Roman"/>
        <w:sz w:val="20"/>
        <w:szCs w:val="20"/>
      </w:rPr>
      <w:t xml:space="preserve">)      </w:t>
    </w:r>
    <w:r w:rsidRPr="002443FD">
      <w:rPr>
        <w:rFonts w:ascii="Times New Roman" w:hAnsi="Times New Roman" w:cs="Times New Roman" w:hint="eastAsia"/>
        <w:sz w:val="20"/>
        <w:szCs w:val="20"/>
      </w:rPr>
      <w:tab/>
    </w:r>
    <w:r w:rsidRPr="002443FD">
      <w:rPr>
        <w:rFonts w:ascii="Times New Roman" w:hAnsi="Times New Roman" w:cs="Times New Roman"/>
        <w:sz w:val="20"/>
        <w:szCs w:val="20"/>
      </w:rPr>
      <w:t xml:space="preserve">       </w:t>
    </w:r>
    <w:hyperlink r:id="rId1" w:history="1">
      <w:r w:rsidRPr="002443FD">
        <w:rPr>
          <w:rStyle w:val="Hyperlink"/>
          <w:rFonts w:ascii="Times New Roman" w:hAnsi="Times New Roman" w:cs="Times New Roman"/>
          <w:color w:val="0000FF"/>
          <w:sz w:val="20"/>
          <w:szCs w:val="20"/>
        </w:rPr>
        <w:t>http://www.sciencepub.net/rural</w:t>
      </w:r>
    </w:hyperlink>
  </w:p>
  <w:p w:rsidR="00505F99" w:rsidRPr="002443FD" w:rsidRDefault="00505F99" w:rsidP="002443FD">
    <w:pPr>
      <w:pStyle w:val="Default"/>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99" w:rsidRPr="002443FD" w:rsidRDefault="00505F99" w:rsidP="002443FD">
    <w:pPr>
      <w:pBdr>
        <w:bottom w:val="thinThickMediumGap" w:sz="12" w:space="1" w:color="auto"/>
      </w:pBdr>
      <w:tabs>
        <w:tab w:val="left" w:pos="851"/>
        <w:tab w:val="right" w:pos="8364"/>
      </w:tabs>
      <w:adjustRightInd w:val="0"/>
      <w:snapToGrid w:val="0"/>
      <w:spacing w:before="0"/>
      <w:rPr>
        <w:rFonts w:ascii="Times New Roman" w:hAnsi="Times New Roman" w:cs="Times New Roman"/>
        <w:iCs/>
        <w:sz w:val="20"/>
      </w:rPr>
    </w:pPr>
    <w:r w:rsidRPr="002443FD">
      <w:rPr>
        <w:rFonts w:ascii="Times New Roman" w:hAnsi="Times New Roman" w:cs="Times New Roman" w:hint="eastAsia"/>
        <w:sz w:val="20"/>
        <w:szCs w:val="20"/>
      </w:rPr>
      <w:tab/>
    </w:r>
    <w:r w:rsidRPr="002443FD">
      <w:rPr>
        <w:rFonts w:ascii="Times New Roman" w:hAnsi="Times New Roman" w:cs="Times New Roman"/>
        <w:sz w:val="20"/>
        <w:szCs w:val="20"/>
      </w:rPr>
      <w:t>World Rural Observations 201</w:t>
    </w:r>
    <w:r w:rsidRPr="002443FD">
      <w:rPr>
        <w:rFonts w:ascii="Times New Roman" w:hAnsi="Times New Roman" w:cs="Times New Roman" w:hint="eastAsia"/>
        <w:sz w:val="20"/>
        <w:szCs w:val="20"/>
      </w:rPr>
      <w:t>4</w:t>
    </w:r>
    <w:r w:rsidRPr="002443FD">
      <w:rPr>
        <w:rFonts w:ascii="Times New Roman" w:hAnsi="Times New Roman" w:cs="Times New Roman"/>
        <w:sz w:val="20"/>
        <w:szCs w:val="20"/>
      </w:rPr>
      <w:t>;</w:t>
    </w:r>
    <w:r w:rsidRPr="002443FD">
      <w:rPr>
        <w:rFonts w:ascii="Times New Roman" w:hAnsi="Times New Roman" w:cs="Times New Roman" w:hint="eastAsia"/>
        <w:sz w:val="20"/>
        <w:szCs w:val="20"/>
      </w:rPr>
      <w:t>6</w:t>
    </w:r>
    <w:r w:rsidRPr="002443FD">
      <w:rPr>
        <w:rFonts w:ascii="Times New Roman" w:hAnsi="Times New Roman" w:cs="Times New Roman"/>
        <w:sz w:val="20"/>
        <w:szCs w:val="20"/>
      </w:rPr>
      <w:t>(</w:t>
    </w:r>
    <w:r w:rsidRPr="002443FD">
      <w:rPr>
        <w:rFonts w:ascii="Times New Roman" w:hAnsi="Times New Roman" w:cs="Times New Roman" w:hint="eastAsia"/>
        <w:sz w:val="20"/>
        <w:szCs w:val="20"/>
      </w:rPr>
      <w:t>3</w:t>
    </w:r>
    <w:r w:rsidRPr="002443FD">
      <w:rPr>
        <w:rFonts w:ascii="Times New Roman" w:hAnsi="Times New Roman" w:cs="Times New Roman"/>
        <w:sz w:val="20"/>
        <w:szCs w:val="20"/>
      </w:rPr>
      <w:t xml:space="preserve">)      </w:t>
    </w:r>
    <w:r w:rsidRPr="002443FD">
      <w:rPr>
        <w:rFonts w:ascii="Times New Roman" w:hAnsi="Times New Roman" w:cs="Times New Roman" w:hint="eastAsia"/>
        <w:sz w:val="20"/>
        <w:szCs w:val="20"/>
      </w:rPr>
      <w:tab/>
    </w:r>
    <w:r w:rsidRPr="002443FD">
      <w:rPr>
        <w:rFonts w:ascii="Times New Roman" w:hAnsi="Times New Roman" w:cs="Times New Roman"/>
        <w:sz w:val="20"/>
        <w:szCs w:val="20"/>
      </w:rPr>
      <w:t xml:space="preserve">       </w:t>
    </w:r>
    <w:hyperlink r:id="rId1" w:history="1">
      <w:r w:rsidRPr="002443FD">
        <w:rPr>
          <w:rStyle w:val="Hyperlink"/>
          <w:rFonts w:ascii="Times New Roman" w:hAnsi="Times New Roman" w:cs="Times New Roman"/>
          <w:color w:val="0000FF"/>
          <w:sz w:val="20"/>
          <w:szCs w:val="20"/>
        </w:rPr>
        <w:t>http://www.sciencepub.net/rural</w:t>
      </w:r>
    </w:hyperlink>
  </w:p>
  <w:p w:rsidR="00505F99" w:rsidRPr="002443FD" w:rsidRDefault="00505F99" w:rsidP="002443FD">
    <w:pPr>
      <w:pStyle w:val="Default"/>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99" w:rsidRPr="002443FD" w:rsidRDefault="00505F99" w:rsidP="002443FD">
    <w:pPr>
      <w:pBdr>
        <w:bottom w:val="thinThickMediumGap" w:sz="12" w:space="1" w:color="auto"/>
      </w:pBdr>
      <w:tabs>
        <w:tab w:val="left" w:pos="851"/>
        <w:tab w:val="right" w:pos="8364"/>
      </w:tabs>
      <w:adjustRightInd w:val="0"/>
      <w:snapToGrid w:val="0"/>
      <w:spacing w:before="0"/>
      <w:rPr>
        <w:rFonts w:ascii="Times New Roman" w:hAnsi="Times New Roman" w:cs="Times New Roman"/>
        <w:iCs/>
        <w:sz w:val="20"/>
      </w:rPr>
    </w:pPr>
    <w:r w:rsidRPr="002443FD">
      <w:rPr>
        <w:rFonts w:ascii="Times New Roman" w:hAnsi="Times New Roman" w:cs="Times New Roman" w:hint="eastAsia"/>
        <w:sz w:val="20"/>
        <w:szCs w:val="20"/>
      </w:rPr>
      <w:tab/>
    </w:r>
    <w:r w:rsidRPr="002443FD">
      <w:rPr>
        <w:rFonts w:ascii="Times New Roman" w:hAnsi="Times New Roman" w:cs="Times New Roman"/>
        <w:sz w:val="20"/>
        <w:szCs w:val="20"/>
      </w:rPr>
      <w:t>World Rural Observations 201</w:t>
    </w:r>
    <w:r w:rsidRPr="002443FD">
      <w:rPr>
        <w:rFonts w:ascii="Times New Roman" w:hAnsi="Times New Roman" w:cs="Times New Roman" w:hint="eastAsia"/>
        <w:sz w:val="20"/>
        <w:szCs w:val="20"/>
      </w:rPr>
      <w:t>4</w:t>
    </w:r>
    <w:r w:rsidRPr="002443FD">
      <w:rPr>
        <w:rFonts w:ascii="Times New Roman" w:hAnsi="Times New Roman" w:cs="Times New Roman"/>
        <w:sz w:val="20"/>
        <w:szCs w:val="20"/>
      </w:rPr>
      <w:t>;</w:t>
    </w:r>
    <w:r w:rsidRPr="002443FD">
      <w:rPr>
        <w:rFonts w:ascii="Times New Roman" w:hAnsi="Times New Roman" w:cs="Times New Roman" w:hint="eastAsia"/>
        <w:sz w:val="20"/>
        <w:szCs w:val="20"/>
      </w:rPr>
      <w:t>6</w:t>
    </w:r>
    <w:r w:rsidRPr="002443FD">
      <w:rPr>
        <w:rFonts w:ascii="Times New Roman" w:hAnsi="Times New Roman" w:cs="Times New Roman"/>
        <w:sz w:val="20"/>
        <w:szCs w:val="20"/>
      </w:rPr>
      <w:t>(</w:t>
    </w:r>
    <w:r w:rsidRPr="002443FD">
      <w:rPr>
        <w:rFonts w:ascii="Times New Roman" w:hAnsi="Times New Roman" w:cs="Times New Roman" w:hint="eastAsia"/>
        <w:sz w:val="20"/>
        <w:szCs w:val="20"/>
      </w:rPr>
      <w:t>3</w:t>
    </w:r>
    <w:r w:rsidRPr="002443FD">
      <w:rPr>
        <w:rFonts w:ascii="Times New Roman" w:hAnsi="Times New Roman" w:cs="Times New Roman"/>
        <w:sz w:val="20"/>
        <w:szCs w:val="20"/>
      </w:rPr>
      <w:t xml:space="preserve">)      </w:t>
    </w:r>
    <w:r w:rsidRPr="002443FD">
      <w:rPr>
        <w:rFonts w:ascii="Times New Roman" w:hAnsi="Times New Roman" w:cs="Times New Roman" w:hint="eastAsia"/>
        <w:sz w:val="20"/>
        <w:szCs w:val="20"/>
      </w:rPr>
      <w:tab/>
    </w:r>
    <w:r w:rsidRPr="002443FD">
      <w:rPr>
        <w:rFonts w:ascii="Times New Roman" w:hAnsi="Times New Roman" w:cs="Times New Roman"/>
        <w:sz w:val="20"/>
        <w:szCs w:val="20"/>
      </w:rPr>
      <w:t xml:space="preserve">       </w:t>
    </w:r>
    <w:hyperlink r:id="rId1" w:history="1">
      <w:r w:rsidRPr="002443FD">
        <w:rPr>
          <w:rStyle w:val="Hyperlink"/>
          <w:rFonts w:ascii="Times New Roman" w:hAnsi="Times New Roman" w:cs="Times New Roman"/>
          <w:color w:val="0000FF"/>
          <w:sz w:val="20"/>
          <w:szCs w:val="20"/>
        </w:rPr>
        <w:t>http://www.sciencepub.net/rural</w:t>
      </w:r>
    </w:hyperlink>
  </w:p>
  <w:p w:rsidR="00505F99" w:rsidRPr="002443FD" w:rsidRDefault="00505F99" w:rsidP="002443FD">
    <w:pPr>
      <w:pStyle w:val="Default"/>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99" w:rsidRPr="002443FD" w:rsidRDefault="00505F99" w:rsidP="002443FD">
    <w:pPr>
      <w:pBdr>
        <w:bottom w:val="thinThickMediumGap" w:sz="12" w:space="1" w:color="auto"/>
      </w:pBdr>
      <w:tabs>
        <w:tab w:val="left" w:pos="851"/>
        <w:tab w:val="right" w:pos="8364"/>
      </w:tabs>
      <w:adjustRightInd w:val="0"/>
      <w:snapToGrid w:val="0"/>
      <w:spacing w:before="0"/>
      <w:rPr>
        <w:rFonts w:ascii="Times New Roman" w:hAnsi="Times New Roman" w:cs="Times New Roman"/>
        <w:iCs/>
        <w:sz w:val="20"/>
      </w:rPr>
    </w:pPr>
    <w:r w:rsidRPr="002443FD">
      <w:rPr>
        <w:rFonts w:ascii="Times New Roman" w:hAnsi="Times New Roman" w:cs="Times New Roman" w:hint="eastAsia"/>
        <w:sz w:val="20"/>
        <w:szCs w:val="20"/>
      </w:rPr>
      <w:tab/>
    </w:r>
    <w:r w:rsidRPr="002443FD">
      <w:rPr>
        <w:rFonts w:ascii="Times New Roman" w:hAnsi="Times New Roman" w:cs="Times New Roman"/>
        <w:sz w:val="20"/>
        <w:szCs w:val="20"/>
      </w:rPr>
      <w:t>World Rural Observations 201</w:t>
    </w:r>
    <w:r w:rsidRPr="002443FD">
      <w:rPr>
        <w:rFonts w:ascii="Times New Roman" w:hAnsi="Times New Roman" w:cs="Times New Roman" w:hint="eastAsia"/>
        <w:sz w:val="20"/>
        <w:szCs w:val="20"/>
      </w:rPr>
      <w:t>4</w:t>
    </w:r>
    <w:r w:rsidRPr="002443FD">
      <w:rPr>
        <w:rFonts w:ascii="Times New Roman" w:hAnsi="Times New Roman" w:cs="Times New Roman"/>
        <w:sz w:val="20"/>
        <w:szCs w:val="20"/>
      </w:rPr>
      <w:t>;</w:t>
    </w:r>
    <w:r w:rsidRPr="002443FD">
      <w:rPr>
        <w:rFonts w:ascii="Times New Roman" w:hAnsi="Times New Roman" w:cs="Times New Roman" w:hint="eastAsia"/>
        <w:sz w:val="20"/>
        <w:szCs w:val="20"/>
      </w:rPr>
      <w:t>6</w:t>
    </w:r>
    <w:r w:rsidRPr="002443FD">
      <w:rPr>
        <w:rFonts w:ascii="Times New Roman" w:hAnsi="Times New Roman" w:cs="Times New Roman"/>
        <w:sz w:val="20"/>
        <w:szCs w:val="20"/>
      </w:rPr>
      <w:t>(</w:t>
    </w:r>
    <w:r w:rsidRPr="002443FD">
      <w:rPr>
        <w:rFonts w:ascii="Times New Roman" w:hAnsi="Times New Roman" w:cs="Times New Roman" w:hint="eastAsia"/>
        <w:sz w:val="20"/>
        <w:szCs w:val="20"/>
      </w:rPr>
      <w:t>3</w:t>
    </w:r>
    <w:r w:rsidRPr="002443FD">
      <w:rPr>
        <w:rFonts w:ascii="Times New Roman" w:hAnsi="Times New Roman" w:cs="Times New Roman"/>
        <w:sz w:val="20"/>
        <w:szCs w:val="20"/>
      </w:rPr>
      <w:t xml:space="preserve">)      </w:t>
    </w:r>
    <w:r w:rsidRPr="002443FD">
      <w:rPr>
        <w:rFonts w:ascii="Times New Roman" w:hAnsi="Times New Roman" w:cs="Times New Roman" w:hint="eastAsia"/>
        <w:sz w:val="20"/>
        <w:szCs w:val="20"/>
      </w:rPr>
      <w:tab/>
    </w:r>
    <w:r w:rsidRPr="002443FD">
      <w:rPr>
        <w:rFonts w:ascii="Times New Roman" w:hAnsi="Times New Roman" w:cs="Times New Roman"/>
        <w:sz w:val="20"/>
        <w:szCs w:val="20"/>
      </w:rPr>
      <w:t xml:space="preserve">       </w:t>
    </w:r>
    <w:hyperlink r:id="rId1" w:history="1">
      <w:r w:rsidRPr="002443FD">
        <w:rPr>
          <w:rStyle w:val="Hyperlink"/>
          <w:rFonts w:ascii="Times New Roman" w:hAnsi="Times New Roman" w:cs="Times New Roman"/>
          <w:color w:val="0000FF"/>
          <w:sz w:val="20"/>
          <w:szCs w:val="20"/>
        </w:rPr>
        <w:t>http://www.sciencepub.net/rural</w:t>
      </w:r>
    </w:hyperlink>
  </w:p>
  <w:p w:rsidR="00505F99" w:rsidRPr="002443FD" w:rsidRDefault="00505F99" w:rsidP="002443FD">
    <w:pPr>
      <w:pStyle w:val="Default"/>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99" w:rsidRPr="002443FD" w:rsidRDefault="00505F99" w:rsidP="002443FD">
    <w:pPr>
      <w:pBdr>
        <w:bottom w:val="thinThickMediumGap" w:sz="12" w:space="1" w:color="auto"/>
      </w:pBdr>
      <w:tabs>
        <w:tab w:val="left" w:pos="851"/>
        <w:tab w:val="right" w:pos="8364"/>
      </w:tabs>
      <w:adjustRightInd w:val="0"/>
      <w:snapToGrid w:val="0"/>
      <w:spacing w:before="0"/>
      <w:rPr>
        <w:rFonts w:ascii="Times New Roman" w:hAnsi="Times New Roman" w:cs="Times New Roman"/>
        <w:iCs/>
        <w:sz w:val="20"/>
      </w:rPr>
    </w:pPr>
    <w:r w:rsidRPr="002443FD">
      <w:rPr>
        <w:rFonts w:ascii="Times New Roman" w:hAnsi="Times New Roman" w:cs="Times New Roman" w:hint="eastAsia"/>
        <w:sz w:val="20"/>
        <w:szCs w:val="20"/>
      </w:rPr>
      <w:tab/>
    </w:r>
    <w:r w:rsidRPr="002443FD">
      <w:rPr>
        <w:rFonts w:ascii="Times New Roman" w:hAnsi="Times New Roman" w:cs="Times New Roman"/>
        <w:sz w:val="20"/>
        <w:szCs w:val="20"/>
      </w:rPr>
      <w:t>World Rural Observations 201</w:t>
    </w:r>
    <w:r w:rsidRPr="002443FD">
      <w:rPr>
        <w:rFonts w:ascii="Times New Roman" w:hAnsi="Times New Roman" w:cs="Times New Roman" w:hint="eastAsia"/>
        <w:sz w:val="20"/>
        <w:szCs w:val="20"/>
      </w:rPr>
      <w:t>4</w:t>
    </w:r>
    <w:r w:rsidRPr="002443FD">
      <w:rPr>
        <w:rFonts w:ascii="Times New Roman" w:hAnsi="Times New Roman" w:cs="Times New Roman"/>
        <w:sz w:val="20"/>
        <w:szCs w:val="20"/>
      </w:rPr>
      <w:t>;</w:t>
    </w:r>
    <w:r w:rsidRPr="002443FD">
      <w:rPr>
        <w:rFonts w:ascii="Times New Roman" w:hAnsi="Times New Roman" w:cs="Times New Roman" w:hint="eastAsia"/>
        <w:sz w:val="20"/>
        <w:szCs w:val="20"/>
      </w:rPr>
      <w:t>6</w:t>
    </w:r>
    <w:r w:rsidRPr="002443FD">
      <w:rPr>
        <w:rFonts w:ascii="Times New Roman" w:hAnsi="Times New Roman" w:cs="Times New Roman"/>
        <w:sz w:val="20"/>
        <w:szCs w:val="20"/>
      </w:rPr>
      <w:t>(</w:t>
    </w:r>
    <w:r w:rsidRPr="002443FD">
      <w:rPr>
        <w:rFonts w:ascii="Times New Roman" w:hAnsi="Times New Roman" w:cs="Times New Roman" w:hint="eastAsia"/>
        <w:sz w:val="20"/>
        <w:szCs w:val="20"/>
      </w:rPr>
      <w:t>3</w:t>
    </w:r>
    <w:r w:rsidRPr="002443FD">
      <w:rPr>
        <w:rFonts w:ascii="Times New Roman" w:hAnsi="Times New Roman" w:cs="Times New Roman"/>
        <w:sz w:val="20"/>
        <w:szCs w:val="20"/>
      </w:rPr>
      <w:t xml:space="preserve">)      </w:t>
    </w:r>
    <w:r w:rsidRPr="002443FD">
      <w:rPr>
        <w:rFonts w:ascii="Times New Roman" w:hAnsi="Times New Roman" w:cs="Times New Roman" w:hint="eastAsia"/>
        <w:sz w:val="20"/>
        <w:szCs w:val="20"/>
      </w:rPr>
      <w:tab/>
    </w:r>
    <w:r w:rsidRPr="002443FD">
      <w:rPr>
        <w:rFonts w:ascii="Times New Roman" w:hAnsi="Times New Roman" w:cs="Times New Roman"/>
        <w:sz w:val="20"/>
        <w:szCs w:val="20"/>
      </w:rPr>
      <w:t xml:space="preserve">       </w:t>
    </w:r>
    <w:hyperlink r:id="rId1" w:history="1">
      <w:r w:rsidRPr="002443FD">
        <w:rPr>
          <w:rStyle w:val="Hyperlink"/>
          <w:rFonts w:ascii="Times New Roman" w:hAnsi="Times New Roman" w:cs="Times New Roman"/>
          <w:color w:val="0000FF"/>
          <w:sz w:val="20"/>
          <w:szCs w:val="20"/>
        </w:rPr>
        <w:t>http://www.sciencepub.net/rural</w:t>
      </w:r>
    </w:hyperlink>
  </w:p>
  <w:p w:rsidR="00505F99" w:rsidRPr="002443FD" w:rsidRDefault="00505F99" w:rsidP="002443FD">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0278D"/>
    <w:multiLevelType w:val="hybridMultilevel"/>
    <w:tmpl w:val="B2AC132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525B6C"/>
    <w:multiLevelType w:val="hybridMultilevel"/>
    <w:tmpl w:val="F8B02D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6C3596C"/>
    <w:multiLevelType w:val="hybridMultilevel"/>
    <w:tmpl w:val="3CF85A80"/>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31955A32"/>
    <w:multiLevelType w:val="hybridMultilevel"/>
    <w:tmpl w:val="F04E8338"/>
    <w:lvl w:ilvl="0" w:tplc="04090001">
      <w:start w:val="1"/>
      <w:numFmt w:val="bullet"/>
      <w:lvlText w:val=""/>
      <w:lvlJc w:val="left"/>
      <w:pPr>
        <w:ind w:left="85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6174FE7"/>
    <w:multiLevelType w:val="hybridMultilevel"/>
    <w:tmpl w:val="4E4C1FE4"/>
    <w:lvl w:ilvl="0" w:tplc="F058209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5E1DA7"/>
    <w:multiLevelType w:val="hybridMultilevel"/>
    <w:tmpl w:val="F41EE208"/>
    <w:lvl w:ilvl="0" w:tplc="E3942644">
      <w:start w:val="1"/>
      <w:numFmt w:val="decimal"/>
      <w:lvlText w:val="%1)"/>
      <w:lvlJc w:val="left"/>
      <w:pPr>
        <w:ind w:left="1440" w:hanging="360"/>
      </w:pPr>
      <w:rPr>
        <w:rFonts w:ascii="Times New Roman" w:eastAsiaTheme="minorEastAsia"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DE11959"/>
    <w:multiLevelType w:val="hybridMultilevel"/>
    <w:tmpl w:val="58868974"/>
    <w:lvl w:ilvl="0" w:tplc="04090001">
      <w:start w:val="1"/>
      <w:numFmt w:val="bullet"/>
      <w:lvlText w:val=""/>
      <w:lvlJc w:val="left"/>
      <w:pPr>
        <w:ind w:left="1800" w:hanging="360"/>
      </w:pPr>
      <w:rPr>
        <w:rFonts w:ascii="Symbol" w:hAnsi="Symbol" w:hint="default"/>
        <w:b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8E253B2"/>
    <w:multiLevelType w:val="hybridMultilevel"/>
    <w:tmpl w:val="C7E084A4"/>
    <w:lvl w:ilvl="0" w:tplc="1CC074EA">
      <w:start w:val="1"/>
      <w:numFmt w:val="decimal"/>
      <w:lvlText w:val="%1)"/>
      <w:lvlJc w:val="left"/>
      <w:pPr>
        <w:ind w:left="1440" w:hanging="360"/>
      </w:pPr>
      <w:rPr>
        <w:rFonts w:ascii="Times New Roman" w:eastAsiaTheme="minorEastAsia"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DFC0A9C"/>
    <w:multiLevelType w:val="hybridMultilevel"/>
    <w:tmpl w:val="5228570C"/>
    <w:lvl w:ilvl="0" w:tplc="08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1"/>
  </w:num>
  <w:num w:numId="10">
    <w:abstractNumId w:val="0"/>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
  <w:rsids>
    <w:rsidRoot w:val="00112CEA"/>
    <w:rsid w:val="00074A01"/>
    <w:rsid w:val="00093F72"/>
    <w:rsid w:val="00112CEA"/>
    <w:rsid w:val="0013267E"/>
    <w:rsid w:val="00143FAD"/>
    <w:rsid w:val="00177793"/>
    <w:rsid w:val="001877EA"/>
    <w:rsid w:val="001A3956"/>
    <w:rsid w:val="001D040A"/>
    <w:rsid w:val="002443FD"/>
    <w:rsid w:val="00273BFF"/>
    <w:rsid w:val="00285D9C"/>
    <w:rsid w:val="002C67C4"/>
    <w:rsid w:val="002F32F4"/>
    <w:rsid w:val="00314CF6"/>
    <w:rsid w:val="00316B61"/>
    <w:rsid w:val="004055D8"/>
    <w:rsid w:val="00452A40"/>
    <w:rsid w:val="004B22CE"/>
    <w:rsid w:val="004F07F0"/>
    <w:rsid w:val="00505F99"/>
    <w:rsid w:val="005A4626"/>
    <w:rsid w:val="00631CD6"/>
    <w:rsid w:val="00633BAB"/>
    <w:rsid w:val="00686820"/>
    <w:rsid w:val="00693193"/>
    <w:rsid w:val="00696D9A"/>
    <w:rsid w:val="006A7C20"/>
    <w:rsid w:val="00724D72"/>
    <w:rsid w:val="00743D18"/>
    <w:rsid w:val="0079057B"/>
    <w:rsid w:val="007C0530"/>
    <w:rsid w:val="00807D4E"/>
    <w:rsid w:val="00841B1E"/>
    <w:rsid w:val="008569F0"/>
    <w:rsid w:val="008901C0"/>
    <w:rsid w:val="008A4104"/>
    <w:rsid w:val="00986171"/>
    <w:rsid w:val="009D62C3"/>
    <w:rsid w:val="00B73151"/>
    <w:rsid w:val="00B84A68"/>
    <w:rsid w:val="00B860D8"/>
    <w:rsid w:val="00C57928"/>
    <w:rsid w:val="00C842F1"/>
    <w:rsid w:val="00C86CE2"/>
    <w:rsid w:val="00CF262A"/>
    <w:rsid w:val="00CF328D"/>
    <w:rsid w:val="00D85B0D"/>
    <w:rsid w:val="00E027E6"/>
    <w:rsid w:val="00E45138"/>
    <w:rsid w:val="00EC7CC7"/>
    <w:rsid w:val="00ED51CF"/>
    <w:rsid w:val="00ED6D70"/>
    <w:rsid w:val="00EE477B"/>
    <w:rsid w:val="00F04498"/>
    <w:rsid w:val="00F17FA7"/>
    <w:rsid w:val="00F445B8"/>
    <w:rsid w:val="00F968DF"/>
    <w:rsid w:val="00FA2126"/>
    <w:rsid w:val="00FA3E3E"/>
    <w:rsid w:val="00FC0A8C"/>
    <w:rsid w:val="00FC30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before="240"/>
        <w:ind w:left="18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C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193"/>
    <w:pPr>
      <w:spacing w:before="0" w:after="200" w:line="360" w:lineRule="auto"/>
      <w:ind w:left="720"/>
      <w:contextualSpacing/>
    </w:pPr>
    <w:rPr>
      <w:iCs/>
      <w:sz w:val="24"/>
      <w:szCs w:val="24"/>
    </w:rPr>
  </w:style>
  <w:style w:type="paragraph" w:customStyle="1" w:styleId="Default">
    <w:name w:val="Default"/>
    <w:rsid w:val="00273BFF"/>
    <w:pPr>
      <w:autoSpaceDE w:val="0"/>
      <w:autoSpaceDN w:val="0"/>
      <w:adjustRightInd w:val="0"/>
      <w:spacing w:before="0"/>
      <w:ind w:left="0"/>
      <w:jc w:val="left"/>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73BF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BFF"/>
    <w:rPr>
      <w:rFonts w:ascii="Tahoma" w:hAnsi="Tahoma" w:cs="Tahoma"/>
      <w:sz w:val="16"/>
      <w:szCs w:val="16"/>
    </w:rPr>
  </w:style>
  <w:style w:type="paragraph" w:styleId="FootnoteText">
    <w:name w:val="footnote text"/>
    <w:basedOn w:val="Normal"/>
    <w:link w:val="FootnoteTextChar"/>
    <w:uiPriority w:val="99"/>
    <w:semiHidden/>
    <w:unhideWhenUsed/>
    <w:rsid w:val="00452A40"/>
    <w:pPr>
      <w:spacing w:before="100" w:beforeAutospacing="1" w:after="100" w:afterAutospacing="1"/>
      <w:ind w:left="0"/>
      <w:jc w:val="left"/>
    </w:pPr>
    <w:rPr>
      <w:rFonts w:ascii="Times New Roman" w:eastAsia="Times New Roman" w:hAnsi="Times New Roman" w:cs="Times New Roman"/>
      <w:sz w:val="24"/>
      <w:szCs w:val="24"/>
      <w:lang w:val="en-GB" w:eastAsia="en-GB"/>
    </w:rPr>
  </w:style>
  <w:style w:type="character" w:customStyle="1" w:styleId="FootnoteTextChar">
    <w:name w:val="Footnote Text Char"/>
    <w:basedOn w:val="DefaultParagraphFont"/>
    <w:link w:val="FootnoteText"/>
    <w:uiPriority w:val="99"/>
    <w:semiHidden/>
    <w:rsid w:val="00452A40"/>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452A40"/>
  </w:style>
  <w:style w:type="character" w:styleId="Hyperlink">
    <w:name w:val="Hyperlink"/>
    <w:basedOn w:val="DefaultParagraphFont"/>
    <w:uiPriority w:val="99"/>
    <w:unhideWhenUsed/>
    <w:rsid w:val="00452A40"/>
    <w:rPr>
      <w:color w:val="0000FF" w:themeColor="hyperlink"/>
      <w:u w:val="single"/>
    </w:rPr>
  </w:style>
  <w:style w:type="paragraph" w:styleId="Header">
    <w:name w:val="header"/>
    <w:basedOn w:val="Normal"/>
    <w:link w:val="HeaderChar"/>
    <w:uiPriority w:val="99"/>
    <w:semiHidden/>
    <w:unhideWhenUsed/>
    <w:rsid w:val="00986171"/>
    <w:pPr>
      <w:tabs>
        <w:tab w:val="center" w:pos="4320"/>
        <w:tab w:val="right" w:pos="8640"/>
      </w:tabs>
      <w:spacing w:before="0"/>
    </w:pPr>
  </w:style>
  <w:style w:type="character" w:customStyle="1" w:styleId="HeaderChar">
    <w:name w:val="Header Char"/>
    <w:basedOn w:val="DefaultParagraphFont"/>
    <w:link w:val="Header"/>
    <w:uiPriority w:val="99"/>
    <w:semiHidden/>
    <w:rsid w:val="00986171"/>
  </w:style>
  <w:style w:type="paragraph" w:styleId="Footer">
    <w:name w:val="footer"/>
    <w:basedOn w:val="Normal"/>
    <w:link w:val="FooterChar"/>
    <w:uiPriority w:val="99"/>
    <w:semiHidden/>
    <w:unhideWhenUsed/>
    <w:rsid w:val="00986171"/>
    <w:pPr>
      <w:tabs>
        <w:tab w:val="center" w:pos="4320"/>
        <w:tab w:val="right" w:pos="8640"/>
      </w:tabs>
      <w:spacing w:before="0"/>
    </w:pPr>
  </w:style>
  <w:style w:type="character" w:customStyle="1" w:styleId="FooterChar">
    <w:name w:val="Footer Char"/>
    <w:basedOn w:val="DefaultParagraphFont"/>
    <w:link w:val="Footer"/>
    <w:uiPriority w:val="99"/>
    <w:semiHidden/>
    <w:rsid w:val="00986171"/>
  </w:style>
</w:styles>
</file>

<file path=word/webSettings.xml><?xml version="1.0" encoding="utf-8"?>
<w:webSettings xmlns:r="http://schemas.openxmlformats.org/officeDocument/2006/relationships" xmlns:w="http://schemas.openxmlformats.org/wordprocessingml/2006/main">
  <w:divs>
    <w:div w:id="166410389">
      <w:bodyDiv w:val="1"/>
      <w:marLeft w:val="0"/>
      <w:marRight w:val="0"/>
      <w:marTop w:val="0"/>
      <w:marBottom w:val="0"/>
      <w:divBdr>
        <w:top w:val="none" w:sz="0" w:space="0" w:color="auto"/>
        <w:left w:val="none" w:sz="0" w:space="0" w:color="auto"/>
        <w:bottom w:val="none" w:sz="0" w:space="0" w:color="auto"/>
        <w:right w:val="none" w:sz="0" w:space="0" w:color="auto"/>
      </w:divBdr>
    </w:div>
    <w:div w:id="241988140">
      <w:bodyDiv w:val="1"/>
      <w:marLeft w:val="0"/>
      <w:marRight w:val="0"/>
      <w:marTop w:val="0"/>
      <w:marBottom w:val="0"/>
      <w:divBdr>
        <w:top w:val="none" w:sz="0" w:space="0" w:color="auto"/>
        <w:left w:val="none" w:sz="0" w:space="0" w:color="auto"/>
        <w:bottom w:val="none" w:sz="0" w:space="0" w:color="auto"/>
        <w:right w:val="none" w:sz="0" w:space="0" w:color="auto"/>
      </w:divBdr>
    </w:div>
    <w:div w:id="338630141">
      <w:bodyDiv w:val="1"/>
      <w:marLeft w:val="0"/>
      <w:marRight w:val="0"/>
      <w:marTop w:val="0"/>
      <w:marBottom w:val="0"/>
      <w:divBdr>
        <w:top w:val="none" w:sz="0" w:space="0" w:color="auto"/>
        <w:left w:val="none" w:sz="0" w:space="0" w:color="auto"/>
        <w:bottom w:val="none" w:sz="0" w:space="0" w:color="auto"/>
        <w:right w:val="none" w:sz="0" w:space="0" w:color="auto"/>
      </w:divBdr>
    </w:div>
    <w:div w:id="441266920">
      <w:bodyDiv w:val="1"/>
      <w:marLeft w:val="0"/>
      <w:marRight w:val="0"/>
      <w:marTop w:val="0"/>
      <w:marBottom w:val="0"/>
      <w:divBdr>
        <w:top w:val="none" w:sz="0" w:space="0" w:color="auto"/>
        <w:left w:val="none" w:sz="0" w:space="0" w:color="auto"/>
        <w:bottom w:val="none" w:sz="0" w:space="0" w:color="auto"/>
        <w:right w:val="none" w:sz="0" w:space="0" w:color="auto"/>
      </w:divBdr>
    </w:div>
    <w:div w:id="541556128">
      <w:bodyDiv w:val="1"/>
      <w:marLeft w:val="0"/>
      <w:marRight w:val="0"/>
      <w:marTop w:val="0"/>
      <w:marBottom w:val="0"/>
      <w:divBdr>
        <w:top w:val="none" w:sz="0" w:space="0" w:color="auto"/>
        <w:left w:val="none" w:sz="0" w:space="0" w:color="auto"/>
        <w:bottom w:val="none" w:sz="0" w:space="0" w:color="auto"/>
        <w:right w:val="none" w:sz="0" w:space="0" w:color="auto"/>
      </w:divBdr>
    </w:div>
    <w:div w:id="704646046">
      <w:bodyDiv w:val="1"/>
      <w:marLeft w:val="0"/>
      <w:marRight w:val="0"/>
      <w:marTop w:val="0"/>
      <w:marBottom w:val="0"/>
      <w:divBdr>
        <w:top w:val="none" w:sz="0" w:space="0" w:color="auto"/>
        <w:left w:val="none" w:sz="0" w:space="0" w:color="auto"/>
        <w:bottom w:val="none" w:sz="0" w:space="0" w:color="auto"/>
        <w:right w:val="none" w:sz="0" w:space="0" w:color="auto"/>
      </w:divBdr>
    </w:div>
    <w:div w:id="849875383">
      <w:bodyDiv w:val="1"/>
      <w:marLeft w:val="0"/>
      <w:marRight w:val="0"/>
      <w:marTop w:val="0"/>
      <w:marBottom w:val="0"/>
      <w:divBdr>
        <w:top w:val="none" w:sz="0" w:space="0" w:color="auto"/>
        <w:left w:val="none" w:sz="0" w:space="0" w:color="auto"/>
        <w:bottom w:val="none" w:sz="0" w:space="0" w:color="auto"/>
        <w:right w:val="none" w:sz="0" w:space="0" w:color="auto"/>
      </w:divBdr>
    </w:div>
    <w:div w:id="873422841">
      <w:bodyDiv w:val="1"/>
      <w:marLeft w:val="0"/>
      <w:marRight w:val="0"/>
      <w:marTop w:val="0"/>
      <w:marBottom w:val="0"/>
      <w:divBdr>
        <w:top w:val="none" w:sz="0" w:space="0" w:color="auto"/>
        <w:left w:val="none" w:sz="0" w:space="0" w:color="auto"/>
        <w:bottom w:val="none" w:sz="0" w:space="0" w:color="auto"/>
        <w:right w:val="none" w:sz="0" w:space="0" w:color="auto"/>
      </w:divBdr>
    </w:div>
    <w:div w:id="891306462">
      <w:bodyDiv w:val="1"/>
      <w:marLeft w:val="0"/>
      <w:marRight w:val="0"/>
      <w:marTop w:val="0"/>
      <w:marBottom w:val="0"/>
      <w:divBdr>
        <w:top w:val="none" w:sz="0" w:space="0" w:color="auto"/>
        <w:left w:val="none" w:sz="0" w:space="0" w:color="auto"/>
        <w:bottom w:val="none" w:sz="0" w:space="0" w:color="auto"/>
        <w:right w:val="none" w:sz="0" w:space="0" w:color="auto"/>
      </w:divBdr>
    </w:div>
    <w:div w:id="956256307">
      <w:bodyDiv w:val="1"/>
      <w:marLeft w:val="0"/>
      <w:marRight w:val="0"/>
      <w:marTop w:val="0"/>
      <w:marBottom w:val="0"/>
      <w:divBdr>
        <w:top w:val="none" w:sz="0" w:space="0" w:color="auto"/>
        <w:left w:val="none" w:sz="0" w:space="0" w:color="auto"/>
        <w:bottom w:val="none" w:sz="0" w:space="0" w:color="auto"/>
        <w:right w:val="none" w:sz="0" w:space="0" w:color="auto"/>
      </w:divBdr>
    </w:div>
    <w:div w:id="1249120875">
      <w:bodyDiv w:val="1"/>
      <w:marLeft w:val="0"/>
      <w:marRight w:val="0"/>
      <w:marTop w:val="0"/>
      <w:marBottom w:val="0"/>
      <w:divBdr>
        <w:top w:val="none" w:sz="0" w:space="0" w:color="auto"/>
        <w:left w:val="none" w:sz="0" w:space="0" w:color="auto"/>
        <w:bottom w:val="none" w:sz="0" w:space="0" w:color="auto"/>
        <w:right w:val="none" w:sz="0" w:space="0" w:color="auto"/>
      </w:divBdr>
    </w:div>
    <w:div w:id="1285503681">
      <w:bodyDiv w:val="1"/>
      <w:marLeft w:val="0"/>
      <w:marRight w:val="0"/>
      <w:marTop w:val="0"/>
      <w:marBottom w:val="0"/>
      <w:divBdr>
        <w:top w:val="none" w:sz="0" w:space="0" w:color="auto"/>
        <w:left w:val="none" w:sz="0" w:space="0" w:color="auto"/>
        <w:bottom w:val="none" w:sz="0" w:space="0" w:color="auto"/>
        <w:right w:val="none" w:sz="0" w:space="0" w:color="auto"/>
      </w:divBdr>
    </w:div>
    <w:div w:id="1804691097">
      <w:bodyDiv w:val="1"/>
      <w:marLeft w:val="0"/>
      <w:marRight w:val="0"/>
      <w:marTop w:val="0"/>
      <w:marBottom w:val="0"/>
      <w:divBdr>
        <w:top w:val="none" w:sz="0" w:space="0" w:color="auto"/>
        <w:left w:val="none" w:sz="0" w:space="0" w:color="auto"/>
        <w:bottom w:val="none" w:sz="0" w:space="0" w:color="auto"/>
        <w:right w:val="none" w:sz="0" w:space="0" w:color="auto"/>
      </w:divBdr>
    </w:div>
    <w:div w:id="1883981783">
      <w:bodyDiv w:val="1"/>
      <w:marLeft w:val="0"/>
      <w:marRight w:val="0"/>
      <w:marTop w:val="0"/>
      <w:marBottom w:val="0"/>
      <w:divBdr>
        <w:top w:val="none" w:sz="0" w:space="0" w:color="auto"/>
        <w:left w:val="none" w:sz="0" w:space="0" w:color="auto"/>
        <w:bottom w:val="none" w:sz="0" w:space="0" w:color="auto"/>
        <w:right w:val="none" w:sz="0" w:space="0" w:color="auto"/>
      </w:divBdr>
    </w:div>
    <w:div w:id="2017146453">
      <w:bodyDiv w:val="1"/>
      <w:marLeft w:val="0"/>
      <w:marRight w:val="0"/>
      <w:marTop w:val="0"/>
      <w:marBottom w:val="0"/>
      <w:divBdr>
        <w:top w:val="none" w:sz="0" w:space="0" w:color="auto"/>
        <w:left w:val="none" w:sz="0" w:space="0" w:color="auto"/>
        <w:bottom w:val="none" w:sz="0" w:space="0" w:color="auto"/>
        <w:right w:val="none" w:sz="0" w:space="0" w:color="auto"/>
      </w:divBdr>
    </w:div>
    <w:div w:id="21098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chart" Target="charts/chart1.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chart" Target="charts/chart4.xml"/><Relationship Id="rId7" Type="http://schemas.openxmlformats.org/officeDocument/2006/relationships/hyperlink" Target="mailto:showkat80ahmad@gmail.com"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chart" Target="charts/chart3.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chart" Target="charts/chart2.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US" sz="1800" b="1" i="0" u="none" strike="noStrike" kern="1200" baseline="0">
                <a:solidFill>
                  <a:sysClr val="windowText" lastClr="000000"/>
                </a:solidFill>
                <a:latin typeface="+mn-lt"/>
                <a:ea typeface="+mn-ea"/>
                <a:cs typeface="+mn-cs"/>
              </a:defRPr>
            </a:pPr>
            <a:r>
              <a:rPr lang="en-US" sz="900" b="1"/>
              <a:t>Classification of output and Workforce in J&amp;K State Economy by Tertiary</a:t>
            </a:r>
            <a:r>
              <a:rPr lang="en-US" sz="900" b="1" baseline="0"/>
              <a:t> </a:t>
            </a:r>
            <a:r>
              <a:rPr lang="en-US" sz="900" b="1"/>
              <a:t>Sector</a:t>
            </a:r>
            <a:endParaRPr lang="en-US" sz="900"/>
          </a:p>
          <a:p>
            <a:pPr marL="0" marR="0" indent="0" algn="ctr" defTabSz="914400" rtl="0" eaLnBrk="1" fontAlgn="auto" latinLnBrk="0" hangingPunct="1">
              <a:lnSpc>
                <a:spcPct val="100000"/>
              </a:lnSpc>
              <a:spcBef>
                <a:spcPts val="0"/>
              </a:spcBef>
              <a:spcAft>
                <a:spcPts val="0"/>
              </a:spcAft>
              <a:buClrTx/>
              <a:buSzTx/>
              <a:buFontTx/>
              <a:buNone/>
              <a:tabLst/>
              <a:defRPr lang="en-US" sz="1800" b="1" i="0" u="none" strike="noStrike" kern="1200" baseline="0">
                <a:solidFill>
                  <a:sysClr val="windowText" lastClr="000000"/>
                </a:solidFill>
                <a:latin typeface="+mn-lt"/>
                <a:ea typeface="+mn-ea"/>
                <a:cs typeface="+mn-cs"/>
              </a:defRPr>
            </a:pPr>
            <a:endParaRPr lang="en-US" sz="100"/>
          </a:p>
        </c:rich>
      </c:tx>
      <c:layout/>
    </c:title>
    <c:plotArea>
      <c:layout>
        <c:manualLayout>
          <c:layoutTarget val="inner"/>
          <c:xMode val="edge"/>
          <c:yMode val="edge"/>
          <c:x val="7.3377296587926855E-2"/>
          <c:y val="0.20406277340332471"/>
          <c:w val="0.88495603674540735"/>
          <c:h val="0.46655438903470592"/>
        </c:manualLayout>
      </c:layout>
      <c:lineChart>
        <c:grouping val="standard"/>
        <c:ser>
          <c:idx val="0"/>
          <c:order val="0"/>
          <c:tx>
            <c:strRef>
              <c:f>Sheet1!$C$8</c:f>
              <c:strCache>
                <c:ptCount val="1"/>
                <c:pt idx="0">
                  <c:v>Workforce in Secondary sector (in %)</c:v>
                </c:pt>
              </c:strCache>
            </c:strRef>
          </c:tx>
          <c:dLbls>
            <c:dLbl>
              <c:idx val="0"/>
              <c:layout>
                <c:manualLayout>
                  <c:x val="-5.8333333333333758E-2"/>
                  <c:y val="4.1666666666666692E-2"/>
                </c:manualLayout>
              </c:layout>
              <c:showVal val="1"/>
            </c:dLbl>
            <c:dLbl>
              <c:idx val="1"/>
              <c:layout>
                <c:manualLayout>
                  <c:x val="-5.5555555555555455E-2"/>
                  <c:y val="5.5555555555555455E-2"/>
                </c:manualLayout>
              </c:layout>
              <c:showVal val="1"/>
            </c:dLbl>
            <c:dLbl>
              <c:idx val="2"/>
              <c:layout>
                <c:manualLayout>
                  <c:x val="-4.1666666666666692E-2"/>
                  <c:y val="4.6296296296296523E-2"/>
                </c:manualLayout>
              </c:layout>
              <c:showVal val="1"/>
            </c:dLbl>
            <c:dLbl>
              <c:idx val="3"/>
              <c:layout>
                <c:manualLayout>
                  <c:x val="-3.8888888888888792E-2"/>
                  <c:y val="8.7962962962963548E-2"/>
                </c:manualLayout>
              </c:layout>
              <c:showVal val="1"/>
            </c:dLbl>
            <c:txPr>
              <a:bodyPr/>
              <a:lstStyle/>
              <a:p>
                <a:pPr>
                  <a:defRPr lang="en-US"/>
                </a:pPr>
                <a:endParaRPr lang="en-US"/>
              </a:p>
            </c:txPr>
            <c:showVal val="1"/>
          </c:dLbls>
          <c:cat>
            <c:numRef>
              <c:f>Sheet1!$D$7:$G$7</c:f>
              <c:numCache>
                <c:formatCode>General</c:formatCode>
                <c:ptCount val="4"/>
                <c:pt idx="0">
                  <c:v>1981</c:v>
                </c:pt>
                <c:pt idx="1">
                  <c:v>1991</c:v>
                </c:pt>
                <c:pt idx="2">
                  <c:v>2001</c:v>
                </c:pt>
                <c:pt idx="3">
                  <c:v>2011</c:v>
                </c:pt>
              </c:numCache>
            </c:numRef>
          </c:cat>
          <c:val>
            <c:numRef>
              <c:f>Sheet1!$D$8:$G$8</c:f>
              <c:numCache>
                <c:formatCode>General</c:formatCode>
                <c:ptCount val="4"/>
                <c:pt idx="0">
                  <c:v>21.87</c:v>
                </c:pt>
                <c:pt idx="1">
                  <c:v>32.53</c:v>
                </c:pt>
                <c:pt idx="2">
                  <c:v>43.67</c:v>
                </c:pt>
                <c:pt idx="3">
                  <c:v>54.53</c:v>
                </c:pt>
              </c:numCache>
            </c:numRef>
          </c:val>
        </c:ser>
        <c:ser>
          <c:idx val="1"/>
          <c:order val="1"/>
          <c:tx>
            <c:strRef>
              <c:f>Sheet1!$C$9</c:f>
              <c:strCache>
                <c:ptCount val="1"/>
                <c:pt idx="0">
                  <c:v>Out-put of Secondary sector (in %)</c:v>
                </c:pt>
              </c:strCache>
            </c:strRef>
          </c:tx>
          <c:dLbls>
            <c:dLbl>
              <c:idx val="0"/>
              <c:layout>
                <c:manualLayout>
                  <c:x val="-5.8333333333333758E-2"/>
                  <c:y val="-5.5555555555555455E-2"/>
                </c:manualLayout>
              </c:layout>
              <c:showVal val="1"/>
            </c:dLbl>
            <c:dLbl>
              <c:idx val="1"/>
              <c:layout>
                <c:manualLayout>
                  <c:x val="-6.9444444444444572E-2"/>
                  <c:y val="-5.0925925925925992E-2"/>
                </c:manualLayout>
              </c:layout>
              <c:showVal val="1"/>
            </c:dLbl>
            <c:dLbl>
              <c:idx val="2"/>
              <c:layout>
                <c:manualLayout>
                  <c:x val="-6.1111111111111199E-2"/>
                  <c:y val="-6.9444444444444697E-2"/>
                </c:manualLayout>
              </c:layout>
              <c:showVal val="1"/>
            </c:dLbl>
            <c:dLbl>
              <c:idx val="3"/>
              <c:layout>
                <c:manualLayout>
                  <c:x val="-6.1111111111111123E-2"/>
                  <c:y val="-7.4074074074074084E-2"/>
                </c:manualLayout>
              </c:layout>
              <c:showVal val="1"/>
            </c:dLbl>
            <c:txPr>
              <a:bodyPr/>
              <a:lstStyle/>
              <a:p>
                <a:pPr>
                  <a:defRPr lang="en-US"/>
                </a:pPr>
                <a:endParaRPr lang="en-US"/>
              </a:p>
            </c:txPr>
            <c:showVal val="1"/>
          </c:dLbls>
          <c:cat>
            <c:numRef>
              <c:f>Sheet1!$D$7:$G$7</c:f>
              <c:numCache>
                <c:formatCode>General</c:formatCode>
                <c:ptCount val="4"/>
                <c:pt idx="0">
                  <c:v>1981</c:v>
                </c:pt>
                <c:pt idx="1">
                  <c:v>1991</c:v>
                </c:pt>
                <c:pt idx="2">
                  <c:v>2001</c:v>
                </c:pt>
                <c:pt idx="3">
                  <c:v>2011</c:v>
                </c:pt>
              </c:numCache>
            </c:numRef>
          </c:cat>
          <c:val>
            <c:numRef>
              <c:f>Sheet1!$D$9:$G$9</c:f>
              <c:numCache>
                <c:formatCode>General</c:formatCode>
                <c:ptCount val="4"/>
                <c:pt idx="0">
                  <c:v>39.700000000000003</c:v>
                </c:pt>
                <c:pt idx="1">
                  <c:v>44.720000000000013</c:v>
                </c:pt>
                <c:pt idx="2">
                  <c:v>47.190000000000012</c:v>
                </c:pt>
                <c:pt idx="3">
                  <c:v>52.260000000000012</c:v>
                </c:pt>
              </c:numCache>
            </c:numRef>
          </c:val>
        </c:ser>
        <c:marker val="1"/>
        <c:axId val="64910080"/>
        <c:axId val="64911616"/>
      </c:lineChart>
      <c:catAx>
        <c:axId val="64910080"/>
        <c:scaling>
          <c:orientation val="minMax"/>
        </c:scaling>
        <c:axPos val="b"/>
        <c:numFmt formatCode="General" sourceLinked="1"/>
        <c:majorTickMark val="none"/>
        <c:tickLblPos val="nextTo"/>
        <c:txPr>
          <a:bodyPr/>
          <a:lstStyle/>
          <a:p>
            <a:pPr>
              <a:defRPr lang="en-US"/>
            </a:pPr>
            <a:endParaRPr lang="en-US"/>
          </a:p>
        </c:txPr>
        <c:crossAx val="64911616"/>
        <c:crosses val="autoZero"/>
        <c:auto val="1"/>
        <c:lblAlgn val="ctr"/>
        <c:lblOffset val="100"/>
      </c:catAx>
      <c:valAx>
        <c:axId val="64911616"/>
        <c:scaling>
          <c:orientation val="minMax"/>
        </c:scaling>
        <c:axPos val="l"/>
        <c:majorGridlines/>
        <c:numFmt formatCode="General" sourceLinked="1"/>
        <c:majorTickMark val="none"/>
        <c:tickLblPos val="nextTo"/>
        <c:spPr>
          <a:ln w="9525">
            <a:noFill/>
          </a:ln>
        </c:spPr>
        <c:txPr>
          <a:bodyPr/>
          <a:lstStyle/>
          <a:p>
            <a:pPr>
              <a:defRPr lang="en-US"/>
            </a:pPr>
            <a:endParaRPr lang="en-US"/>
          </a:p>
        </c:txPr>
        <c:crossAx val="64910080"/>
        <c:crosses val="autoZero"/>
        <c:crossBetween val="between"/>
      </c:valAx>
    </c:plotArea>
    <c:legend>
      <c:legendPos val="b"/>
      <c:layout/>
      <c:txPr>
        <a:bodyPr/>
        <a:lstStyle/>
        <a:p>
          <a:pPr>
            <a:defRPr lang="en-US"/>
          </a:pPr>
          <a:endParaRPr lang="en-US"/>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4488407699037621E-2"/>
          <c:y val="5.1400554097404488E-2"/>
          <c:w val="0.58655314960629501"/>
          <c:h val="0.59565179352581166"/>
        </c:manualLayout>
      </c:layout>
      <c:lineChart>
        <c:grouping val="standard"/>
        <c:ser>
          <c:idx val="0"/>
          <c:order val="0"/>
          <c:tx>
            <c:strRef>
              <c:f>Sheet1!$J$28:$J$30</c:f>
              <c:strCache>
                <c:ptCount val="1"/>
                <c:pt idx="0">
                  <c:v>Percentage  share of Tertiary sector  to NSDP (1981-2011) Cn.Prices</c:v>
                </c:pt>
              </c:strCache>
            </c:strRef>
          </c:tx>
          <c:cat>
            <c:multiLvlStrRef>
              <c:f>Sheet1!$H$31:$I$37</c:f>
              <c:multiLvlStrCache>
                <c:ptCount val="7"/>
                <c:lvl>
                  <c:pt idx="0">
                    <c:v>1980-81</c:v>
                  </c:pt>
                  <c:pt idx="1">
                    <c:v>1985-86</c:v>
                  </c:pt>
                  <c:pt idx="2">
                    <c:v>1990-91</c:v>
                  </c:pt>
                  <c:pt idx="3">
                    <c:v>1995-96</c:v>
                  </c:pt>
                  <c:pt idx="4">
                    <c:v>2000-01</c:v>
                  </c:pt>
                  <c:pt idx="5">
                    <c:v>2005-06</c:v>
                  </c:pt>
                  <c:pt idx="6">
                    <c:v>2010-11</c:v>
                  </c:pt>
                </c:lvl>
                <c:lvl>
                  <c:pt idx="0">
                    <c:v>1</c:v>
                  </c:pt>
                  <c:pt idx="1">
                    <c:v>2</c:v>
                  </c:pt>
                  <c:pt idx="2">
                    <c:v>3</c:v>
                  </c:pt>
                  <c:pt idx="3">
                    <c:v>4</c:v>
                  </c:pt>
                  <c:pt idx="4">
                    <c:v>5</c:v>
                  </c:pt>
                  <c:pt idx="5">
                    <c:v>6</c:v>
                  </c:pt>
                  <c:pt idx="6">
                    <c:v>7</c:v>
                  </c:pt>
                </c:lvl>
              </c:multiLvlStrCache>
            </c:multiLvlStrRef>
          </c:cat>
          <c:val>
            <c:numRef>
              <c:f>Sheet1!$J$31:$J$37</c:f>
              <c:numCache>
                <c:formatCode>General</c:formatCode>
                <c:ptCount val="7"/>
                <c:pt idx="0">
                  <c:v>39.700000000000003</c:v>
                </c:pt>
                <c:pt idx="1">
                  <c:v>40.160000000000011</c:v>
                </c:pt>
                <c:pt idx="2">
                  <c:v>44.71</c:v>
                </c:pt>
                <c:pt idx="3">
                  <c:v>45.36</c:v>
                </c:pt>
                <c:pt idx="4">
                  <c:v>47.190000000000012</c:v>
                </c:pt>
                <c:pt idx="5">
                  <c:v>39.56</c:v>
                </c:pt>
                <c:pt idx="6">
                  <c:v>52.260000000000012</c:v>
                </c:pt>
              </c:numCache>
            </c:numRef>
          </c:val>
        </c:ser>
        <c:ser>
          <c:idx val="1"/>
          <c:order val="1"/>
          <c:tx>
            <c:strRef>
              <c:f>Sheet1!$K$28:$K$30</c:f>
              <c:strCache>
                <c:ptCount val="1"/>
                <c:pt idx="0">
                  <c:v>Percentage  share of Tertiary sector  to NSDP (1981-2011) Ct.Prices</c:v>
                </c:pt>
              </c:strCache>
            </c:strRef>
          </c:tx>
          <c:dLbls>
            <c:txPr>
              <a:bodyPr/>
              <a:lstStyle/>
              <a:p>
                <a:pPr>
                  <a:defRPr lang="en-US" sz="600"/>
                </a:pPr>
                <a:endParaRPr lang="en-US"/>
              </a:p>
            </c:txPr>
            <c:showVal val="1"/>
          </c:dLbls>
          <c:cat>
            <c:multiLvlStrRef>
              <c:f>Sheet1!$H$31:$I$37</c:f>
              <c:multiLvlStrCache>
                <c:ptCount val="7"/>
                <c:lvl>
                  <c:pt idx="0">
                    <c:v>1980-81</c:v>
                  </c:pt>
                  <c:pt idx="1">
                    <c:v>1985-86</c:v>
                  </c:pt>
                  <c:pt idx="2">
                    <c:v>1990-91</c:v>
                  </c:pt>
                  <c:pt idx="3">
                    <c:v>1995-96</c:v>
                  </c:pt>
                  <c:pt idx="4">
                    <c:v>2000-01</c:v>
                  </c:pt>
                  <c:pt idx="5">
                    <c:v>2005-06</c:v>
                  </c:pt>
                  <c:pt idx="6">
                    <c:v>2010-11</c:v>
                  </c:pt>
                </c:lvl>
                <c:lvl>
                  <c:pt idx="0">
                    <c:v>1</c:v>
                  </c:pt>
                  <c:pt idx="1">
                    <c:v>2</c:v>
                  </c:pt>
                  <c:pt idx="2">
                    <c:v>3</c:v>
                  </c:pt>
                  <c:pt idx="3">
                    <c:v>4</c:v>
                  </c:pt>
                  <c:pt idx="4">
                    <c:v>5</c:v>
                  </c:pt>
                  <c:pt idx="5">
                    <c:v>6</c:v>
                  </c:pt>
                  <c:pt idx="6">
                    <c:v>7</c:v>
                  </c:pt>
                </c:lvl>
              </c:multiLvlStrCache>
            </c:multiLvlStrRef>
          </c:cat>
          <c:val>
            <c:numRef>
              <c:f>Sheet1!$K$31:$K$37</c:f>
              <c:numCache>
                <c:formatCode>General</c:formatCode>
                <c:ptCount val="7"/>
                <c:pt idx="0">
                  <c:v>39.61</c:v>
                </c:pt>
                <c:pt idx="1">
                  <c:v>42.120000000000012</c:v>
                </c:pt>
                <c:pt idx="2">
                  <c:v>43.49</c:v>
                </c:pt>
                <c:pt idx="3">
                  <c:v>45.290000000000013</c:v>
                </c:pt>
                <c:pt idx="4">
                  <c:v>46.65</c:v>
                </c:pt>
                <c:pt idx="5">
                  <c:v>42.730000000000011</c:v>
                </c:pt>
                <c:pt idx="6">
                  <c:v>49.95</c:v>
                </c:pt>
              </c:numCache>
            </c:numRef>
          </c:val>
        </c:ser>
        <c:marker val="1"/>
        <c:axId val="64967040"/>
        <c:axId val="64968576"/>
      </c:lineChart>
      <c:catAx>
        <c:axId val="64967040"/>
        <c:scaling>
          <c:orientation val="minMax"/>
        </c:scaling>
        <c:axPos val="b"/>
        <c:tickLblPos val="nextTo"/>
        <c:txPr>
          <a:bodyPr/>
          <a:lstStyle/>
          <a:p>
            <a:pPr>
              <a:defRPr lang="en-US" sz="800"/>
            </a:pPr>
            <a:endParaRPr lang="en-US"/>
          </a:p>
        </c:txPr>
        <c:crossAx val="64968576"/>
        <c:crosses val="autoZero"/>
        <c:auto val="1"/>
        <c:lblAlgn val="ctr"/>
        <c:lblOffset val="100"/>
      </c:catAx>
      <c:valAx>
        <c:axId val="64968576"/>
        <c:scaling>
          <c:orientation val="minMax"/>
        </c:scaling>
        <c:axPos val="l"/>
        <c:majorGridlines/>
        <c:numFmt formatCode="General" sourceLinked="1"/>
        <c:tickLblPos val="nextTo"/>
        <c:txPr>
          <a:bodyPr/>
          <a:lstStyle/>
          <a:p>
            <a:pPr>
              <a:defRPr lang="en-US"/>
            </a:pPr>
            <a:endParaRPr lang="en-US"/>
          </a:p>
        </c:txPr>
        <c:crossAx val="64967040"/>
        <c:crosses val="autoZero"/>
        <c:crossBetween val="between"/>
      </c:valAx>
    </c:plotArea>
    <c:legend>
      <c:legendPos val="r"/>
      <c:layout/>
      <c:txPr>
        <a:bodyPr/>
        <a:lstStyle/>
        <a:p>
          <a:pPr>
            <a:defRPr lang="en-US"/>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200" b="1" i="0" u="none" strike="noStrike" baseline="0"/>
              <a:t>Compound  growth rate of NSDP (10-yearly)</a:t>
            </a:r>
            <a:endParaRPr lang="en-US" sz="1200"/>
          </a:p>
        </c:rich>
      </c:tx>
      <c:layout/>
    </c:title>
    <c:plotArea>
      <c:layout/>
      <c:lineChart>
        <c:grouping val="standard"/>
        <c:ser>
          <c:idx val="0"/>
          <c:order val="0"/>
          <c:tx>
            <c:strRef>
              <c:f>Sheet1!$E$46:$E$47</c:f>
              <c:strCache>
                <c:ptCount val="1"/>
                <c:pt idx="0">
                  <c:v>Tertiary Sector Cn.Prices</c:v>
                </c:pt>
              </c:strCache>
            </c:strRef>
          </c:tx>
          <c:cat>
            <c:strRef>
              <c:f>Sheet1!$D$48:$D$50</c:f>
              <c:strCache>
                <c:ptCount val="3"/>
                <c:pt idx="0">
                  <c:v>1980-81 to 1990-91</c:v>
                </c:pt>
                <c:pt idx="1">
                  <c:v> 1990-91 to 2000-01 </c:v>
                </c:pt>
                <c:pt idx="2">
                  <c:v>2000-01 to 2010-11</c:v>
                </c:pt>
              </c:strCache>
            </c:strRef>
          </c:cat>
          <c:val>
            <c:numRef>
              <c:f>Sheet1!$E$48:$E$50</c:f>
              <c:numCache>
                <c:formatCode>General</c:formatCode>
                <c:ptCount val="3"/>
                <c:pt idx="0">
                  <c:v>3.57</c:v>
                </c:pt>
                <c:pt idx="1">
                  <c:v>5.25</c:v>
                </c:pt>
                <c:pt idx="2">
                  <c:v>9.9500000000000028</c:v>
                </c:pt>
              </c:numCache>
            </c:numRef>
          </c:val>
        </c:ser>
        <c:ser>
          <c:idx val="1"/>
          <c:order val="1"/>
          <c:tx>
            <c:strRef>
              <c:f>Sheet1!$F$46:$F$47</c:f>
              <c:strCache>
                <c:ptCount val="1"/>
                <c:pt idx="0">
                  <c:v>Tertiary Sector Ct.Prices</c:v>
                </c:pt>
              </c:strCache>
            </c:strRef>
          </c:tx>
          <c:cat>
            <c:strRef>
              <c:f>Sheet1!$D$48:$D$50</c:f>
              <c:strCache>
                <c:ptCount val="3"/>
                <c:pt idx="0">
                  <c:v>1980-81 to 1990-91</c:v>
                </c:pt>
                <c:pt idx="1">
                  <c:v> 1990-91 to 2000-01 </c:v>
                </c:pt>
                <c:pt idx="2">
                  <c:v>2000-01 to 2010-11</c:v>
                </c:pt>
              </c:strCache>
            </c:strRef>
          </c:cat>
          <c:val>
            <c:numRef>
              <c:f>Sheet1!$F$48:$F$50</c:f>
              <c:numCache>
                <c:formatCode>General</c:formatCode>
                <c:ptCount val="3"/>
                <c:pt idx="0">
                  <c:v>12.57</c:v>
                </c:pt>
                <c:pt idx="1">
                  <c:v>18.920000000000002</c:v>
                </c:pt>
                <c:pt idx="2">
                  <c:v>12.57</c:v>
                </c:pt>
              </c:numCache>
            </c:numRef>
          </c:val>
        </c:ser>
        <c:dLbls>
          <c:showVal val="1"/>
        </c:dLbls>
        <c:marker val="1"/>
        <c:axId val="65006208"/>
        <c:axId val="59179392"/>
      </c:lineChart>
      <c:catAx>
        <c:axId val="65006208"/>
        <c:scaling>
          <c:orientation val="minMax"/>
        </c:scaling>
        <c:axPos val="b"/>
        <c:majorTickMark val="none"/>
        <c:tickLblPos val="nextTo"/>
        <c:txPr>
          <a:bodyPr/>
          <a:lstStyle/>
          <a:p>
            <a:pPr>
              <a:defRPr lang="en-US"/>
            </a:pPr>
            <a:endParaRPr lang="en-US"/>
          </a:p>
        </c:txPr>
        <c:crossAx val="59179392"/>
        <c:crosses val="autoZero"/>
        <c:auto val="1"/>
        <c:lblAlgn val="ctr"/>
        <c:lblOffset val="100"/>
      </c:catAx>
      <c:valAx>
        <c:axId val="59179392"/>
        <c:scaling>
          <c:orientation val="minMax"/>
        </c:scaling>
        <c:delete val="1"/>
        <c:axPos val="l"/>
        <c:numFmt formatCode="General" sourceLinked="1"/>
        <c:majorTickMark val="none"/>
        <c:tickLblPos val="none"/>
        <c:crossAx val="65006208"/>
        <c:crosses val="autoZero"/>
        <c:crossBetween val="between"/>
      </c:valAx>
    </c:plotArea>
    <c:legend>
      <c:legendPos val="t"/>
      <c:layout/>
      <c:txPr>
        <a:bodyPr/>
        <a:lstStyle/>
        <a:p>
          <a:pPr>
            <a:defRPr lang="en-US"/>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29"/>
  <c:chart>
    <c:title>
      <c:tx>
        <c:rich>
          <a:bodyPr/>
          <a:lstStyle/>
          <a:p>
            <a:pPr algn="ctr">
              <a:defRPr lang="en-US"/>
            </a:pPr>
            <a:r>
              <a:rPr lang="en-US" sz="1200" b="1" i="0" u="none" strike="noStrike" baseline="0"/>
              <a:t>Compound  growth rate of NSDP (30-yearly)</a:t>
            </a:r>
            <a:endParaRPr lang="en-US" sz="1200"/>
          </a:p>
        </c:rich>
      </c:tx>
      <c:layout/>
    </c:title>
    <c:plotArea>
      <c:layout/>
      <c:lineChart>
        <c:grouping val="standard"/>
        <c:ser>
          <c:idx val="0"/>
          <c:order val="0"/>
          <c:tx>
            <c:strRef>
              <c:f>Sheet1!$D$57</c:f>
              <c:strCache>
                <c:ptCount val="1"/>
                <c:pt idx="0">
                  <c:v>1980-81 to 2010-11</c:v>
                </c:pt>
              </c:strCache>
            </c:strRef>
          </c:tx>
          <c:dLbls>
            <c:dLbl>
              <c:idx val="0"/>
              <c:layout>
                <c:manualLayout>
                  <c:x val="-0.1"/>
                  <c:y val="-7.407407407407407E-2"/>
                </c:manualLayout>
              </c:layout>
              <c:showVal val="1"/>
            </c:dLbl>
            <c:txPr>
              <a:bodyPr/>
              <a:lstStyle/>
              <a:p>
                <a:pPr>
                  <a:defRPr lang="en-US"/>
                </a:pPr>
                <a:endParaRPr lang="en-US"/>
              </a:p>
            </c:txPr>
            <c:showVal val="1"/>
          </c:dLbls>
          <c:cat>
            <c:multiLvlStrRef>
              <c:f>Sheet1!$E$55:$F$56</c:f>
              <c:multiLvlStrCache>
                <c:ptCount val="2"/>
                <c:lvl>
                  <c:pt idx="0">
                    <c:v>Cn.Prices</c:v>
                  </c:pt>
                  <c:pt idx="1">
                    <c:v>Ct.Prices</c:v>
                  </c:pt>
                </c:lvl>
                <c:lvl>
                  <c:pt idx="0">
                    <c:v>Tertiary Sector</c:v>
                  </c:pt>
                </c:lvl>
              </c:multiLvlStrCache>
            </c:multiLvlStrRef>
          </c:cat>
          <c:val>
            <c:numRef>
              <c:f>Sheet1!$E$57:$F$57</c:f>
              <c:numCache>
                <c:formatCode>General</c:formatCode>
                <c:ptCount val="2"/>
                <c:pt idx="0">
                  <c:v>5.49</c:v>
                </c:pt>
                <c:pt idx="1">
                  <c:v>14.25</c:v>
                </c:pt>
              </c:numCache>
            </c:numRef>
          </c:val>
        </c:ser>
        <c:marker val="1"/>
        <c:axId val="59203968"/>
        <c:axId val="59205504"/>
      </c:lineChart>
      <c:catAx>
        <c:axId val="59203968"/>
        <c:scaling>
          <c:orientation val="minMax"/>
        </c:scaling>
        <c:axPos val="b"/>
        <c:majorTickMark val="none"/>
        <c:tickLblPos val="nextTo"/>
        <c:txPr>
          <a:bodyPr/>
          <a:lstStyle/>
          <a:p>
            <a:pPr>
              <a:defRPr lang="en-US"/>
            </a:pPr>
            <a:endParaRPr lang="en-US"/>
          </a:p>
        </c:txPr>
        <c:crossAx val="59205504"/>
        <c:crosses val="autoZero"/>
        <c:auto val="1"/>
        <c:lblAlgn val="ctr"/>
        <c:lblOffset val="100"/>
      </c:catAx>
      <c:valAx>
        <c:axId val="59205504"/>
        <c:scaling>
          <c:orientation val="minMax"/>
        </c:scaling>
        <c:axPos val="l"/>
        <c:majorGridlines/>
        <c:numFmt formatCode="General" sourceLinked="1"/>
        <c:majorTickMark val="none"/>
        <c:tickLblPos val="nextTo"/>
        <c:txPr>
          <a:bodyPr/>
          <a:lstStyle/>
          <a:p>
            <a:pPr>
              <a:defRPr lang="en-US"/>
            </a:pPr>
            <a:endParaRPr lang="en-US"/>
          </a:p>
        </c:txPr>
        <c:crossAx val="59203968"/>
        <c:crosses val="autoZero"/>
        <c:crossBetween val="between"/>
      </c:valAx>
    </c:plotArea>
    <c:legend>
      <c:legendPos val="b"/>
      <c:layout/>
      <c:txPr>
        <a:bodyPr/>
        <a:lstStyle/>
        <a:p>
          <a:pPr>
            <a:defRPr lang="en-US"/>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2730</Words>
  <Characters>15562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 world</dc:creator>
  <cp:lastModifiedBy>Administrator</cp:lastModifiedBy>
  <cp:revision>3</cp:revision>
  <cp:lastPrinted>2014-07-17T03:16:00Z</cp:lastPrinted>
  <dcterms:created xsi:type="dcterms:W3CDTF">2014-07-16T06:29:00Z</dcterms:created>
  <dcterms:modified xsi:type="dcterms:W3CDTF">2014-07-17T03:20:00Z</dcterms:modified>
</cp:coreProperties>
</file>