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AE" w:rsidRPr="004E7B74" w:rsidRDefault="00846488" w:rsidP="004E7B74">
      <w:pPr>
        <w:bidi w:val="0"/>
        <w:snapToGrid w:val="0"/>
        <w:jc w:val="center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 xml:space="preserve">Using Some Organic Manures and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Em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</w:t>
      </w:r>
      <w:proofErr w:type="gramStart"/>
      <w:r w:rsidRPr="004E7B74">
        <w:rPr>
          <w:rFonts w:cs="Times New Roman"/>
          <w:b/>
          <w:bCs/>
          <w:sz w:val="20"/>
          <w:szCs w:val="20"/>
        </w:rPr>
        <w:t>As</w:t>
      </w:r>
      <w:proofErr w:type="gramEnd"/>
      <w:r w:rsidR="005C64E9">
        <w:rPr>
          <w:rFonts w:cs="Times New Roman"/>
          <w:b/>
          <w:bCs/>
          <w:sz w:val="20"/>
          <w:szCs w:val="20"/>
        </w:rPr>
        <w:t xml:space="preserve"> </w:t>
      </w:r>
      <w:r w:rsidR="0063377E" w:rsidRPr="004E7B74">
        <w:rPr>
          <w:rFonts w:cs="Times New Roman"/>
          <w:b/>
          <w:bCs/>
          <w:sz w:val="20"/>
          <w:szCs w:val="20"/>
        </w:rPr>
        <w:t>a</w:t>
      </w:r>
      <w:r w:rsidRPr="004E7B74">
        <w:rPr>
          <w:rFonts w:cs="Times New Roman"/>
          <w:b/>
          <w:bCs/>
          <w:sz w:val="20"/>
          <w:szCs w:val="20"/>
        </w:rPr>
        <w:t xml:space="preserve"> Partial Replacement of Mineral N Fertilizers </w:t>
      </w:r>
      <w:r w:rsidR="0063377E" w:rsidRPr="004E7B74">
        <w:rPr>
          <w:rFonts w:cs="Times New Roman"/>
          <w:b/>
          <w:bCs/>
          <w:sz w:val="20"/>
          <w:szCs w:val="20"/>
        </w:rPr>
        <w:t>i</w:t>
      </w:r>
      <w:r w:rsidRPr="004E7B74">
        <w:rPr>
          <w:rFonts w:cs="Times New Roman"/>
          <w:b/>
          <w:bCs/>
          <w:sz w:val="20"/>
          <w:szCs w:val="20"/>
        </w:rPr>
        <w:t>n Superior Vineyards</w:t>
      </w:r>
    </w:p>
    <w:p w:rsidR="00846488" w:rsidRPr="004E7B74" w:rsidRDefault="00846488" w:rsidP="004E7B74">
      <w:pPr>
        <w:bidi w:val="0"/>
        <w:snapToGrid w:val="0"/>
        <w:jc w:val="center"/>
        <w:rPr>
          <w:rFonts w:cs="Times New Roman"/>
          <w:sz w:val="20"/>
          <w:szCs w:val="20"/>
        </w:rPr>
      </w:pPr>
    </w:p>
    <w:p w:rsidR="00147EBD" w:rsidRPr="004E7B74" w:rsidRDefault="000E7AC6" w:rsidP="004E7B74">
      <w:pPr>
        <w:bidi w:val="0"/>
        <w:snapToGrid w:val="0"/>
        <w:jc w:val="center"/>
        <w:rPr>
          <w:rFonts w:cs="Times New Roman"/>
          <w:sz w:val="20"/>
          <w:szCs w:val="20"/>
        </w:rPr>
      </w:pPr>
      <w:proofErr w:type="spellStart"/>
      <w:r w:rsidRPr="004E7B74">
        <w:rPr>
          <w:rFonts w:cs="Times New Roman"/>
          <w:sz w:val="20"/>
          <w:szCs w:val="20"/>
        </w:rPr>
        <w:t>Faissal</w:t>
      </w:r>
      <w:proofErr w:type="spellEnd"/>
      <w:r w:rsidRPr="004E7B74">
        <w:rPr>
          <w:rFonts w:cs="Times New Roman"/>
          <w:sz w:val="20"/>
          <w:szCs w:val="20"/>
        </w:rPr>
        <w:t xml:space="preserve"> F. Ahmed </w:t>
      </w:r>
      <w:r w:rsidR="004F4DDD" w:rsidRPr="004E7B74">
        <w:rPr>
          <w:rFonts w:cs="Times New Roman"/>
          <w:sz w:val="20"/>
          <w:szCs w:val="20"/>
          <w:vertAlign w:val="superscript"/>
        </w:rPr>
        <w:t>1</w:t>
      </w:r>
      <w:r w:rsidRPr="004E7B74">
        <w:rPr>
          <w:rFonts w:cs="Times New Roman"/>
          <w:sz w:val="20"/>
          <w:szCs w:val="20"/>
        </w:rPr>
        <w:t>, Ah</w:t>
      </w:r>
      <w:r w:rsidR="00572F1E" w:rsidRPr="004E7B74">
        <w:rPr>
          <w:rFonts w:cs="Times New Roman"/>
          <w:sz w:val="20"/>
          <w:szCs w:val="20"/>
        </w:rPr>
        <w:t>m</w:t>
      </w:r>
      <w:r w:rsidRPr="004E7B74">
        <w:rPr>
          <w:rFonts w:cs="Times New Roman"/>
          <w:sz w:val="20"/>
          <w:szCs w:val="20"/>
        </w:rPr>
        <w:t>e</w:t>
      </w:r>
      <w:r w:rsidR="00572F1E" w:rsidRPr="004E7B74">
        <w:rPr>
          <w:rFonts w:cs="Times New Roman"/>
          <w:sz w:val="20"/>
          <w:szCs w:val="20"/>
        </w:rPr>
        <w:t>d H.M. Abdelaal</w:t>
      </w:r>
      <w:r w:rsidR="004F4DDD" w:rsidRPr="004E7B74">
        <w:rPr>
          <w:rFonts w:cs="Times New Roman"/>
          <w:sz w:val="20"/>
          <w:szCs w:val="20"/>
          <w:vertAlign w:val="superscript"/>
        </w:rPr>
        <w:t>2</w:t>
      </w:r>
      <w:r w:rsidR="00572F1E" w:rsidRPr="004E7B74">
        <w:rPr>
          <w:rFonts w:cs="Times New Roman"/>
          <w:sz w:val="20"/>
          <w:szCs w:val="20"/>
        </w:rPr>
        <w:t xml:space="preserve">, </w:t>
      </w:r>
      <w:proofErr w:type="spellStart"/>
      <w:r w:rsidR="00572F1E" w:rsidRPr="004E7B74">
        <w:rPr>
          <w:rFonts w:cs="Times New Roman"/>
          <w:sz w:val="20"/>
          <w:szCs w:val="20"/>
        </w:rPr>
        <w:t>Salah</w:t>
      </w:r>
      <w:proofErr w:type="spellEnd"/>
      <w:r w:rsidR="00572F1E" w:rsidRPr="004E7B74">
        <w:rPr>
          <w:rFonts w:cs="Times New Roman"/>
          <w:sz w:val="20"/>
          <w:szCs w:val="20"/>
        </w:rPr>
        <w:t xml:space="preserve"> E; </w:t>
      </w:r>
      <w:proofErr w:type="spellStart"/>
      <w:r w:rsidR="00FC1272" w:rsidRPr="004E7B74">
        <w:rPr>
          <w:rFonts w:cs="Times New Roman"/>
          <w:sz w:val="20"/>
          <w:szCs w:val="20"/>
        </w:rPr>
        <w:t>D</w:t>
      </w:r>
      <w:r w:rsidR="00572F1E" w:rsidRPr="004E7B74">
        <w:rPr>
          <w:rFonts w:cs="Times New Roman"/>
          <w:sz w:val="20"/>
          <w:szCs w:val="20"/>
        </w:rPr>
        <w:t>een</w:t>
      </w:r>
      <w:proofErr w:type="spellEnd"/>
      <w:r w:rsidR="00572F1E" w:rsidRPr="004E7B74">
        <w:rPr>
          <w:rFonts w:cs="Times New Roman"/>
          <w:sz w:val="20"/>
          <w:szCs w:val="20"/>
        </w:rPr>
        <w:t xml:space="preserve">, M.A. El- </w:t>
      </w:r>
      <w:proofErr w:type="spellStart"/>
      <w:r w:rsidR="00572F1E" w:rsidRPr="004E7B74">
        <w:rPr>
          <w:rFonts w:cs="Times New Roman"/>
          <w:sz w:val="20"/>
          <w:szCs w:val="20"/>
        </w:rPr>
        <w:t>Masry</w:t>
      </w:r>
      <w:proofErr w:type="spellEnd"/>
      <w:r w:rsidR="00572F1E" w:rsidRPr="004E7B74">
        <w:rPr>
          <w:rFonts w:cs="Times New Roman"/>
          <w:sz w:val="20"/>
          <w:szCs w:val="20"/>
        </w:rPr>
        <w:t xml:space="preserve"> </w:t>
      </w:r>
      <w:r w:rsidR="004F4DDD" w:rsidRPr="004E7B74">
        <w:rPr>
          <w:rFonts w:cs="Times New Roman"/>
          <w:sz w:val="20"/>
          <w:szCs w:val="20"/>
          <w:vertAlign w:val="superscript"/>
        </w:rPr>
        <w:t>2</w:t>
      </w:r>
      <w:r w:rsidR="00572F1E" w:rsidRPr="004E7B74">
        <w:rPr>
          <w:rFonts w:cs="Times New Roman"/>
          <w:sz w:val="20"/>
          <w:szCs w:val="20"/>
        </w:rPr>
        <w:t xml:space="preserve"> and </w:t>
      </w:r>
      <w:proofErr w:type="spellStart"/>
      <w:r w:rsidR="00572F1E" w:rsidRPr="004E7B74">
        <w:rPr>
          <w:rFonts w:cs="Times New Roman"/>
          <w:sz w:val="20"/>
          <w:szCs w:val="20"/>
        </w:rPr>
        <w:t>Sher</w:t>
      </w:r>
      <w:r w:rsidR="00B95FB2" w:rsidRPr="004E7B74">
        <w:rPr>
          <w:rFonts w:cs="Times New Roman"/>
          <w:sz w:val="20"/>
          <w:szCs w:val="20"/>
        </w:rPr>
        <w:t>i</w:t>
      </w:r>
      <w:r w:rsidR="00572F1E" w:rsidRPr="004E7B74">
        <w:rPr>
          <w:rFonts w:cs="Times New Roman"/>
          <w:sz w:val="20"/>
          <w:szCs w:val="20"/>
        </w:rPr>
        <w:t>f</w:t>
      </w:r>
      <w:proofErr w:type="spellEnd"/>
      <w:r w:rsidR="00572F1E" w:rsidRPr="004E7B74">
        <w:rPr>
          <w:rFonts w:cs="Times New Roman"/>
          <w:sz w:val="20"/>
          <w:szCs w:val="20"/>
        </w:rPr>
        <w:t xml:space="preserve"> M.M. Hassan </w:t>
      </w:r>
      <w:r w:rsidR="004F4DDD" w:rsidRPr="004E7B74">
        <w:rPr>
          <w:rFonts w:cs="Times New Roman"/>
          <w:sz w:val="20"/>
          <w:szCs w:val="20"/>
          <w:vertAlign w:val="superscript"/>
        </w:rPr>
        <w:t>2</w:t>
      </w:r>
    </w:p>
    <w:p w:rsidR="00846488" w:rsidRPr="004E7B74" w:rsidRDefault="00846488" w:rsidP="004E7B74">
      <w:pPr>
        <w:bidi w:val="0"/>
        <w:snapToGrid w:val="0"/>
        <w:jc w:val="center"/>
        <w:rPr>
          <w:rFonts w:cs="Times New Roman"/>
          <w:sz w:val="20"/>
          <w:szCs w:val="16"/>
        </w:rPr>
      </w:pPr>
    </w:p>
    <w:p w:rsidR="00572F1E" w:rsidRPr="004E7B74" w:rsidRDefault="004F4DDD" w:rsidP="004E7B74">
      <w:pPr>
        <w:bidi w:val="0"/>
        <w:snapToGrid w:val="0"/>
        <w:jc w:val="center"/>
        <w:rPr>
          <w:rFonts w:cs="Times New Roman"/>
          <w:sz w:val="20"/>
          <w:szCs w:val="20"/>
        </w:rPr>
      </w:pPr>
      <w:proofErr w:type="gramStart"/>
      <w:r w:rsidRPr="004E7B74">
        <w:rPr>
          <w:rFonts w:cs="Times New Roman"/>
          <w:sz w:val="20"/>
          <w:szCs w:val="20"/>
          <w:vertAlign w:val="superscript"/>
        </w:rPr>
        <w:t>1</w:t>
      </w:r>
      <w:r w:rsidR="00FC1272" w:rsidRPr="004E7B74">
        <w:rPr>
          <w:rFonts w:cs="Times New Roman"/>
          <w:sz w:val="20"/>
          <w:szCs w:val="20"/>
        </w:rPr>
        <w:t xml:space="preserve"> Hort. Dept. Fac. of Agric. </w:t>
      </w:r>
      <w:proofErr w:type="spellStart"/>
      <w:r w:rsidR="00FC1272" w:rsidRPr="004E7B74">
        <w:rPr>
          <w:rFonts w:cs="Times New Roman"/>
          <w:sz w:val="20"/>
          <w:szCs w:val="20"/>
        </w:rPr>
        <w:t>Minia</w:t>
      </w:r>
      <w:proofErr w:type="spellEnd"/>
      <w:r w:rsidR="00FC1272" w:rsidRPr="004E7B74">
        <w:rPr>
          <w:rFonts w:cs="Times New Roman"/>
          <w:sz w:val="20"/>
          <w:szCs w:val="20"/>
        </w:rPr>
        <w:t xml:space="preserve"> Univ. Egypt.</w:t>
      </w:r>
      <w:proofErr w:type="gramEnd"/>
    </w:p>
    <w:p w:rsidR="00FC1272" w:rsidRPr="004E7B74" w:rsidRDefault="004F4DDD" w:rsidP="004E7B74">
      <w:pPr>
        <w:bidi w:val="0"/>
        <w:snapToGrid w:val="0"/>
        <w:jc w:val="center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  <w:vertAlign w:val="superscript"/>
        </w:rPr>
        <w:t>2</w:t>
      </w:r>
      <w:r w:rsidR="00FC1272" w:rsidRPr="004E7B74">
        <w:rPr>
          <w:rFonts w:cs="Times New Roman"/>
          <w:sz w:val="20"/>
          <w:szCs w:val="20"/>
        </w:rPr>
        <w:t>Hort. Dept. Fac. of Agric. A</w:t>
      </w:r>
      <w:r w:rsidR="00651145" w:rsidRPr="004E7B74">
        <w:rPr>
          <w:rFonts w:cs="Times New Roman"/>
          <w:sz w:val="20"/>
          <w:szCs w:val="20"/>
        </w:rPr>
        <w:t>l-</w:t>
      </w:r>
      <w:proofErr w:type="spellStart"/>
      <w:r w:rsidR="00FC1272" w:rsidRPr="004E7B74">
        <w:rPr>
          <w:rFonts w:cs="Times New Roman"/>
          <w:sz w:val="20"/>
          <w:szCs w:val="20"/>
        </w:rPr>
        <w:t>Azh</w:t>
      </w:r>
      <w:r w:rsidR="00651145" w:rsidRPr="004E7B74">
        <w:rPr>
          <w:rFonts w:cs="Times New Roman"/>
          <w:sz w:val="20"/>
          <w:szCs w:val="20"/>
        </w:rPr>
        <w:t>a</w:t>
      </w:r>
      <w:r w:rsidR="00FC1272" w:rsidRPr="004E7B74">
        <w:rPr>
          <w:rFonts w:cs="Times New Roman"/>
          <w:sz w:val="20"/>
          <w:szCs w:val="20"/>
        </w:rPr>
        <w:t>r</w:t>
      </w:r>
      <w:proofErr w:type="spellEnd"/>
      <w:r w:rsidR="00FC1272" w:rsidRPr="004E7B74">
        <w:rPr>
          <w:rFonts w:cs="Times New Roman"/>
          <w:sz w:val="20"/>
          <w:szCs w:val="20"/>
        </w:rPr>
        <w:t xml:space="preserve"> Univ. </w:t>
      </w:r>
      <w:proofErr w:type="spellStart"/>
      <w:r w:rsidR="00BF36EA" w:rsidRPr="004E7B74">
        <w:rPr>
          <w:rFonts w:cs="Times New Roman"/>
          <w:sz w:val="20"/>
          <w:szCs w:val="20"/>
        </w:rPr>
        <w:t>A</w:t>
      </w:r>
      <w:r w:rsidR="00FC1272" w:rsidRPr="004E7B74">
        <w:rPr>
          <w:rFonts w:cs="Times New Roman"/>
          <w:sz w:val="20"/>
          <w:szCs w:val="20"/>
        </w:rPr>
        <w:t>ssiut</w:t>
      </w:r>
      <w:proofErr w:type="spellEnd"/>
      <w:r w:rsidR="007F3F9F" w:rsidRPr="004E7B74">
        <w:rPr>
          <w:rFonts w:cs="Times New Roman"/>
          <w:sz w:val="20"/>
          <w:szCs w:val="20"/>
        </w:rPr>
        <w:t>, Egypt</w:t>
      </w:r>
    </w:p>
    <w:p w:rsidR="00FC1272" w:rsidRPr="004E7B74" w:rsidRDefault="00FC1272" w:rsidP="004E7B74">
      <w:pPr>
        <w:bidi w:val="0"/>
        <w:snapToGrid w:val="0"/>
        <w:jc w:val="center"/>
        <w:rPr>
          <w:rFonts w:cs="Times New Roman"/>
          <w:sz w:val="20"/>
          <w:szCs w:val="20"/>
        </w:rPr>
      </w:pPr>
      <w:proofErr w:type="gramStart"/>
      <w:r w:rsidRPr="004E7B74">
        <w:rPr>
          <w:rFonts w:cs="Times New Roman"/>
          <w:sz w:val="20"/>
          <w:szCs w:val="20"/>
        </w:rPr>
        <w:t>Email.</w:t>
      </w:r>
      <w:proofErr w:type="gramEnd"/>
      <w:r w:rsidRPr="004E7B74">
        <w:rPr>
          <w:rFonts w:cs="Times New Roman"/>
          <w:sz w:val="20"/>
          <w:szCs w:val="20"/>
        </w:rPr>
        <w:t xml:space="preserve"> </w:t>
      </w:r>
      <w:hyperlink r:id="rId7" w:history="1">
        <w:r w:rsidRPr="004E7B74">
          <w:rPr>
            <w:rStyle w:val="Hyperlink"/>
            <w:rFonts w:cs="Times New Roman"/>
            <w:color w:val="0000CC"/>
            <w:sz w:val="20"/>
            <w:szCs w:val="20"/>
          </w:rPr>
          <w:t>Faissalfadel@yahoo.com</w:t>
        </w:r>
      </w:hyperlink>
    </w:p>
    <w:p w:rsidR="00846488" w:rsidRPr="004E7B74" w:rsidRDefault="00846488" w:rsidP="004E7B74">
      <w:pPr>
        <w:bidi w:val="0"/>
        <w:snapToGrid w:val="0"/>
        <w:jc w:val="center"/>
        <w:rPr>
          <w:rFonts w:cs="Times New Roman"/>
          <w:sz w:val="20"/>
          <w:szCs w:val="20"/>
        </w:rPr>
      </w:pPr>
    </w:p>
    <w:p w:rsidR="00BE36C5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 xml:space="preserve">Abstract: </w:t>
      </w:r>
      <w:r w:rsidR="005F1D11" w:rsidRPr="004E7B74">
        <w:rPr>
          <w:rFonts w:cs="Times New Roman"/>
          <w:sz w:val="20"/>
          <w:szCs w:val="20"/>
        </w:rPr>
        <w:t>During</w:t>
      </w:r>
      <w:r w:rsidR="00BE7C79" w:rsidRPr="004E7B74">
        <w:rPr>
          <w:rFonts w:cs="Times New Roman"/>
          <w:sz w:val="20"/>
          <w:szCs w:val="20"/>
        </w:rPr>
        <w:t xml:space="preserve"> 2013 and 2014 seasons</w:t>
      </w:r>
      <w:r w:rsidR="0000728A" w:rsidRPr="004E7B74">
        <w:rPr>
          <w:rFonts w:cs="Times New Roman"/>
          <w:sz w:val="20"/>
          <w:szCs w:val="20"/>
        </w:rPr>
        <w:t>, Superi</w:t>
      </w:r>
      <w:r w:rsidR="005F1D11" w:rsidRPr="004E7B74">
        <w:rPr>
          <w:rFonts w:cs="Times New Roman"/>
          <w:sz w:val="20"/>
          <w:szCs w:val="20"/>
        </w:rPr>
        <w:t>o</w:t>
      </w:r>
      <w:r w:rsidR="0000728A" w:rsidRPr="004E7B74">
        <w:rPr>
          <w:rFonts w:cs="Times New Roman"/>
          <w:sz w:val="20"/>
          <w:szCs w:val="20"/>
        </w:rPr>
        <w:t>r grapevines</w:t>
      </w:r>
      <w:r w:rsidR="00BE7C79" w:rsidRPr="004E7B74">
        <w:rPr>
          <w:rFonts w:cs="Times New Roman"/>
          <w:sz w:val="20"/>
          <w:szCs w:val="20"/>
        </w:rPr>
        <w:t xml:space="preserve"> fertilized with </w:t>
      </w:r>
      <w:r w:rsidR="00651145" w:rsidRPr="004E7B74">
        <w:rPr>
          <w:rFonts w:cs="Times New Roman"/>
          <w:sz w:val="20"/>
          <w:szCs w:val="20"/>
        </w:rPr>
        <w:t>N</w:t>
      </w:r>
      <w:r w:rsidR="00BE7C79" w:rsidRPr="004E7B74">
        <w:rPr>
          <w:rFonts w:cs="Times New Roman"/>
          <w:sz w:val="20"/>
          <w:szCs w:val="20"/>
        </w:rPr>
        <w:t xml:space="preserve"> as 100 % inorganic N fertilizer or through 25 to 75%</w:t>
      </w:r>
      <w:r w:rsidR="001A7398" w:rsidRPr="004E7B74">
        <w:rPr>
          <w:rFonts w:cs="Times New Roman"/>
          <w:sz w:val="20"/>
          <w:szCs w:val="20"/>
        </w:rPr>
        <w:t xml:space="preserve"> inorganic N fertilizer + 25 to 75% three organic manures namely poultry manure (2</w:t>
      </w:r>
      <w:r w:rsidR="00DA33BF" w:rsidRPr="004E7B74">
        <w:rPr>
          <w:rFonts w:cs="Times New Roman"/>
          <w:sz w:val="20"/>
          <w:szCs w:val="20"/>
        </w:rPr>
        <w:t>.</w:t>
      </w:r>
      <w:r w:rsidR="001A7398" w:rsidRPr="004E7B74">
        <w:rPr>
          <w:rFonts w:cs="Times New Roman"/>
          <w:sz w:val="20"/>
          <w:szCs w:val="20"/>
        </w:rPr>
        <w:t xml:space="preserve">5 % N); plant compost </w:t>
      </w:r>
      <w:r w:rsidR="005C64E9">
        <w:rPr>
          <w:rFonts w:cs="Times New Roman"/>
          <w:sz w:val="20"/>
          <w:szCs w:val="20"/>
        </w:rPr>
        <w:t>(</w:t>
      </w:r>
      <w:r w:rsidR="001A7398" w:rsidRPr="004E7B74">
        <w:rPr>
          <w:rFonts w:cs="Times New Roman"/>
          <w:sz w:val="20"/>
          <w:szCs w:val="20"/>
        </w:rPr>
        <w:t xml:space="preserve">2 % N) and farmyard manure </w:t>
      </w:r>
      <w:r w:rsidR="00DA33BF" w:rsidRPr="004E7B74">
        <w:rPr>
          <w:rFonts w:cs="Times New Roman"/>
          <w:sz w:val="20"/>
          <w:szCs w:val="20"/>
        </w:rPr>
        <w:t>(0.25% N) + 15 to 45</w:t>
      </w:r>
      <w:r w:rsidR="001A7398" w:rsidRPr="004E7B74">
        <w:rPr>
          <w:rFonts w:cs="Times New Roman"/>
          <w:sz w:val="20"/>
          <w:szCs w:val="20"/>
        </w:rPr>
        <w:t xml:space="preserve"> ml EM/ vine/ year. The merit was replacing inorganic N partially by using these organic manures and EM for improving yield lowering pollu</w:t>
      </w:r>
      <w:r w:rsidR="00CD3584" w:rsidRPr="004E7B74">
        <w:rPr>
          <w:rFonts w:cs="Times New Roman"/>
          <w:sz w:val="20"/>
          <w:szCs w:val="20"/>
        </w:rPr>
        <w:t>tion and enhancing the efficiency</w:t>
      </w:r>
      <w:r w:rsidR="001A7398" w:rsidRPr="004E7B74">
        <w:rPr>
          <w:rFonts w:cs="Times New Roman"/>
          <w:sz w:val="20"/>
          <w:szCs w:val="20"/>
        </w:rPr>
        <w:t xml:space="preserve"> of exportation to foreign markets.</w:t>
      </w:r>
      <w:r w:rsidR="005C64E9">
        <w:rPr>
          <w:rFonts w:cs="Times New Roman"/>
          <w:sz w:val="20"/>
          <w:szCs w:val="20"/>
        </w:rPr>
        <w:t xml:space="preserve"> </w:t>
      </w:r>
      <w:r w:rsidR="00F42DE2" w:rsidRPr="004E7B74">
        <w:rPr>
          <w:rFonts w:cs="Times New Roman"/>
          <w:sz w:val="20"/>
          <w:szCs w:val="20"/>
        </w:rPr>
        <w:t>Growth characters, berry setting</w:t>
      </w:r>
      <w:r w:rsidR="002432AD" w:rsidRPr="004E7B74">
        <w:rPr>
          <w:rFonts w:cs="Times New Roman"/>
          <w:sz w:val="20"/>
          <w:szCs w:val="20"/>
        </w:rPr>
        <w:t xml:space="preserve"> </w:t>
      </w:r>
      <w:r w:rsidR="00F42DE2" w:rsidRPr="004E7B74">
        <w:rPr>
          <w:rFonts w:cs="Times New Roman"/>
          <w:sz w:val="20"/>
          <w:szCs w:val="20"/>
        </w:rPr>
        <w:t xml:space="preserve">%, yield and cluster characters were remarkably improved with using N as 50% inorganic N + 50% organic manures + 30 ml EM/ vine/ year. Leaf pigments, various </w:t>
      </w:r>
      <w:r w:rsidR="00AA3D7E" w:rsidRPr="004E7B74">
        <w:rPr>
          <w:rFonts w:cs="Times New Roman"/>
          <w:sz w:val="20"/>
          <w:szCs w:val="20"/>
        </w:rPr>
        <w:t>nutrien</w:t>
      </w:r>
      <w:r w:rsidR="00B14F80" w:rsidRPr="004E7B74">
        <w:rPr>
          <w:rFonts w:cs="Times New Roman"/>
          <w:sz w:val="20"/>
          <w:szCs w:val="20"/>
        </w:rPr>
        <w:t>t</w:t>
      </w:r>
      <w:r w:rsidR="00AA3D7E" w:rsidRPr="004E7B74">
        <w:rPr>
          <w:rFonts w:cs="Times New Roman"/>
          <w:sz w:val="20"/>
          <w:szCs w:val="20"/>
        </w:rPr>
        <w:t>s as well a</w:t>
      </w:r>
      <w:r w:rsidR="00B14F80" w:rsidRPr="004E7B74">
        <w:rPr>
          <w:rFonts w:cs="Times New Roman"/>
          <w:sz w:val="20"/>
          <w:szCs w:val="20"/>
        </w:rPr>
        <w:t>s physi</w:t>
      </w:r>
      <w:r w:rsidR="00AA3D7E" w:rsidRPr="004E7B74">
        <w:rPr>
          <w:rFonts w:cs="Times New Roman"/>
          <w:sz w:val="20"/>
          <w:szCs w:val="20"/>
        </w:rPr>
        <w:t>cal and chemical characteristic</w:t>
      </w:r>
      <w:r w:rsidR="00B14F80" w:rsidRPr="004E7B74">
        <w:rPr>
          <w:rFonts w:cs="Times New Roman"/>
          <w:sz w:val="20"/>
          <w:szCs w:val="20"/>
        </w:rPr>
        <w:t>s of the berries were gradually improved owing to decreasing the percentages of the inorganic N from 100 to 25</w:t>
      </w:r>
      <w:r w:rsidR="0015625A" w:rsidRPr="004E7B74">
        <w:rPr>
          <w:rFonts w:cs="Times New Roman"/>
          <w:sz w:val="20"/>
          <w:szCs w:val="20"/>
        </w:rPr>
        <w:t>.0</w:t>
      </w:r>
      <w:r w:rsidR="00B14F80" w:rsidRPr="004E7B74">
        <w:rPr>
          <w:rFonts w:cs="Times New Roman"/>
          <w:sz w:val="20"/>
          <w:szCs w:val="20"/>
        </w:rPr>
        <w:t xml:space="preserve"> and increasing the percentages of organic manure from 0.0 to 75% and levels of EM from 0.0 to 45 ml/ vine / year. Shot berries % was </w:t>
      </w:r>
      <w:r w:rsidR="00BE36C5" w:rsidRPr="004E7B74">
        <w:rPr>
          <w:rFonts w:cs="Times New Roman"/>
          <w:sz w:val="20"/>
          <w:szCs w:val="20"/>
        </w:rPr>
        <w:t>gradually reduced with decreasing percentages of inorganic N and increasing organic an</w:t>
      </w:r>
      <w:r w:rsidR="00FC0831" w:rsidRPr="004E7B74">
        <w:rPr>
          <w:rFonts w:cs="Times New Roman"/>
          <w:sz w:val="20"/>
          <w:szCs w:val="20"/>
        </w:rPr>
        <w:t>d</w:t>
      </w:r>
      <w:r w:rsidR="00BE36C5" w:rsidRPr="004E7B74">
        <w:rPr>
          <w:rFonts w:cs="Times New Roman"/>
          <w:sz w:val="20"/>
          <w:szCs w:val="20"/>
        </w:rPr>
        <w:t xml:space="preserve"> </w:t>
      </w:r>
      <w:proofErr w:type="spellStart"/>
      <w:r w:rsidR="00BE36C5" w:rsidRPr="004E7B74">
        <w:rPr>
          <w:rFonts w:cs="Times New Roman"/>
          <w:sz w:val="20"/>
          <w:szCs w:val="20"/>
        </w:rPr>
        <w:t>biofertilization</w:t>
      </w:r>
      <w:proofErr w:type="spellEnd"/>
      <w:r w:rsidR="00BE36C5" w:rsidRPr="004E7B74">
        <w:rPr>
          <w:rFonts w:cs="Times New Roman"/>
          <w:sz w:val="20"/>
          <w:szCs w:val="20"/>
        </w:rPr>
        <w:t xml:space="preserve"> levels.</w:t>
      </w:r>
      <w:r w:rsidR="005C64E9">
        <w:rPr>
          <w:rFonts w:cs="Times New Roman"/>
          <w:sz w:val="20"/>
          <w:szCs w:val="20"/>
        </w:rPr>
        <w:t xml:space="preserve"> </w:t>
      </w:r>
      <w:r w:rsidR="00AC00E4" w:rsidRPr="004E7B74">
        <w:rPr>
          <w:rFonts w:cs="Times New Roman"/>
          <w:sz w:val="20"/>
          <w:szCs w:val="20"/>
        </w:rPr>
        <w:t>The best results with</w:t>
      </w:r>
      <w:r w:rsidR="00BE36C5" w:rsidRPr="004E7B74">
        <w:rPr>
          <w:rFonts w:cs="Times New Roman"/>
          <w:sz w:val="20"/>
          <w:szCs w:val="20"/>
        </w:rPr>
        <w:t xml:space="preserve"> regard to yield and quality of the berries </w:t>
      </w:r>
      <w:r w:rsidR="00896734" w:rsidRPr="004E7B74">
        <w:rPr>
          <w:rFonts w:cs="Times New Roman"/>
          <w:sz w:val="20"/>
          <w:szCs w:val="20"/>
        </w:rPr>
        <w:t>were obtained due to treating the vines with N as 50% inorganic N + 50 % poultry manure + 30 ml EM/ vine / year</w:t>
      </w:r>
      <w:r w:rsidR="005C64E9">
        <w:rPr>
          <w:rFonts w:cs="Times New Roman"/>
          <w:sz w:val="20"/>
          <w:szCs w:val="20"/>
        </w:rPr>
        <w:t xml:space="preserve"> </w:t>
      </w:r>
      <w:proofErr w:type="gramStart"/>
      <w:r w:rsidR="00896734" w:rsidRPr="004E7B74">
        <w:rPr>
          <w:rFonts w:cs="Times New Roman"/>
          <w:sz w:val="20"/>
          <w:szCs w:val="20"/>
        </w:rPr>
        <w:t>Both</w:t>
      </w:r>
      <w:proofErr w:type="gramEnd"/>
      <w:r w:rsidR="00896734" w:rsidRPr="004E7B74">
        <w:rPr>
          <w:rFonts w:cs="Times New Roman"/>
          <w:sz w:val="20"/>
          <w:szCs w:val="20"/>
        </w:rPr>
        <w:t xml:space="preserve"> nitrite and nitrate in the juice were substantially reduced in such promised treatment.</w:t>
      </w:r>
    </w:p>
    <w:p w:rsidR="004E7B74" w:rsidRPr="004E7B74" w:rsidRDefault="00846488" w:rsidP="004E7B74">
      <w:pPr>
        <w:pStyle w:val="Default"/>
        <w:snapToGrid w:val="0"/>
        <w:jc w:val="both"/>
        <w:rPr>
          <w:sz w:val="20"/>
          <w:szCs w:val="20"/>
        </w:rPr>
      </w:pPr>
      <w:proofErr w:type="gramStart"/>
      <w:r w:rsidRPr="004E7B74">
        <w:rPr>
          <w:b/>
          <w:bCs/>
          <w:sz w:val="20"/>
          <w:szCs w:val="20"/>
          <w:u w:val="single"/>
        </w:rPr>
        <w:t>[</w:t>
      </w:r>
      <w:proofErr w:type="spellStart"/>
      <w:r w:rsidRPr="004E7B74">
        <w:rPr>
          <w:sz w:val="20"/>
          <w:szCs w:val="20"/>
        </w:rPr>
        <w:t>Faissal</w:t>
      </w:r>
      <w:proofErr w:type="spellEnd"/>
      <w:r w:rsidRPr="004E7B74">
        <w:rPr>
          <w:sz w:val="20"/>
          <w:szCs w:val="20"/>
        </w:rPr>
        <w:t xml:space="preserve"> F. Ahmed</w:t>
      </w:r>
      <w:r w:rsidR="005C64E9">
        <w:rPr>
          <w:sz w:val="20"/>
          <w:szCs w:val="20"/>
        </w:rPr>
        <w:t>,</w:t>
      </w:r>
      <w:r w:rsidRPr="004E7B74">
        <w:rPr>
          <w:sz w:val="20"/>
          <w:szCs w:val="20"/>
        </w:rPr>
        <w:t xml:space="preserve"> Ahmed H.M. </w:t>
      </w:r>
      <w:proofErr w:type="spellStart"/>
      <w:r w:rsidRPr="004E7B74">
        <w:rPr>
          <w:sz w:val="20"/>
          <w:szCs w:val="20"/>
        </w:rPr>
        <w:t>Abdelaal</w:t>
      </w:r>
      <w:proofErr w:type="spellEnd"/>
      <w:r w:rsidRPr="004E7B74">
        <w:rPr>
          <w:sz w:val="20"/>
          <w:szCs w:val="20"/>
        </w:rPr>
        <w:t xml:space="preserve">, </w:t>
      </w:r>
      <w:proofErr w:type="spellStart"/>
      <w:r w:rsidRPr="004E7B74">
        <w:rPr>
          <w:sz w:val="20"/>
          <w:szCs w:val="20"/>
        </w:rPr>
        <w:t>Salah</w:t>
      </w:r>
      <w:proofErr w:type="spellEnd"/>
      <w:r w:rsidRPr="004E7B74">
        <w:rPr>
          <w:sz w:val="20"/>
          <w:szCs w:val="20"/>
        </w:rPr>
        <w:t xml:space="preserve"> E; </w:t>
      </w:r>
      <w:proofErr w:type="spellStart"/>
      <w:r w:rsidRPr="004E7B74">
        <w:rPr>
          <w:sz w:val="20"/>
          <w:szCs w:val="20"/>
        </w:rPr>
        <w:t>Deen</w:t>
      </w:r>
      <w:proofErr w:type="spellEnd"/>
      <w:r w:rsidRPr="004E7B74">
        <w:rPr>
          <w:sz w:val="20"/>
          <w:szCs w:val="20"/>
        </w:rPr>
        <w:t xml:space="preserve">, M.A. El- </w:t>
      </w:r>
      <w:proofErr w:type="spellStart"/>
      <w:r w:rsidRPr="004E7B74">
        <w:rPr>
          <w:sz w:val="20"/>
          <w:szCs w:val="20"/>
        </w:rPr>
        <w:t>Masry</w:t>
      </w:r>
      <w:proofErr w:type="spellEnd"/>
      <w:r w:rsidR="005C64E9">
        <w:rPr>
          <w:sz w:val="20"/>
          <w:szCs w:val="20"/>
        </w:rPr>
        <w:t xml:space="preserve"> </w:t>
      </w:r>
      <w:r w:rsidRPr="004E7B74">
        <w:rPr>
          <w:sz w:val="20"/>
          <w:szCs w:val="20"/>
        </w:rPr>
        <w:t xml:space="preserve">and </w:t>
      </w:r>
      <w:proofErr w:type="spellStart"/>
      <w:r w:rsidRPr="004E7B74">
        <w:rPr>
          <w:sz w:val="20"/>
          <w:szCs w:val="20"/>
        </w:rPr>
        <w:t>Sherif</w:t>
      </w:r>
      <w:proofErr w:type="spellEnd"/>
      <w:r w:rsidRPr="004E7B74">
        <w:rPr>
          <w:sz w:val="20"/>
          <w:szCs w:val="20"/>
        </w:rPr>
        <w:t xml:space="preserve"> M.M. Hassan</w:t>
      </w:r>
      <w:r w:rsidR="004E7B74">
        <w:rPr>
          <w:rFonts w:hint="eastAsia"/>
          <w:sz w:val="20"/>
          <w:szCs w:val="20"/>
        </w:rPr>
        <w:t>.</w:t>
      </w:r>
      <w:proofErr w:type="gramEnd"/>
      <w:r w:rsidRPr="004E7B74">
        <w:rPr>
          <w:sz w:val="20"/>
          <w:szCs w:val="20"/>
        </w:rPr>
        <w:t xml:space="preserve"> </w:t>
      </w:r>
      <w:r w:rsidRPr="004E7B74">
        <w:rPr>
          <w:b/>
          <w:bCs/>
          <w:sz w:val="20"/>
          <w:szCs w:val="20"/>
        </w:rPr>
        <w:t xml:space="preserve">Using Some Organic Manures and </w:t>
      </w:r>
      <w:proofErr w:type="spellStart"/>
      <w:r w:rsidRPr="004E7B74">
        <w:rPr>
          <w:b/>
          <w:bCs/>
          <w:sz w:val="20"/>
          <w:szCs w:val="20"/>
        </w:rPr>
        <w:t>Em</w:t>
      </w:r>
      <w:proofErr w:type="spellEnd"/>
      <w:r w:rsidRPr="004E7B74">
        <w:rPr>
          <w:b/>
          <w:bCs/>
          <w:sz w:val="20"/>
          <w:szCs w:val="20"/>
        </w:rPr>
        <w:t xml:space="preserve"> </w:t>
      </w:r>
      <w:proofErr w:type="gramStart"/>
      <w:r w:rsidRPr="004E7B74">
        <w:rPr>
          <w:b/>
          <w:bCs/>
          <w:sz w:val="20"/>
          <w:szCs w:val="20"/>
        </w:rPr>
        <w:t>As</w:t>
      </w:r>
      <w:proofErr w:type="gramEnd"/>
      <w:r w:rsidR="005C64E9">
        <w:rPr>
          <w:b/>
          <w:bCs/>
          <w:sz w:val="20"/>
          <w:szCs w:val="20"/>
        </w:rPr>
        <w:t xml:space="preserve"> </w:t>
      </w:r>
      <w:r w:rsidR="0063377E" w:rsidRPr="004E7B74">
        <w:rPr>
          <w:b/>
          <w:bCs/>
          <w:sz w:val="20"/>
          <w:szCs w:val="20"/>
        </w:rPr>
        <w:t>a</w:t>
      </w:r>
      <w:r w:rsidRPr="004E7B74">
        <w:rPr>
          <w:b/>
          <w:bCs/>
          <w:sz w:val="20"/>
          <w:szCs w:val="20"/>
        </w:rPr>
        <w:t xml:space="preserve"> Partial Replacement of Mineral N Fertilizers </w:t>
      </w:r>
      <w:r w:rsidR="0063377E" w:rsidRPr="004E7B74">
        <w:rPr>
          <w:b/>
          <w:bCs/>
          <w:sz w:val="20"/>
          <w:szCs w:val="20"/>
        </w:rPr>
        <w:t>i</w:t>
      </w:r>
      <w:r w:rsidRPr="004E7B74">
        <w:rPr>
          <w:b/>
          <w:bCs/>
          <w:sz w:val="20"/>
          <w:szCs w:val="20"/>
        </w:rPr>
        <w:t>n Superior Vineyards</w:t>
      </w:r>
      <w:r w:rsidR="004E7B74" w:rsidRPr="004E7B74">
        <w:rPr>
          <w:rFonts w:eastAsia="Times New Roman"/>
          <w:b/>
          <w:bCs/>
          <w:sz w:val="20"/>
          <w:szCs w:val="20"/>
          <w:lang w:bidi="fa-IR"/>
        </w:rPr>
        <w:t>.</w:t>
      </w:r>
      <w:r w:rsidR="004E7B74" w:rsidRPr="004E7B74">
        <w:rPr>
          <w:rFonts w:hint="eastAsia"/>
          <w:iCs/>
          <w:sz w:val="20"/>
          <w:szCs w:val="20"/>
        </w:rPr>
        <w:t xml:space="preserve"> </w:t>
      </w:r>
      <w:r w:rsidR="004E7B74" w:rsidRPr="004E7B74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="004E7B74" w:rsidRPr="004E7B74">
        <w:rPr>
          <w:rFonts w:eastAsia="Times New Roman"/>
          <w:bCs/>
          <w:i/>
          <w:sz w:val="20"/>
          <w:szCs w:val="20"/>
        </w:rPr>
        <w:t>Observ</w:t>
      </w:r>
      <w:proofErr w:type="spellEnd"/>
      <w:r w:rsidR="004E7B74" w:rsidRPr="004E7B74">
        <w:rPr>
          <w:rFonts w:eastAsia="Times New Roman"/>
          <w:bCs/>
          <w:sz w:val="20"/>
          <w:szCs w:val="20"/>
        </w:rPr>
        <w:t xml:space="preserve"> </w:t>
      </w:r>
      <w:r w:rsidR="004E7B74" w:rsidRPr="004E7B74">
        <w:rPr>
          <w:sz w:val="20"/>
          <w:szCs w:val="20"/>
        </w:rPr>
        <w:t>201</w:t>
      </w:r>
      <w:r w:rsidR="004E7B74" w:rsidRPr="004E7B74">
        <w:rPr>
          <w:rFonts w:hint="eastAsia"/>
          <w:sz w:val="20"/>
          <w:szCs w:val="20"/>
        </w:rPr>
        <w:t>5</w:t>
      </w:r>
      <w:proofErr w:type="gramStart"/>
      <w:r w:rsidR="004E7B74" w:rsidRPr="004E7B74">
        <w:rPr>
          <w:sz w:val="20"/>
          <w:szCs w:val="20"/>
        </w:rPr>
        <w:t>;</w:t>
      </w:r>
      <w:r w:rsidR="004E7B74" w:rsidRPr="004E7B74">
        <w:rPr>
          <w:rFonts w:hint="eastAsia"/>
          <w:sz w:val="20"/>
          <w:szCs w:val="20"/>
        </w:rPr>
        <w:t>7</w:t>
      </w:r>
      <w:proofErr w:type="gramEnd"/>
      <w:r w:rsidR="004E7B74" w:rsidRPr="004E7B74">
        <w:rPr>
          <w:sz w:val="20"/>
          <w:szCs w:val="20"/>
        </w:rPr>
        <w:t>(</w:t>
      </w:r>
      <w:r w:rsidR="004E7B74" w:rsidRPr="004E7B74">
        <w:rPr>
          <w:rFonts w:hint="eastAsia"/>
          <w:sz w:val="20"/>
          <w:szCs w:val="20"/>
        </w:rPr>
        <w:t>3</w:t>
      </w:r>
      <w:r w:rsidR="004E7B74" w:rsidRPr="004E7B74">
        <w:rPr>
          <w:sz w:val="20"/>
          <w:szCs w:val="20"/>
        </w:rPr>
        <w:t>):</w:t>
      </w:r>
      <w:r w:rsidR="008F43E5">
        <w:rPr>
          <w:noProof/>
          <w:sz w:val="20"/>
          <w:szCs w:val="20"/>
        </w:rPr>
        <w:t>76</w:t>
      </w:r>
      <w:r w:rsidR="004E7B74" w:rsidRPr="004E7B74">
        <w:rPr>
          <w:sz w:val="20"/>
          <w:szCs w:val="20"/>
        </w:rPr>
        <w:t>-</w:t>
      </w:r>
      <w:r w:rsidR="008F43E5">
        <w:rPr>
          <w:noProof/>
          <w:sz w:val="20"/>
          <w:szCs w:val="20"/>
        </w:rPr>
        <w:t>84</w:t>
      </w:r>
      <w:r w:rsidR="004E7B74" w:rsidRPr="004E7B74">
        <w:rPr>
          <w:sz w:val="20"/>
          <w:szCs w:val="20"/>
        </w:rPr>
        <w:t>]</w:t>
      </w:r>
      <w:r w:rsidR="004E7B74" w:rsidRPr="004E7B74">
        <w:rPr>
          <w:rFonts w:hint="eastAsia"/>
          <w:sz w:val="20"/>
          <w:szCs w:val="20"/>
        </w:rPr>
        <w:t>.</w:t>
      </w:r>
      <w:r w:rsidR="004E7B74" w:rsidRPr="004E7B74">
        <w:rPr>
          <w:sz w:val="20"/>
          <w:szCs w:val="20"/>
        </w:rPr>
        <w:t xml:space="preserve"> ISSN: 1944-6543 (Print); ISSN: 1944-6551 (Online). </w:t>
      </w:r>
      <w:hyperlink r:id="rId8" w:history="1">
        <w:r w:rsidR="004E7B74" w:rsidRPr="004E7B74">
          <w:rPr>
            <w:rStyle w:val="Hyperlink"/>
            <w:sz w:val="20"/>
            <w:szCs w:val="20"/>
          </w:rPr>
          <w:t>http://www.sciencepub.net/rural</w:t>
        </w:r>
      </w:hyperlink>
      <w:r w:rsidR="004E7B74" w:rsidRPr="004E7B74">
        <w:rPr>
          <w:sz w:val="20"/>
          <w:szCs w:val="20"/>
        </w:rPr>
        <w:t>.</w:t>
      </w:r>
      <w:r w:rsidR="004E7B74" w:rsidRPr="004E7B74">
        <w:rPr>
          <w:rFonts w:hint="eastAsia"/>
          <w:sz w:val="20"/>
          <w:szCs w:val="20"/>
        </w:rPr>
        <w:t xml:space="preserve"> </w:t>
      </w:r>
      <w:r w:rsidR="004E7B74">
        <w:rPr>
          <w:rFonts w:hint="eastAsia"/>
          <w:sz w:val="20"/>
          <w:szCs w:val="20"/>
        </w:rPr>
        <w:t>13</w:t>
      </w:r>
    </w:p>
    <w:p w:rsidR="00846488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6"/>
        </w:rPr>
      </w:pPr>
    </w:p>
    <w:p w:rsidR="00896734" w:rsidRPr="004E7B74" w:rsidRDefault="00BB0A06" w:rsidP="004E7B74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>Keywords:</w:t>
      </w:r>
      <w:r w:rsidR="005C64E9">
        <w:rPr>
          <w:rFonts w:cs="Times New Roman"/>
          <w:sz w:val="20"/>
          <w:szCs w:val="20"/>
        </w:rPr>
        <w:t xml:space="preserve"> </w:t>
      </w:r>
      <w:r w:rsidR="00A72C92" w:rsidRPr="004E7B74">
        <w:rPr>
          <w:rFonts w:cs="Times New Roman"/>
          <w:sz w:val="20"/>
          <w:szCs w:val="20"/>
        </w:rPr>
        <w:t>I</w:t>
      </w:r>
      <w:r w:rsidR="00921184" w:rsidRPr="004E7B74">
        <w:rPr>
          <w:rFonts w:cs="Times New Roman"/>
          <w:sz w:val="20"/>
          <w:szCs w:val="20"/>
        </w:rPr>
        <w:t>norganic N, organic manures</w:t>
      </w:r>
      <w:r w:rsidR="006E2558" w:rsidRPr="004E7B74">
        <w:rPr>
          <w:rFonts w:cs="Times New Roman"/>
          <w:sz w:val="20"/>
          <w:szCs w:val="20"/>
        </w:rPr>
        <w:t>, EM</w:t>
      </w:r>
      <w:r w:rsidR="00A72C92" w:rsidRPr="004E7B74">
        <w:rPr>
          <w:rFonts w:cs="Times New Roman"/>
          <w:sz w:val="20"/>
          <w:szCs w:val="20"/>
        </w:rPr>
        <w:t>,</w:t>
      </w:r>
      <w:r w:rsidR="006E2558" w:rsidRPr="004E7B74">
        <w:rPr>
          <w:rFonts w:cs="Times New Roman"/>
          <w:sz w:val="20"/>
          <w:szCs w:val="20"/>
        </w:rPr>
        <w:t xml:space="preserve"> pollution, yield, Superior grapevines.</w:t>
      </w:r>
    </w:p>
    <w:p w:rsidR="00846488" w:rsidRPr="004E7B74" w:rsidRDefault="00846488" w:rsidP="004E7B74">
      <w:pPr>
        <w:bidi w:val="0"/>
        <w:snapToGrid w:val="0"/>
        <w:jc w:val="both"/>
        <w:rPr>
          <w:rFonts w:cs="Times New Roman"/>
          <w:sz w:val="20"/>
          <w:szCs w:val="30"/>
        </w:rPr>
      </w:pPr>
    </w:p>
    <w:p w:rsidR="004E7B74" w:rsidRDefault="004E7B74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  <w:sectPr w:rsidR="004E7B74" w:rsidSect="008F43E5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76"/>
          <w:cols w:space="708"/>
          <w:bidi/>
          <w:docGrid w:linePitch="435"/>
        </w:sectPr>
      </w:pPr>
    </w:p>
    <w:p w:rsidR="006E2558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lastRenderedPageBreak/>
        <w:t>1. Introduction</w:t>
      </w:r>
    </w:p>
    <w:p w:rsidR="000B60F2" w:rsidRPr="004E7B74" w:rsidRDefault="00D805C8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Recently, many trials were made for the use of many natur</w:t>
      </w:r>
      <w:r w:rsidR="00585453" w:rsidRPr="004E7B74">
        <w:rPr>
          <w:rFonts w:cs="Times New Roman"/>
          <w:sz w:val="20"/>
          <w:szCs w:val="20"/>
        </w:rPr>
        <w:t>al</w:t>
      </w:r>
      <w:r w:rsidRPr="004E7B74">
        <w:rPr>
          <w:rFonts w:cs="Times New Roman"/>
          <w:sz w:val="20"/>
          <w:szCs w:val="20"/>
        </w:rPr>
        <w:t xml:space="preserve"> substances instead of chemicals for enhancing the efficiency of fruits exportation to foreign markets. Using organic manures and EM are considered </w:t>
      </w:r>
      <w:r w:rsidR="002F5D2D" w:rsidRPr="004E7B74">
        <w:rPr>
          <w:rFonts w:cs="Times New Roman"/>
          <w:sz w:val="20"/>
          <w:szCs w:val="20"/>
        </w:rPr>
        <w:t xml:space="preserve">the important replacement of these chemicals. Organic manures are responsible for enhancing </w:t>
      </w:r>
      <w:r w:rsidR="004F0B5A" w:rsidRPr="004E7B74">
        <w:rPr>
          <w:rFonts w:cs="Times New Roman"/>
          <w:sz w:val="20"/>
          <w:szCs w:val="20"/>
        </w:rPr>
        <w:t>soil fertility, water retention</w:t>
      </w:r>
      <w:r w:rsidR="00313009" w:rsidRPr="004E7B74">
        <w:rPr>
          <w:rFonts w:cs="Times New Roman"/>
          <w:sz w:val="20"/>
          <w:szCs w:val="20"/>
        </w:rPr>
        <w:t>, o</w:t>
      </w:r>
      <w:r w:rsidR="007F127F" w:rsidRPr="004E7B74">
        <w:rPr>
          <w:rFonts w:cs="Times New Roman"/>
          <w:sz w:val="20"/>
          <w:szCs w:val="20"/>
        </w:rPr>
        <w:t>rganic matter, root development</w:t>
      </w:r>
      <w:r w:rsidR="00313009" w:rsidRPr="004E7B74">
        <w:rPr>
          <w:rFonts w:cs="Times New Roman"/>
          <w:sz w:val="20"/>
          <w:szCs w:val="20"/>
        </w:rPr>
        <w:t>, availability of nutrients, fixation of N and se</w:t>
      </w:r>
      <w:r w:rsidR="00585453" w:rsidRPr="004E7B74">
        <w:rPr>
          <w:rFonts w:cs="Times New Roman"/>
          <w:sz w:val="20"/>
          <w:szCs w:val="20"/>
        </w:rPr>
        <w:t xml:space="preserve">cretion </w:t>
      </w:r>
      <w:r w:rsidR="00313009" w:rsidRPr="004E7B74">
        <w:rPr>
          <w:rFonts w:cs="Times New Roman"/>
          <w:sz w:val="20"/>
          <w:szCs w:val="20"/>
        </w:rPr>
        <w:t>of vitamins and IAA (</w:t>
      </w:r>
      <w:r w:rsidR="00313009" w:rsidRPr="004E7B74">
        <w:rPr>
          <w:rFonts w:cs="Times New Roman"/>
          <w:b/>
          <w:bCs/>
          <w:sz w:val="20"/>
          <w:szCs w:val="20"/>
        </w:rPr>
        <w:t>Cooke, 1966)</w:t>
      </w:r>
      <w:r w:rsidR="00313009" w:rsidRPr="004E7B74">
        <w:rPr>
          <w:rFonts w:cs="Times New Roman"/>
          <w:sz w:val="20"/>
          <w:szCs w:val="20"/>
        </w:rPr>
        <w:t xml:space="preserve">. EM contains more than 60 selected strains of effective and beneficial microorganisms. It is responsible for </w:t>
      </w:r>
      <w:r w:rsidR="0003729A" w:rsidRPr="004E7B74">
        <w:rPr>
          <w:rFonts w:cs="Times New Roman"/>
          <w:sz w:val="20"/>
          <w:szCs w:val="20"/>
        </w:rPr>
        <w:t xml:space="preserve">enhancing </w:t>
      </w:r>
      <w:r w:rsidR="00E26E55" w:rsidRPr="004E7B74">
        <w:rPr>
          <w:rFonts w:cs="Times New Roman"/>
          <w:sz w:val="20"/>
          <w:szCs w:val="20"/>
        </w:rPr>
        <w:t xml:space="preserve">soil fertility and the release of most nutrients in the soil </w:t>
      </w:r>
      <w:r w:rsidR="005C64E9">
        <w:rPr>
          <w:rFonts w:cs="Times New Roman"/>
          <w:sz w:val="20"/>
          <w:szCs w:val="20"/>
        </w:rPr>
        <w:t>(</w:t>
      </w:r>
      <w:proofErr w:type="spellStart"/>
      <w:r w:rsidR="00E26E55" w:rsidRPr="004E7B74">
        <w:rPr>
          <w:rFonts w:cs="Times New Roman"/>
          <w:b/>
          <w:bCs/>
          <w:sz w:val="20"/>
          <w:szCs w:val="20"/>
        </w:rPr>
        <w:t>Myint</w:t>
      </w:r>
      <w:proofErr w:type="spellEnd"/>
      <w:r w:rsidR="00E26E55" w:rsidRPr="004E7B74">
        <w:rPr>
          <w:rFonts w:cs="Times New Roman"/>
          <w:b/>
          <w:bCs/>
          <w:sz w:val="20"/>
          <w:szCs w:val="20"/>
        </w:rPr>
        <w:t>, 1999</w:t>
      </w:r>
      <w:r w:rsidR="00E26E55" w:rsidRPr="004E7B74">
        <w:rPr>
          <w:rFonts w:cs="Times New Roman"/>
          <w:sz w:val="20"/>
          <w:szCs w:val="20"/>
        </w:rPr>
        <w:t>).</w:t>
      </w:r>
    </w:p>
    <w:p w:rsidR="00C15D61" w:rsidRPr="004E7B74" w:rsidRDefault="00C15D61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Previous studies showed that using EM and organic manures was very effective as a partial replace</w:t>
      </w:r>
      <w:r w:rsidR="00F72310" w:rsidRPr="004E7B74">
        <w:rPr>
          <w:rFonts w:cs="Times New Roman"/>
          <w:sz w:val="20"/>
          <w:szCs w:val="20"/>
        </w:rPr>
        <w:t>ment of inorganic N fertilizers</w:t>
      </w:r>
      <w:r w:rsidRPr="004E7B74">
        <w:rPr>
          <w:rFonts w:cs="Times New Roman"/>
          <w:sz w:val="20"/>
          <w:szCs w:val="20"/>
        </w:rPr>
        <w:t xml:space="preserve"> </w:t>
      </w:r>
      <w:r w:rsidR="00F72310" w:rsidRPr="004E7B74">
        <w:rPr>
          <w:rFonts w:cs="Times New Roman"/>
          <w:sz w:val="20"/>
          <w:szCs w:val="20"/>
        </w:rPr>
        <w:t>i</w:t>
      </w:r>
      <w:r w:rsidRPr="004E7B74">
        <w:rPr>
          <w:rFonts w:cs="Times New Roman"/>
          <w:sz w:val="20"/>
          <w:szCs w:val="20"/>
        </w:rPr>
        <w:t>n</w:t>
      </w:r>
      <w:r w:rsidR="00EE324A" w:rsidRPr="004E7B74">
        <w:rPr>
          <w:rFonts w:cs="Times New Roman"/>
          <w:sz w:val="20"/>
          <w:szCs w:val="20"/>
        </w:rPr>
        <w:t xml:space="preserve"> improving yield and f</w:t>
      </w:r>
      <w:r w:rsidRPr="004E7B74">
        <w:rPr>
          <w:rFonts w:cs="Times New Roman"/>
          <w:sz w:val="20"/>
          <w:szCs w:val="20"/>
        </w:rPr>
        <w:t>r</w:t>
      </w:r>
      <w:r w:rsidR="00EE324A" w:rsidRPr="004E7B74">
        <w:rPr>
          <w:rFonts w:cs="Times New Roman"/>
          <w:sz w:val="20"/>
          <w:szCs w:val="20"/>
        </w:rPr>
        <w:t>u</w:t>
      </w:r>
      <w:r w:rsidRPr="004E7B74">
        <w:rPr>
          <w:rFonts w:cs="Times New Roman"/>
          <w:sz w:val="20"/>
          <w:szCs w:val="20"/>
        </w:rPr>
        <w:t xml:space="preserve">it quality of different grapevines </w:t>
      </w:r>
      <w:proofErr w:type="spellStart"/>
      <w:r w:rsidRPr="004E7B74">
        <w:rPr>
          <w:rFonts w:cs="Times New Roman"/>
          <w:sz w:val="20"/>
          <w:szCs w:val="20"/>
        </w:rPr>
        <w:t>cvs</w:t>
      </w:r>
      <w:proofErr w:type="spellEnd"/>
      <w:r w:rsidRPr="004E7B74">
        <w:rPr>
          <w:rFonts w:cs="Times New Roman"/>
          <w:sz w:val="20"/>
          <w:szCs w:val="20"/>
        </w:rPr>
        <w:t xml:space="preserve"> and at the same time reducing pollution (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Abd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El-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G</w:t>
      </w:r>
      <w:r w:rsidR="00F72310" w:rsidRPr="004E7B74">
        <w:rPr>
          <w:rFonts w:cs="Times New Roman"/>
          <w:b/>
          <w:bCs/>
          <w:sz w:val="20"/>
          <w:szCs w:val="20"/>
        </w:rPr>
        <w:t>h</w:t>
      </w:r>
      <w:r w:rsidRPr="004E7B74">
        <w:rPr>
          <w:rFonts w:cs="Times New Roman"/>
          <w:b/>
          <w:bCs/>
          <w:sz w:val="20"/>
          <w:szCs w:val="20"/>
        </w:rPr>
        <w:t>afar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Gehan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2002; Ahmed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="004A33A5" w:rsidRPr="004E7B74">
        <w:rPr>
          <w:rFonts w:cs="Times New Roman"/>
          <w:b/>
          <w:bCs/>
          <w:sz w:val="20"/>
          <w:szCs w:val="20"/>
        </w:rPr>
        <w:t xml:space="preserve"> 2003; </w:t>
      </w:r>
      <w:proofErr w:type="spellStart"/>
      <w:r w:rsidR="004A33A5" w:rsidRPr="004E7B74">
        <w:rPr>
          <w:rFonts w:cs="Times New Roman"/>
          <w:b/>
          <w:bCs/>
          <w:sz w:val="20"/>
          <w:szCs w:val="20"/>
        </w:rPr>
        <w:t>Abd</w:t>
      </w:r>
      <w:proofErr w:type="spellEnd"/>
      <w:r w:rsidR="004A33A5" w:rsidRPr="004E7B74">
        <w:rPr>
          <w:rFonts w:cs="Times New Roman"/>
          <w:b/>
          <w:bCs/>
          <w:sz w:val="20"/>
          <w:szCs w:val="20"/>
        </w:rPr>
        <w:t xml:space="preserve"> El- </w:t>
      </w:r>
      <w:proofErr w:type="spellStart"/>
      <w:r w:rsidR="004A33A5" w:rsidRPr="004E7B74">
        <w:rPr>
          <w:rFonts w:cs="Times New Roman"/>
          <w:b/>
          <w:bCs/>
          <w:sz w:val="20"/>
          <w:szCs w:val="20"/>
        </w:rPr>
        <w:t>Hady</w:t>
      </w:r>
      <w:proofErr w:type="spellEnd"/>
      <w:r w:rsidR="004A33A5" w:rsidRPr="004E7B74">
        <w:rPr>
          <w:rFonts w:cs="Times New Roman"/>
          <w:b/>
          <w:bCs/>
          <w:sz w:val="20"/>
          <w:szCs w:val="20"/>
        </w:rPr>
        <w:t>, 2003</w:t>
      </w:r>
      <w:r w:rsidRPr="004E7B74">
        <w:rPr>
          <w:rFonts w:cs="Times New Roman"/>
          <w:b/>
          <w:bCs/>
          <w:sz w:val="20"/>
          <w:szCs w:val="20"/>
        </w:rPr>
        <w:t xml:space="preserve">;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Shawky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20</w:t>
      </w:r>
      <w:r w:rsidR="004B62D3" w:rsidRPr="004E7B74">
        <w:rPr>
          <w:rFonts w:cs="Times New Roman"/>
          <w:b/>
          <w:bCs/>
          <w:sz w:val="20"/>
          <w:szCs w:val="20"/>
        </w:rPr>
        <w:t xml:space="preserve">04; El- </w:t>
      </w:r>
      <w:proofErr w:type="spellStart"/>
      <w:r w:rsidR="004B62D3" w:rsidRPr="004E7B74">
        <w:rPr>
          <w:rFonts w:cs="Times New Roman"/>
          <w:b/>
          <w:bCs/>
          <w:sz w:val="20"/>
          <w:szCs w:val="20"/>
        </w:rPr>
        <w:t>Shenawy</w:t>
      </w:r>
      <w:proofErr w:type="spellEnd"/>
      <w:r w:rsidR="004B62D3" w:rsidRPr="004E7B74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="004B62D3" w:rsidRPr="004E7B74">
        <w:rPr>
          <w:rFonts w:cs="Times New Roman"/>
          <w:b/>
          <w:bCs/>
          <w:sz w:val="20"/>
          <w:szCs w:val="20"/>
        </w:rPr>
        <w:t>Stino</w:t>
      </w:r>
      <w:proofErr w:type="spellEnd"/>
      <w:r w:rsidR="004B62D3" w:rsidRPr="004E7B74">
        <w:rPr>
          <w:rFonts w:cs="Times New Roman"/>
          <w:b/>
          <w:bCs/>
          <w:sz w:val="20"/>
          <w:szCs w:val="20"/>
        </w:rPr>
        <w:t>, 2005</w:t>
      </w:r>
      <w:r w:rsidRPr="004E7B74">
        <w:rPr>
          <w:rFonts w:cs="Times New Roman"/>
          <w:b/>
          <w:bCs/>
          <w:sz w:val="20"/>
          <w:szCs w:val="20"/>
        </w:rPr>
        <w:t xml:space="preserve">;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Mahran</w:t>
      </w:r>
      <w:proofErr w:type="spellEnd"/>
      <w:r w:rsidR="005C64E9">
        <w:rPr>
          <w:rFonts w:cs="Times New Roman"/>
          <w:b/>
          <w:bCs/>
          <w:sz w:val="20"/>
          <w:szCs w:val="20"/>
        </w:rPr>
        <w:t>,</w:t>
      </w:r>
      <w:r w:rsidRPr="004E7B74">
        <w:rPr>
          <w:rFonts w:cs="Times New Roman"/>
          <w:b/>
          <w:bCs/>
          <w:sz w:val="20"/>
          <w:szCs w:val="20"/>
        </w:rPr>
        <w:t xml:space="preserve"> 2005; Ibrahim-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Asmaa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2006; El-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Salhy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2006</w:t>
      </w:r>
      <w:r w:rsidR="005C64E9">
        <w:rPr>
          <w:rFonts w:cs="Times New Roman"/>
          <w:b/>
          <w:bCs/>
          <w:sz w:val="20"/>
          <w:szCs w:val="20"/>
        </w:rPr>
        <w:t>,</w:t>
      </w:r>
      <w:r w:rsidRPr="004E7B74">
        <w:rPr>
          <w:rFonts w:cs="Times New Roman"/>
          <w:b/>
          <w:bCs/>
          <w:sz w:val="20"/>
          <w:szCs w:val="20"/>
        </w:rPr>
        <w:t xml:space="preserve"> El-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Khafagy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2006 ; Ahmed-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Ebtsam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2007;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Masoud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2008 ; Ahmed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2008 ;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Madian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2010;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Refaai</w:t>
      </w:r>
      <w:proofErr w:type="spellEnd"/>
      <w:r w:rsidRPr="004E7B74">
        <w:rPr>
          <w:rFonts w:cs="Times New Roman"/>
          <w:b/>
          <w:bCs/>
          <w:sz w:val="20"/>
          <w:szCs w:val="20"/>
        </w:rPr>
        <w:t>, 201</w:t>
      </w:r>
      <w:r w:rsidR="004E08DD" w:rsidRPr="004E7B74">
        <w:rPr>
          <w:rFonts w:cs="Times New Roman"/>
          <w:b/>
          <w:bCs/>
          <w:sz w:val="20"/>
          <w:szCs w:val="20"/>
        </w:rPr>
        <w:t>1</w:t>
      </w:r>
      <w:r w:rsidRPr="004E7B74">
        <w:rPr>
          <w:rFonts w:cs="Times New Roman"/>
          <w:b/>
          <w:bCs/>
          <w:sz w:val="20"/>
          <w:szCs w:val="20"/>
        </w:rPr>
        <w:t xml:space="preserve">; Ahmed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="00523EFB" w:rsidRPr="004E7B74">
        <w:rPr>
          <w:rFonts w:cs="Times New Roman"/>
          <w:b/>
          <w:bCs/>
          <w:sz w:val="20"/>
          <w:szCs w:val="20"/>
        </w:rPr>
        <w:t xml:space="preserve"> 2011; El- </w:t>
      </w:r>
      <w:proofErr w:type="spellStart"/>
      <w:r w:rsidR="00523EFB" w:rsidRPr="004E7B74">
        <w:rPr>
          <w:rFonts w:cs="Times New Roman"/>
          <w:b/>
          <w:bCs/>
          <w:sz w:val="20"/>
          <w:szCs w:val="20"/>
        </w:rPr>
        <w:t>Khafagy</w:t>
      </w:r>
      <w:proofErr w:type="spellEnd"/>
      <w:r w:rsidR="00523EFB" w:rsidRPr="004E7B74">
        <w:rPr>
          <w:rFonts w:cs="Times New Roman"/>
          <w:b/>
          <w:bCs/>
          <w:sz w:val="20"/>
          <w:szCs w:val="20"/>
        </w:rPr>
        <w:t>, 2013 and E</w:t>
      </w:r>
      <w:r w:rsidR="00C36173" w:rsidRPr="004E7B74">
        <w:rPr>
          <w:rFonts w:cs="Times New Roman"/>
          <w:b/>
          <w:bCs/>
          <w:sz w:val="20"/>
          <w:szCs w:val="20"/>
        </w:rPr>
        <w:t>l</w:t>
      </w:r>
      <w:r w:rsidR="00523EFB" w:rsidRPr="004E7B74">
        <w:rPr>
          <w:rFonts w:cs="Times New Roman"/>
          <w:b/>
          <w:bCs/>
          <w:sz w:val="20"/>
          <w:szCs w:val="20"/>
        </w:rPr>
        <w:t>-</w:t>
      </w:r>
      <w:proofErr w:type="spellStart"/>
      <w:r w:rsidR="00C36173" w:rsidRPr="004E7B74">
        <w:rPr>
          <w:rFonts w:cs="Times New Roman"/>
          <w:b/>
          <w:bCs/>
          <w:sz w:val="20"/>
          <w:szCs w:val="20"/>
        </w:rPr>
        <w:t>W</w:t>
      </w:r>
      <w:r w:rsidR="00523EFB" w:rsidRPr="004E7B74">
        <w:rPr>
          <w:rFonts w:cs="Times New Roman"/>
          <w:b/>
          <w:bCs/>
          <w:sz w:val="20"/>
          <w:szCs w:val="20"/>
        </w:rPr>
        <w:t>any</w:t>
      </w:r>
      <w:proofErr w:type="spellEnd"/>
      <w:r w:rsidR="00523EFB" w:rsidRPr="004E7B74">
        <w:rPr>
          <w:rFonts w:cs="Times New Roman"/>
          <w:b/>
          <w:bCs/>
          <w:sz w:val="20"/>
          <w:szCs w:val="20"/>
        </w:rPr>
        <w:t>, 2015</w:t>
      </w:r>
      <w:r w:rsidR="00523EFB" w:rsidRPr="004E7B74">
        <w:rPr>
          <w:rFonts w:cs="Times New Roman"/>
          <w:sz w:val="20"/>
          <w:szCs w:val="20"/>
        </w:rPr>
        <w:t>).</w:t>
      </w:r>
    </w:p>
    <w:p w:rsidR="00572F1E" w:rsidRPr="004E7B74" w:rsidRDefault="00AC69D9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lastRenderedPageBreak/>
        <w:t xml:space="preserve">The objective of this study was examining the effect of using organic manures and EM as a partial replacement </w:t>
      </w:r>
      <w:r w:rsidR="002E32DF" w:rsidRPr="004E7B74">
        <w:rPr>
          <w:rFonts w:cs="Times New Roman"/>
          <w:sz w:val="20"/>
          <w:szCs w:val="20"/>
        </w:rPr>
        <w:t>of inorganic N fertilizers on fruiting of Superior grapevines.</w:t>
      </w:r>
    </w:p>
    <w:p w:rsidR="00846488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CF1C59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>2. Material and Methods</w:t>
      </w:r>
    </w:p>
    <w:p w:rsidR="00AC0723" w:rsidRPr="004E7B74" w:rsidRDefault="00AC0723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 xml:space="preserve">This study was carried out during 2013 and 2014 seasons on thirty uniform in </w:t>
      </w:r>
      <w:proofErr w:type="spellStart"/>
      <w:r w:rsidRPr="004E7B74">
        <w:rPr>
          <w:rFonts w:cs="Times New Roman"/>
          <w:sz w:val="20"/>
          <w:szCs w:val="20"/>
        </w:rPr>
        <w:t>vigour</w:t>
      </w:r>
      <w:proofErr w:type="spellEnd"/>
      <w:r w:rsidRPr="004E7B74">
        <w:rPr>
          <w:rFonts w:cs="Times New Roman"/>
          <w:sz w:val="20"/>
          <w:szCs w:val="20"/>
        </w:rPr>
        <w:t xml:space="preserve"> 10 - years old Superior grapevines grown in a private vineyard located at </w:t>
      </w:r>
      <w:proofErr w:type="spellStart"/>
      <w:r w:rsidRPr="004E7B74">
        <w:rPr>
          <w:rFonts w:cs="Times New Roman"/>
          <w:sz w:val="20"/>
          <w:szCs w:val="20"/>
        </w:rPr>
        <w:t>Matay</w:t>
      </w:r>
      <w:proofErr w:type="spellEnd"/>
      <w:r w:rsidRPr="004E7B74">
        <w:rPr>
          <w:rFonts w:cs="Times New Roman"/>
          <w:sz w:val="20"/>
          <w:szCs w:val="20"/>
        </w:rPr>
        <w:t xml:space="preserve"> district, </w:t>
      </w:r>
      <w:proofErr w:type="spellStart"/>
      <w:r w:rsidRPr="004E7B74">
        <w:rPr>
          <w:rFonts w:cs="Times New Roman"/>
          <w:sz w:val="20"/>
          <w:szCs w:val="20"/>
        </w:rPr>
        <w:t>Minia</w:t>
      </w:r>
      <w:proofErr w:type="spellEnd"/>
      <w:r w:rsidRPr="004E7B74">
        <w:rPr>
          <w:rFonts w:cs="Times New Roman"/>
          <w:sz w:val="20"/>
          <w:szCs w:val="20"/>
        </w:rPr>
        <w:t xml:space="preserve"> Governorate where the texture of the soil is clay, well drained and water table not less than two meters deep. All the selected vines are planted at 1.5 x 3 m apart. The chosen vines (30 vines) were pruned during the first week of January in both seasons using cane pruning method</w:t>
      </w:r>
      <w:r w:rsidR="002613E2" w:rsidRPr="004E7B74">
        <w:rPr>
          <w:rFonts w:cs="Times New Roman"/>
          <w:sz w:val="20"/>
          <w:szCs w:val="20"/>
        </w:rPr>
        <w:t>.</w:t>
      </w:r>
      <w:r w:rsidRPr="004E7B74">
        <w:rPr>
          <w:rFonts w:cs="Times New Roman"/>
          <w:sz w:val="20"/>
          <w:szCs w:val="20"/>
        </w:rPr>
        <w:t xml:space="preserve"> </w:t>
      </w:r>
      <w:r w:rsidR="002613E2" w:rsidRPr="004E7B74">
        <w:rPr>
          <w:rFonts w:cs="Times New Roman"/>
          <w:sz w:val="20"/>
          <w:szCs w:val="20"/>
        </w:rPr>
        <w:t>T</w:t>
      </w:r>
      <w:r w:rsidRPr="004E7B74">
        <w:rPr>
          <w:rFonts w:cs="Times New Roman"/>
          <w:sz w:val="20"/>
          <w:szCs w:val="20"/>
        </w:rPr>
        <w:t xml:space="preserve">he vines were trellised by Gable system. Vine load was 72 eyes for all the selected vines on the basis of 6 fruiting canes x 10 eyes plus 6 renewal spurs X two eyes. Surface irrigation system was followed using Nile water containing 160 </w:t>
      </w:r>
      <w:proofErr w:type="spellStart"/>
      <w:r w:rsidRPr="004E7B74">
        <w:rPr>
          <w:rFonts w:cs="Times New Roman"/>
          <w:sz w:val="20"/>
          <w:szCs w:val="20"/>
        </w:rPr>
        <w:t>ppm</w:t>
      </w:r>
      <w:proofErr w:type="spellEnd"/>
      <w:r w:rsidRPr="004E7B74">
        <w:rPr>
          <w:rFonts w:cs="Times New Roman"/>
          <w:sz w:val="20"/>
          <w:szCs w:val="20"/>
        </w:rPr>
        <w:t xml:space="preserve"> EC.</w:t>
      </w:r>
    </w:p>
    <w:p w:rsidR="00AC0723" w:rsidRPr="004E7B74" w:rsidRDefault="00AC0723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 xml:space="preserve">Mechanical, physical and chemical analysis of the tested soil were carried out at the start of the experiment according to the procedures of </w:t>
      </w:r>
      <w:r w:rsidR="00D443AC" w:rsidRPr="004E7B74">
        <w:rPr>
          <w:rFonts w:cs="Times New Roman"/>
          <w:b/>
          <w:bCs/>
          <w:sz w:val="20"/>
          <w:szCs w:val="20"/>
        </w:rPr>
        <w:t xml:space="preserve">Black </w:t>
      </w:r>
      <w:r w:rsidR="00D443AC" w:rsidRPr="004E7B74">
        <w:rPr>
          <w:rFonts w:cs="Times New Roman"/>
          <w:b/>
          <w:bCs/>
          <w:i/>
          <w:iCs/>
          <w:sz w:val="20"/>
          <w:szCs w:val="20"/>
        </w:rPr>
        <w:t>et al.</w:t>
      </w:r>
      <w:r w:rsidR="00D443AC" w:rsidRPr="004E7B74">
        <w:rPr>
          <w:rFonts w:cs="Times New Roman"/>
          <w:b/>
          <w:bCs/>
          <w:sz w:val="20"/>
          <w:szCs w:val="20"/>
        </w:rPr>
        <w:t xml:space="preserve"> (1965) and </w:t>
      </w:r>
      <w:r w:rsidRPr="004E7B74">
        <w:rPr>
          <w:rFonts w:cs="Times New Roman"/>
          <w:b/>
          <w:bCs/>
          <w:sz w:val="20"/>
          <w:szCs w:val="20"/>
        </w:rPr>
        <w:t>Chapman and Pratt (1987)</w:t>
      </w:r>
      <w:r w:rsidRPr="004E7B74">
        <w:rPr>
          <w:rFonts w:cs="Times New Roman"/>
          <w:sz w:val="20"/>
          <w:szCs w:val="20"/>
        </w:rPr>
        <w:t xml:space="preserve"> </w:t>
      </w:r>
      <w:r w:rsidR="00D443AC" w:rsidRPr="004E7B74">
        <w:rPr>
          <w:rFonts w:cs="Times New Roman"/>
          <w:sz w:val="20"/>
          <w:szCs w:val="20"/>
        </w:rPr>
        <w:t>t</w:t>
      </w:r>
      <w:r w:rsidRPr="004E7B74">
        <w:rPr>
          <w:rFonts w:cs="Times New Roman"/>
          <w:sz w:val="20"/>
          <w:szCs w:val="20"/>
        </w:rPr>
        <w:t>he data are shown in Table (</w:t>
      </w:r>
      <w:r w:rsidR="0098219D" w:rsidRPr="004E7B74">
        <w:rPr>
          <w:rFonts w:cs="Times New Roman"/>
          <w:sz w:val="20"/>
          <w:szCs w:val="20"/>
        </w:rPr>
        <w:t>1</w:t>
      </w:r>
      <w:r w:rsidRPr="004E7B74">
        <w:rPr>
          <w:rFonts w:cs="Times New Roman"/>
          <w:sz w:val="20"/>
          <w:szCs w:val="20"/>
        </w:rPr>
        <w:t>).</w:t>
      </w:r>
    </w:p>
    <w:p w:rsidR="005C64E9" w:rsidRDefault="005C64E9" w:rsidP="004E7B74">
      <w:pPr>
        <w:bidi w:val="0"/>
        <w:snapToGrid w:val="0"/>
        <w:jc w:val="center"/>
        <w:rPr>
          <w:rFonts w:cs="Times New Roman" w:hint="eastAsia"/>
          <w:b/>
          <w:bCs/>
          <w:sz w:val="18"/>
          <w:szCs w:val="18"/>
          <w:lang w:eastAsia="zh-CN"/>
        </w:rPr>
      </w:pPr>
    </w:p>
    <w:p w:rsidR="005C64E9" w:rsidRDefault="005C64E9" w:rsidP="005C64E9">
      <w:pPr>
        <w:bidi w:val="0"/>
        <w:snapToGrid w:val="0"/>
        <w:jc w:val="center"/>
        <w:rPr>
          <w:rFonts w:cs="Times New Roman" w:hint="eastAsia"/>
          <w:b/>
          <w:bCs/>
          <w:sz w:val="18"/>
          <w:szCs w:val="18"/>
          <w:lang w:eastAsia="zh-CN"/>
        </w:rPr>
      </w:pPr>
    </w:p>
    <w:p w:rsidR="00AC0723" w:rsidRPr="00E60D72" w:rsidRDefault="00AC0723" w:rsidP="005C64E9">
      <w:pPr>
        <w:bidi w:val="0"/>
        <w:snapToGrid w:val="0"/>
        <w:jc w:val="center"/>
        <w:rPr>
          <w:rFonts w:cs="Times New Roman"/>
          <w:b/>
          <w:bCs/>
          <w:sz w:val="18"/>
          <w:szCs w:val="18"/>
        </w:rPr>
      </w:pPr>
      <w:r w:rsidRPr="00E60D72">
        <w:rPr>
          <w:rFonts w:cs="Times New Roman"/>
          <w:b/>
          <w:bCs/>
          <w:sz w:val="18"/>
          <w:szCs w:val="18"/>
        </w:rPr>
        <w:lastRenderedPageBreak/>
        <w:t>Table (</w:t>
      </w:r>
      <w:r w:rsidR="0098219D" w:rsidRPr="00E60D72">
        <w:rPr>
          <w:rFonts w:cs="Times New Roman"/>
          <w:b/>
          <w:bCs/>
          <w:sz w:val="18"/>
          <w:szCs w:val="18"/>
        </w:rPr>
        <w:t>1</w:t>
      </w:r>
      <w:r w:rsidRPr="00E60D72">
        <w:rPr>
          <w:rFonts w:cs="Times New Roman"/>
          <w:b/>
          <w:bCs/>
          <w:sz w:val="18"/>
          <w:szCs w:val="18"/>
        </w:rPr>
        <w:t>)</w:t>
      </w:r>
      <w:r w:rsidR="005C64E9">
        <w:rPr>
          <w:rFonts w:cs="Times New Roman"/>
          <w:b/>
          <w:bCs/>
          <w:sz w:val="18"/>
          <w:szCs w:val="18"/>
        </w:rPr>
        <w:t>:</w:t>
      </w:r>
      <w:r w:rsidRPr="00E60D72">
        <w:rPr>
          <w:rFonts w:cs="Times New Roman"/>
          <w:b/>
          <w:bCs/>
          <w:sz w:val="18"/>
          <w:szCs w:val="18"/>
        </w:rPr>
        <w:t xml:space="preserve"> Analysis of the tested soil: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1128"/>
      </w:tblGrid>
      <w:tr w:rsidR="00AC0723" w:rsidRPr="005C64E9" w:rsidTr="005C64E9">
        <w:trPr>
          <w:cantSplit/>
          <w:jc w:val="center"/>
        </w:trPr>
        <w:tc>
          <w:tcPr>
            <w:tcW w:w="441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b/>
                <w:bCs/>
                <w:sz w:val="17"/>
                <w:szCs w:val="17"/>
              </w:rPr>
              <w:t>Constituents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b/>
                <w:bCs/>
                <w:sz w:val="17"/>
                <w:szCs w:val="17"/>
              </w:rPr>
              <w:t>Values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  <w:tcBorders>
              <w:top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u w:val="single"/>
              </w:rPr>
            </w:pPr>
            <w:r w:rsidRPr="005C64E9">
              <w:rPr>
                <w:rFonts w:eastAsiaTheme="minorEastAsia" w:cs="Times New Roman"/>
                <w:b/>
                <w:bCs/>
                <w:sz w:val="17"/>
                <w:szCs w:val="17"/>
                <w:u w:val="single"/>
              </w:rPr>
              <w:t xml:space="preserve">Particle size distribution: </w:t>
            </w:r>
          </w:p>
        </w:tc>
        <w:tc>
          <w:tcPr>
            <w:tcW w:w="1296" w:type="dxa"/>
            <w:tcBorders>
              <w:top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Sand %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10.0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Silt %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21.5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Clay %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68.5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Texture 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Clay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pH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1:2.5 extract) 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8.05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EC (1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: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2.5 extract)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>dsm</w:t>
            </w:r>
            <w:r w:rsidRPr="005C64E9">
              <w:rPr>
                <w:rFonts w:eastAsiaTheme="minorEastAsia" w:cs="Times New Roman"/>
                <w:sz w:val="17"/>
                <w:szCs w:val="17"/>
                <w:vertAlign w:val="superscript"/>
              </w:rPr>
              <w:t>-1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>) 1 cm / 25</w:t>
            </w:r>
            <w:r w:rsidRPr="005C64E9">
              <w:rPr>
                <w:rFonts w:eastAsiaTheme="minorEastAsia" w:cs="Times New Roman"/>
                <w:sz w:val="17"/>
                <w:szCs w:val="17"/>
                <w:vertAlign w:val="superscript"/>
              </w:rPr>
              <w:t>o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>C.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1.03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O.M. %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1.88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CaCO</w:t>
            </w:r>
            <w:r w:rsidRPr="005C64E9">
              <w:rPr>
                <w:rFonts w:eastAsiaTheme="minorEastAsia" w:cs="Times New Roman"/>
                <w:sz w:val="17"/>
                <w:szCs w:val="17"/>
                <w:vertAlign w:val="subscript"/>
              </w:rPr>
              <w:t>3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 %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2.55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Total N %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0.10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Available P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Olsen, 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ppm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2.22</w:t>
            </w:r>
          </w:p>
        </w:tc>
      </w:tr>
      <w:tr w:rsidR="00AC0723" w:rsidRPr="005C64E9" w:rsidTr="005C64E9">
        <w:trPr>
          <w:cantSplit/>
          <w:jc w:val="center"/>
        </w:trPr>
        <w:tc>
          <w:tcPr>
            <w:tcW w:w="441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Available K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ammonium acetate, 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ppm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296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400</w:t>
            </w:r>
          </w:p>
        </w:tc>
      </w:tr>
    </w:tbl>
    <w:p w:rsidR="00AC0723" w:rsidRPr="00E60D72" w:rsidRDefault="00AC0723" w:rsidP="004E7B74">
      <w:pPr>
        <w:bidi w:val="0"/>
        <w:snapToGrid w:val="0"/>
        <w:jc w:val="center"/>
        <w:rPr>
          <w:rFonts w:cs="Times New Roman"/>
          <w:sz w:val="18"/>
          <w:szCs w:val="18"/>
        </w:rPr>
      </w:pPr>
    </w:p>
    <w:p w:rsidR="00AC0723" w:rsidRPr="00E60D72" w:rsidRDefault="00AC0723" w:rsidP="004E7B74">
      <w:pPr>
        <w:bidi w:val="0"/>
        <w:snapToGrid w:val="0"/>
        <w:jc w:val="center"/>
        <w:rPr>
          <w:rFonts w:cs="Times New Roman"/>
          <w:b/>
          <w:bCs/>
          <w:sz w:val="18"/>
          <w:szCs w:val="18"/>
        </w:rPr>
      </w:pPr>
      <w:proofErr w:type="gramStart"/>
      <w:r w:rsidRPr="00E60D72">
        <w:rPr>
          <w:rFonts w:cs="Times New Roman"/>
          <w:b/>
          <w:bCs/>
          <w:sz w:val="18"/>
          <w:szCs w:val="18"/>
        </w:rPr>
        <w:t>Table (</w:t>
      </w:r>
      <w:r w:rsidR="0098219D" w:rsidRPr="00E60D72">
        <w:rPr>
          <w:rFonts w:cs="Times New Roman"/>
          <w:b/>
          <w:bCs/>
          <w:sz w:val="18"/>
          <w:szCs w:val="18"/>
        </w:rPr>
        <w:t>2</w:t>
      </w:r>
      <w:r w:rsidRPr="00E60D72">
        <w:rPr>
          <w:rFonts w:cs="Times New Roman"/>
          <w:b/>
          <w:bCs/>
          <w:sz w:val="18"/>
          <w:szCs w:val="18"/>
        </w:rPr>
        <w:t>): Analysis of the solid manure compost.</w:t>
      </w:r>
      <w:proofErr w:type="gramEnd"/>
      <w:r w:rsidRPr="00E60D72">
        <w:rPr>
          <w:rFonts w:cs="Times New Roman"/>
          <w:b/>
          <w:bCs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1380"/>
      </w:tblGrid>
      <w:tr w:rsidR="00AC0723" w:rsidRPr="005C64E9">
        <w:trPr>
          <w:trHeight w:val="42"/>
          <w:jc w:val="center"/>
        </w:trPr>
        <w:tc>
          <w:tcPr>
            <w:tcW w:w="380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Parameters</w:t>
            </w:r>
          </w:p>
        </w:tc>
        <w:tc>
          <w:tcPr>
            <w:tcW w:w="155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Values</w:t>
            </w:r>
          </w:p>
        </w:tc>
      </w:tr>
      <w:tr w:rsidR="00AC0723" w:rsidRPr="005C64E9">
        <w:trPr>
          <w:trHeight w:val="42"/>
          <w:jc w:val="center"/>
        </w:trPr>
        <w:tc>
          <w:tcPr>
            <w:tcW w:w="3808" w:type="dxa"/>
            <w:tcBorders>
              <w:top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Cubic meter weight (kg.)</w:t>
            </w:r>
          </w:p>
        </w:tc>
        <w:tc>
          <w:tcPr>
            <w:tcW w:w="1558" w:type="dxa"/>
            <w:tcBorders>
              <w:top w:val="thickThinSmallGap" w:sz="24" w:space="0" w:color="auto"/>
            </w:tcBorders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600.0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Moisture % 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29.0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Organic matter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30.7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Organic carbon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28.56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pH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>1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: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 2.5 extract)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27.25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EC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ds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/ m) (1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:</w:t>
            </w: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 2.5 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extarct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10.25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C/N ratio 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13.95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Total N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2.5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Total P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1.12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Total K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1.21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Total Ca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1.25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Total Mg %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1.30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Total Fe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ppm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18.5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Total 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Mn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ppm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37.55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Total Zn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ppm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43.22</w:t>
            </w:r>
          </w:p>
        </w:tc>
      </w:tr>
      <w:tr w:rsidR="00AC0723" w:rsidRPr="005C64E9">
        <w:trPr>
          <w:trHeight w:val="146"/>
          <w:jc w:val="center"/>
        </w:trPr>
        <w:tc>
          <w:tcPr>
            <w:tcW w:w="3808" w:type="dxa"/>
          </w:tcPr>
          <w:p w:rsidR="00AC0723" w:rsidRPr="005C64E9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 xml:space="preserve">Total Cu </w:t>
            </w:r>
            <w:r w:rsidR="005C64E9" w:rsidRPr="005C64E9">
              <w:rPr>
                <w:rFonts w:eastAsiaTheme="minorEastAsia" w:cs="Times New Roman"/>
                <w:sz w:val="17"/>
                <w:szCs w:val="17"/>
              </w:rPr>
              <w:t>(</w:t>
            </w:r>
            <w:proofErr w:type="spellStart"/>
            <w:r w:rsidRPr="005C64E9">
              <w:rPr>
                <w:rFonts w:eastAsiaTheme="minorEastAsia" w:cs="Times New Roman"/>
                <w:sz w:val="17"/>
                <w:szCs w:val="17"/>
              </w:rPr>
              <w:t>ppm</w:t>
            </w:r>
            <w:proofErr w:type="spellEnd"/>
            <w:r w:rsidRPr="005C64E9">
              <w:rPr>
                <w:rFonts w:eastAsiaTheme="minorEastAsia" w:cs="Times New Roman"/>
                <w:sz w:val="17"/>
                <w:szCs w:val="17"/>
              </w:rPr>
              <w:t>)</w:t>
            </w:r>
          </w:p>
        </w:tc>
        <w:tc>
          <w:tcPr>
            <w:tcW w:w="1558" w:type="dxa"/>
          </w:tcPr>
          <w:p w:rsidR="00AC0723" w:rsidRPr="005C64E9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7"/>
                <w:szCs w:val="17"/>
              </w:rPr>
            </w:pPr>
            <w:r w:rsidRPr="005C64E9">
              <w:rPr>
                <w:rFonts w:eastAsiaTheme="minorEastAsia" w:cs="Times New Roman"/>
                <w:sz w:val="17"/>
                <w:szCs w:val="17"/>
              </w:rPr>
              <w:t>17.40</w:t>
            </w:r>
          </w:p>
        </w:tc>
      </w:tr>
    </w:tbl>
    <w:p w:rsidR="00AC0723" w:rsidRPr="00E60D72" w:rsidRDefault="00AC0723" w:rsidP="004E7B74">
      <w:pPr>
        <w:bidi w:val="0"/>
        <w:snapToGrid w:val="0"/>
        <w:jc w:val="center"/>
        <w:rPr>
          <w:rFonts w:cs="Times New Roman"/>
          <w:sz w:val="18"/>
          <w:szCs w:val="18"/>
        </w:rPr>
      </w:pPr>
    </w:p>
    <w:p w:rsidR="00AC0723" w:rsidRPr="00E60D72" w:rsidRDefault="00AC0723" w:rsidP="004E7B74">
      <w:pPr>
        <w:bidi w:val="0"/>
        <w:snapToGrid w:val="0"/>
        <w:jc w:val="both"/>
        <w:rPr>
          <w:rFonts w:cs="Times New Roman"/>
          <w:b/>
          <w:bCs/>
          <w:sz w:val="18"/>
          <w:szCs w:val="18"/>
        </w:rPr>
      </w:pPr>
      <w:r w:rsidRPr="00E60D72">
        <w:rPr>
          <w:rFonts w:cs="Times New Roman"/>
          <w:b/>
          <w:bCs/>
          <w:sz w:val="18"/>
          <w:szCs w:val="18"/>
        </w:rPr>
        <w:t>Table (</w:t>
      </w:r>
      <w:r w:rsidR="0098219D" w:rsidRPr="00E60D72">
        <w:rPr>
          <w:rFonts w:cs="Times New Roman"/>
          <w:b/>
          <w:bCs/>
          <w:sz w:val="18"/>
          <w:szCs w:val="18"/>
        </w:rPr>
        <w:t>3</w:t>
      </w:r>
      <w:r w:rsidRPr="00E60D72">
        <w:rPr>
          <w:rFonts w:cs="Times New Roman"/>
          <w:b/>
          <w:bCs/>
          <w:sz w:val="18"/>
          <w:szCs w:val="18"/>
        </w:rPr>
        <w:t>)</w:t>
      </w:r>
      <w:r w:rsidR="005C64E9">
        <w:rPr>
          <w:rFonts w:cs="Times New Roman"/>
          <w:b/>
          <w:bCs/>
          <w:sz w:val="18"/>
          <w:szCs w:val="18"/>
        </w:rPr>
        <w:t>:</w:t>
      </w:r>
      <w:r w:rsidRPr="00E60D72">
        <w:rPr>
          <w:rFonts w:cs="Times New Roman"/>
          <w:b/>
          <w:bCs/>
          <w:sz w:val="18"/>
          <w:szCs w:val="18"/>
        </w:rPr>
        <w:t xml:space="preserve"> Analysis of farmyard manure organic fertilizer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1"/>
        <w:gridCol w:w="1508"/>
      </w:tblGrid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Parameters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Values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O.M. %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8.9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Total N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0.25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P % </w:t>
            </w:r>
            <w:r w:rsidR="005C64E9">
              <w:rPr>
                <w:rFonts w:eastAsiaTheme="minorEastAsia" w:cs="Times New Roman"/>
                <w:sz w:val="18"/>
                <w:szCs w:val="18"/>
              </w:rPr>
              <w:t>(</w:t>
            </w:r>
            <w:r w:rsidRPr="00035A1E">
              <w:rPr>
                <w:rFonts w:eastAsiaTheme="minorEastAsia" w:cs="Times New Roman"/>
                <w:sz w:val="18"/>
                <w:szCs w:val="18"/>
              </w:rPr>
              <w:t>Olsen method)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0.5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K % </w:t>
            </w:r>
            <w:r w:rsidR="005C64E9">
              <w:rPr>
                <w:rFonts w:eastAsiaTheme="minorEastAsia" w:cs="Times New Roman"/>
                <w:sz w:val="18"/>
                <w:szCs w:val="18"/>
              </w:rPr>
              <w:t>(</w:t>
            </w:r>
            <w:r w:rsidRPr="00035A1E">
              <w:rPr>
                <w:rFonts w:eastAsiaTheme="minorEastAsia" w:cs="Times New Roman"/>
                <w:sz w:val="18"/>
                <w:szCs w:val="18"/>
              </w:rPr>
              <w:t>ammonium acetate)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1.6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pH </w:t>
            </w:r>
            <w:r w:rsidR="005C64E9">
              <w:rPr>
                <w:rFonts w:eastAsiaTheme="minorEastAsia" w:cs="Times New Roman"/>
                <w:sz w:val="18"/>
                <w:szCs w:val="18"/>
              </w:rPr>
              <w:t>(</w:t>
            </w:r>
            <w:r w:rsidRPr="00035A1E">
              <w:rPr>
                <w:rFonts w:eastAsiaTheme="minorEastAsia" w:cs="Times New Roman"/>
                <w:sz w:val="18"/>
                <w:szCs w:val="18"/>
              </w:rPr>
              <w:t>1</w:t>
            </w:r>
            <w:r w:rsidR="005C64E9">
              <w:rPr>
                <w:rFonts w:eastAsiaTheme="minorEastAsia" w:cs="Times New Roman"/>
                <w:sz w:val="18"/>
                <w:szCs w:val="18"/>
              </w:rPr>
              <w:t>:</w:t>
            </w:r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 2.5 extract)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3.3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Zn (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</w:rPr>
              <w:t>ppm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36.0</w:t>
            </w:r>
          </w:p>
        </w:tc>
      </w:tr>
      <w:tr w:rsidR="00AC0723" w:rsidRPr="00035A1E" w:rsidTr="005C64E9">
        <w:trPr>
          <w:cantSplit/>
          <w:jc w:val="center"/>
        </w:trPr>
        <w:tc>
          <w:tcPr>
            <w:tcW w:w="322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Fe (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</w:rPr>
              <w:t>ppm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15.5</w:t>
            </w:r>
          </w:p>
        </w:tc>
      </w:tr>
    </w:tbl>
    <w:p w:rsidR="00846488" w:rsidRPr="00E60D72" w:rsidRDefault="00846488" w:rsidP="004E7B74">
      <w:pPr>
        <w:bidi w:val="0"/>
        <w:snapToGrid w:val="0"/>
        <w:jc w:val="center"/>
        <w:rPr>
          <w:rFonts w:cs="Times New Roman"/>
          <w:b/>
          <w:bCs/>
          <w:sz w:val="18"/>
          <w:szCs w:val="18"/>
        </w:rPr>
      </w:pPr>
    </w:p>
    <w:p w:rsidR="00AC0723" w:rsidRPr="00E60D72" w:rsidRDefault="00AC0723" w:rsidP="004E7B74">
      <w:pPr>
        <w:bidi w:val="0"/>
        <w:snapToGrid w:val="0"/>
        <w:jc w:val="both"/>
        <w:rPr>
          <w:rFonts w:cs="Times New Roman"/>
          <w:b/>
          <w:bCs/>
          <w:sz w:val="18"/>
          <w:szCs w:val="18"/>
        </w:rPr>
      </w:pPr>
      <w:r w:rsidRPr="00E60D72">
        <w:rPr>
          <w:rFonts w:cs="Times New Roman"/>
          <w:b/>
          <w:bCs/>
          <w:sz w:val="18"/>
          <w:szCs w:val="18"/>
        </w:rPr>
        <w:t>Table (</w:t>
      </w:r>
      <w:r w:rsidR="0098219D" w:rsidRPr="00E60D72">
        <w:rPr>
          <w:rFonts w:cs="Times New Roman"/>
          <w:b/>
          <w:bCs/>
          <w:sz w:val="18"/>
          <w:szCs w:val="18"/>
        </w:rPr>
        <w:t>4</w:t>
      </w:r>
      <w:r w:rsidRPr="00E60D72">
        <w:rPr>
          <w:rFonts w:cs="Times New Roman"/>
          <w:b/>
          <w:bCs/>
          <w:sz w:val="18"/>
          <w:szCs w:val="18"/>
        </w:rPr>
        <w:t>): Analysis of chicken manure</w:t>
      </w:r>
      <w:r w:rsidR="002B751A" w:rsidRPr="00E60D72">
        <w:rPr>
          <w:rFonts w:cs="Times New Roman"/>
          <w:b/>
          <w:bCs/>
          <w:sz w:val="18"/>
          <w:szCs w:val="18"/>
        </w:rPr>
        <w:t xml:space="preserve"> organic fertilizer</w:t>
      </w:r>
      <w:r w:rsidRPr="00E60D72">
        <w:rPr>
          <w:rFonts w:cs="Times New Roman"/>
          <w:b/>
          <w:bCs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1417"/>
      </w:tblGrid>
      <w:tr w:rsidR="00AC0723" w:rsidRPr="00035A1E">
        <w:trPr>
          <w:trHeight w:val="25"/>
          <w:jc w:val="center"/>
        </w:trPr>
        <w:tc>
          <w:tcPr>
            <w:tcW w:w="3535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Parameters</w:t>
            </w:r>
          </w:p>
        </w:tc>
        <w:tc>
          <w:tcPr>
            <w:tcW w:w="152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Values</w:t>
            </w:r>
          </w:p>
        </w:tc>
      </w:tr>
      <w:tr w:rsidR="00AC0723" w:rsidRPr="00035A1E">
        <w:trPr>
          <w:trHeight w:val="24"/>
          <w:jc w:val="center"/>
        </w:trPr>
        <w:tc>
          <w:tcPr>
            <w:tcW w:w="353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O.M. %</w:t>
            </w:r>
          </w:p>
        </w:tc>
        <w:tc>
          <w:tcPr>
            <w:tcW w:w="15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58.26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Organic carbon 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27.90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pH (1</w:t>
            </w:r>
            <w:r w:rsidR="005C64E9">
              <w:rPr>
                <w:rFonts w:eastAsiaTheme="minorEastAsia" w:cs="Times New Roman"/>
                <w:sz w:val="18"/>
                <w:szCs w:val="18"/>
              </w:rPr>
              <w:t>:</w:t>
            </w:r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 2.5 extract)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10.25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E.C. (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</w:rPr>
              <w:t>ds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</w:rPr>
              <w:t xml:space="preserve">/m) </w:t>
            </w:r>
            <w:r w:rsidR="005C64E9">
              <w:rPr>
                <w:rFonts w:eastAsiaTheme="minorEastAsia" w:cs="Times New Roman"/>
                <w:sz w:val="18"/>
                <w:szCs w:val="18"/>
              </w:rPr>
              <w:t>(</w:t>
            </w:r>
            <w:r w:rsidRPr="00035A1E">
              <w:rPr>
                <w:rFonts w:eastAsiaTheme="minorEastAsia" w:cs="Times New Roman"/>
                <w:sz w:val="18"/>
                <w:szCs w:val="18"/>
              </w:rPr>
              <w:t>1: 2.5 extract)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5.9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Total N %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2.0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Total P %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1.12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Total K %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1.21</w:t>
            </w:r>
          </w:p>
        </w:tc>
      </w:tr>
      <w:tr w:rsidR="00AC0723" w:rsidRPr="00035A1E">
        <w:trPr>
          <w:trHeight w:val="85"/>
          <w:jc w:val="center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6A6E47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Total Fe (</w:t>
            </w:r>
            <w:proofErr w:type="spellStart"/>
            <w:r w:rsidR="00AC0723" w:rsidRPr="00035A1E">
              <w:rPr>
                <w:rFonts w:eastAsiaTheme="minorEastAsia" w:cs="Times New Roman"/>
                <w:sz w:val="18"/>
                <w:szCs w:val="18"/>
              </w:rPr>
              <w:t>ppm</w:t>
            </w:r>
            <w:proofErr w:type="spellEnd"/>
            <w:r w:rsidR="00AC0723" w:rsidRPr="00035A1E">
              <w:rPr>
                <w:rFonts w:eastAsiaTheme="minorEastAsia" w:cs="Times New Roman"/>
                <w:sz w:val="18"/>
                <w:szCs w:val="18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18.5</w:t>
            </w:r>
          </w:p>
        </w:tc>
      </w:tr>
      <w:tr w:rsidR="00AC0723" w:rsidRPr="00035A1E">
        <w:trPr>
          <w:trHeight w:val="89"/>
          <w:jc w:val="center"/>
        </w:trPr>
        <w:tc>
          <w:tcPr>
            <w:tcW w:w="353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Total Zn (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</w:rPr>
              <w:t>ppm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C0723" w:rsidRPr="00035A1E" w:rsidRDefault="00AC0723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35A1E">
              <w:rPr>
                <w:rFonts w:eastAsiaTheme="minorEastAsia" w:cs="Times New Roman"/>
                <w:sz w:val="18"/>
                <w:szCs w:val="18"/>
              </w:rPr>
              <w:t>43.22</w:t>
            </w:r>
          </w:p>
        </w:tc>
      </w:tr>
    </w:tbl>
    <w:p w:rsidR="005C64E9" w:rsidRDefault="005C64E9" w:rsidP="004E7B74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 w:hint="eastAsia"/>
          <w:sz w:val="20"/>
          <w:szCs w:val="20"/>
          <w:lang w:eastAsia="zh-CN"/>
        </w:rPr>
      </w:pPr>
    </w:p>
    <w:p w:rsidR="005C64E9" w:rsidRDefault="005C64E9" w:rsidP="005C64E9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 w:hint="eastAsia"/>
          <w:sz w:val="20"/>
          <w:szCs w:val="20"/>
          <w:lang w:eastAsia="zh-CN"/>
        </w:rPr>
      </w:pPr>
    </w:p>
    <w:p w:rsidR="00F97DA5" w:rsidRPr="004E7B74" w:rsidRDefault="00F97DA5" w:rsidP="005C64E9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proofErr w:type="gramStart"/>
      <w:r w:rsidRPr="004E7B74">
        <w:rPr>
          <w:rFonts w:cs="Times New Roman"/>
          <w:sz w:val="20"/>
          <w:szCs w:val="20"/>
        </w:rPr>
        <w:t>Except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those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dealing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with the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present treatments (all sources of N),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all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the selected vines (30 vines) received the usual horticultural practices which are commonly used in the vineyard.</w:t>
      </w:r>
      <w:proofErr w:type="gramEnd"/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This study included the following ten treatments from inorganic N, organic manures and EM: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Application of the suitable N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60 g N/ vine) via 100 % inorganic N (179.0 g ammonium nitrate / vine / year) alone.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Application of the suitable N via 75 % inorganic N (134.3 g ammonium nitrate / vine / year) + 25% plant compost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 xml:space="preserve">2 % N)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0.75 kg / vine / year) + 15 ml EM / vine / year.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Application of the suitable N</w:t>
      </w:r>
      <w:r w:rsidR="005C64E9">
        <w:rPr>
          <w:rFonts w:cs="Times New Roman"/>
          <w:sz w:val="20"/>
          <w:szCs w:val="20"/>
          <w:lang w:bidi="ar-EG"/>
        </w:rPr>
        <w:t xml:space="preserve"> </w:t>
      </w:r>
      <w:r w:rsidRPr="004E7B74">
        <w:rPr>
          <w:rFonts w:cs="Times New Roman"/>
          <w:sz w:val="20"/>
          <w:szCs w:val="20"/>
          <w:lang w:bidi="ar-EG"/>
        </w:rPr>
        <w:t xml:space="preserve">via 75 % + 25 % farmyard manure (0.25 %)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6 kg / vine/ year) + 15 ml EM/ vine / year.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Application of the suitable N via 75 % inorganic N + 25% poultry manure (2.5</w:t>
      </w:r>
      <w:r w:rsidR="005C64E9">
        <w:rPr>
          <w:rFonts w:cs="Times New Roman"/>
          <w:sz w:val="20"/>
          <w:szCs w:val="20"/>
          <w:lang w:bidi="ar-EG"/>
        </w:rPr>
        <w:t>)</w:t>
      </w:r>
      <w:r w:rsidRPr="004E7B74">
        <w:rPr>
          <w:rFonts w:cs="Times New Roman"/>
          <w:sz w:val="20"/>
          <w:szCs w:val="20"/>
          <w:lang w:bidi="ar-EG"/>
        </w:rPr>
        <w:t xml:space="preserve">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600 g / vine / year).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Application of the suitable N via 50 % inorganic N (89.5 ammonium nitrate / vine/ year) + 50 % plant compost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1.5 kg/ vine/ year) + 30 ml EM / vine / year.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Application of the suitable N via 50 % inorganic N + 50 % farmyard manure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12 kg/ vine/ year)+ 30 ml EM / vine/ year.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Application of the suitable N via 50 % inorganic N + 50 % poultry manure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 xml:space="preserve">2.5 % N)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 xml:space="preserve">1.2 kg/ </w:t>
      </w:r>
      <w:proofErr w:type="gramStart"/>
      <w:r w:rsidRPr="004E7B74">
        <w:rPr>
          <w:rFonts w:cs="Times New Roman"/>
          <w:sz w:val="20"/>
          <w:szCs w:val="20"/>
          <w:lang w:bidi="ar-EG"/>
        </w:rPr>
        <w:t>vine</w:t>
      </w:r>
      <w:proofErr w:type="gramEnd"/>
      <w:r w:rsidRPr="004E7B74">
        <w:rPr>
          <w:rFonts w:cs="Times New Roman"/>
          <w:sz w:val="20"/>
          <w:szCs w:val="20"/>
          <w:lang w:bidi="ar-EG"/>
        </w:rPr>
        <w:t>/ year) + 30 ml EM/ vine/ year.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Application of the suitable N</w:t>
      </w:r>
      <w:r w:rsidR="005C64E9">
        <w:rPr>
          <w:rFonts w:cs="Times New Roman"/>
          <w:sz w:val="20"/>
          <w:szCs w:val="20"/>
          <w:lang w:bidi="ar-EG"/>
        </w:rPr>
        <w:t xml:space="preserve"> </w:t>
      </w:r>
      <w:r w:rsidRPr="004E7B74">
        <w:rPr>
          <w:rFonts w:cs="Times New Roman"/>
          <w:sz w:val="20"/>
          <w:szCs w:val="20"/>
          <w:lang w:bidi="ar-EG"/>
        </w:rPr>
        <w:t>via 25 % inorganic N (44.8 g ammonium nitrate / vine/ year) + 75% plant compost (2.25 kg / vine/ year) + 45 ml EM / vine/ year.</w:t>
      </w:r>
    </w:p>
    <w:p w:rsidR="00F97DA5" w:rsidRPr="004E7B74" w:rsidRDefault="00F97DA5" w:rsidP="004E7B74">
      <w:pPr>
        <w:numPr>
          <w:ilvl w:val="0"/>
          <w:numId w:val="1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Application of the suitable N via 25 % inorganic N + 75% farmyard manures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18 kg / vine/ year) + 45 ml EM / vine/ year.</w:t>
      </w:r>
    </w:p>
    <w:p w:rsidR="00F97DA5" w:rsidRPr="004E7B74" w:rsidRDefault="00F97DA5" w:rsidP="004E7B74">
      <w:pPr>
        <w:tabs>
          <w:tab w:val="num" w:pos="426"/>
        </w:tabs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10- Application of the suitable N via 25% inorganic N + 75% poultry manure (1.8 kg / vine/ year)+ 45 ml EM / vine/ year.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Each treatment was replicated three times, one vine per each. Ammonium nitrate (33.5 % N) as a source of inorganic N was divided into three equal batches applied as 45% at growth start (1</w:t>
      </w:r>
      <w:r w:rsidRPr="004E7B74">
        <w:rPr>
          <w:rFonts w:cs="Times New Roman"/>
          <w:sz w:val="20"/>
          <w:szCs w:val="20"/>
          <w:vertAlign w:val="superscript"/>
          <w:lang w:bidi="ar-EG"/>
        </w:rPr>
        <w:t>st</w:t>
      </w:r>
      <w:r w:rsidRPr="004E7B74">
        <w:rPr>
          <w:rFonts w:cs="Times New Roman"/>
          <w:sz w:val="20"/>
          <w:szCs w:val="20"/>
          <w:lang w:bidi="ar-EG"/>
        </w:rPr>
        <w:t xml:space="preserve"> week of March, 35% just after berry setting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4E7B74">
        <w:rPr>
          <w:rFonts w:cs="Times New Roman"/>
          <w:sz w:val="20"/>
          <w:szCs w:val="20"/>
          <w:lang w:bidi="ar-EG"/>
        </w:rPr>
        <w:t>mid of April) and 20% after harvesting (1</w:t>
      </w:r>
      <w:r w:rsidRPr="004E7B74">
        <w:rPr>
          <w:rFonts w:cs="Times New Roman"/>
          <w:sz w:val="20"/>
          <w:szCs w:val="20"/>
          <w:vertAlign w:val="superscript"/>
          <w:lang w:bidi="ar-EG"/>
        </w:rPr>
        <w:t>st</w:t>
      </w:r>
      <w:r w:rsidRPr="004E7B74">
        <w:rPr>
          <w:rFonts w:cs="Times New Roman"/>
          <w:sz w:val="20"/>
          <w:szCs w:val="20"/>
          <w:lang w:bidi="ar-EG"/>
        </w:rPr>
        <w:t xml:space="preserve"> week of August). EM (1 ml contains 0.6 x 10</w:t>
      </w:r>
      <w:r w:rsidRPr="004E7B74">
        <w:rPr>
          <w:rFonts w:cs="Times New Roman"/>
          <w:sz w:val="20"/>
          <w:szCs w:val="20"/>
          <w:vertAlign w:val="superscript"/>
          <w:lang w:bidi="ar-EG"/>
        </w:rPr>
        <w:t>7</w:t>
      </w:r>
      <w:r w:rsidRPr="004E7B74">
        <w:rPr>
          <w:rFonts w:cs="Times New Roman"/>
          <w:sz w:val="20"/>
          <w:szCs w:val="20"/>
          <w:lang w:bidi="ar-EG"/>
        </w:rPr>
        <w:t xml:space="preserve"> cells) were added once before growth start (1</w:t>
      </w:r>
      <w:r w:rsidRPr="004E7B74">
        <w:rPr>
          <w:rFonts w:cs="Times New Roman"/>
          <w:sz w:val="20"/>
          <w:szCs w:val="20"/>
          <w:vertAlign w:val="superscript"/>
          <w:lang w:bidi="ar-EG"/>
        </w:rPr>
        <w:t>st</w:t>
      </w:r>
      <w:r w:rsidRPr="004E7B74">
        <w:rPr>
          <w:rFonts w:cs="Times New Roman"/>
          <w:sz w:val="20"/>
          <w:szCs w:val="20"/>
          <w:lang w:bidi="ar-EG"/>
        </w:rPr>
        <w:t xml:space="preserve"> week of Mar.) The three organic manures were added just after winter pruning (mid. of Jan.) in drenches around all sides of the vines 50 cm depth</w:t>
      </w:r>
      <w:r w:rsidR="005C64E9">
        <w:rPr>
          <w:rFonts w:cs="Times New Roman"/>
          <w:sz w:val="20"/>
          <w:szCs w:val="20"/>
          <w:lang w:bidi="ar-EG"/>
        </w:rPr>
        <w:t>.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 xml:space="preserve">Randomized complete block design (RCBD) was followed where the experiment consisted of ten </w:t>
      </w:r>
      <w:proofErr w:type="gramStart"/>
      <w:r w:rsidRPr="004E7B74">
        <w:rPr>
          <w:rFonts w:cs="Times New Roman"/>
          <w:sz w:val="20"/>
          <w:szCs w:val="20"/>
        </w:rPr>
        <w:t>treatments,</w:t>
      </w:r>
      <w:proofErr w:type="gramEnd"/>
      <w:r w:rsidRPr="004E7B74">
        <w:rPr>
          <w:rFonts w:cs="Times New Roman"/>
          <w:sz w:val="20"/>
          <w:szCs w:val="20"/>
        </w:rPr>
        <w:t xml:space="preserve"> each treatment replicated three times, one vine per each.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lastRenderedPageBreak/>
        <w:t>During both seasons, the following parameters were recorded:</w:t>
      </w:r>
    </w:p>
    <w:p w:rsidR="00F97DA5" w:rsidRPr="004E7B74" w:rsidRDefault="00F97DA5" w:rsidP="004E7B74">
      <w:pPr>
        <w:numPr>
          <w:ilvl w:val="0"/>
          <w:numId w:val="2"/>
        </w:numPr>
        <w:tabs>
          <w:tab w:val="clear" w:pos="87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Vegetative growth characters namely main shoot length (cm.), leaf area</w:t>
      </w:r>
      <w:r w:rsidR="005C64E9">
        <w:rPr>
          <w:rFonts w:cs="Times New Roman" w:hint="eastAsia"/>
          <w:sz w:val="20"/>
          <w:szCs w:val="20"/>
          <w:lang w:eastAsia="zh-CN"/>
        </w:rPr>
        <w:t xml:space="preserve"> </w:t>
      </w:r>
      <w:r w:rsidRPr="004E7B74">
        <w:rPr>
          <w:rFonts w:cs="Times New Roman"/>
          <w:sz w:val="20"/>
          <w:szCs w:val="20"/>
        </w:rPr>
        <w:t>(cm</w:t>
      </w:r>
      <w:proofErr w:type="gramStart"/>
      <w:r w:rsidRPr="004E7B74">
        <w:rPr>
          <w:rFonts w:cs="Times New Roman"/>
          <w:sz w:val="20"/>
          <w:szCs w:val="20"/>
        </w:rPr>
        <w:t>)</w:t>
      </w:r>
      <w:r w:rsidRPr="004E7B74">
        <w:rPr>
          <w:rFonts w:cs="Times New Roman"/>
          <w:sz w:val="20"/>
          <w:szCs w:val="20"/>
          <w:vertAlign w:val="superscript"/>
        </w:rPr>
        <w:t>2</w:t>
      </w:r>
      <w:proofErr w:type="gramEnd"/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(</w:t>
      </w:r>
      <w:r w:rsidRPr="004E7B74">
        <w:rPr>
          <w:rFonts w:cs="Times New Roman"/>
          <w:b/>
          <w:bCs/>
          <w:sz w:val="20"/>
          <w:szCs w:val="20"/>
        </w:rPr>
        <w:t xml:space="preserve">Ahmed and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Morsy</w:t>
      </w:r>
      <w:proofErr w:type="spellEnd"/>
      <w:r w:rsidRPr="004E7B74">
        <w:rPr>
          <w:rFonts w:cs="Times New Roman"/>
          <w:b/>
          <w:bCs/>
          <w:sz w:val="20"/>
          <w:szCs w:val="20"/>
        </w:rPr>
        <w:t>, 1999</w:t>
      </w:r>
      <w:r w:rsidRPr="004E7B74">
        <w:rPr>
          <w:rFonts w:cs="Times New Roman"/>
          <w:sz w:val="20"/>
          <w:szCs w:val="20"/>
        </w:rPr>
        <w:t>), wood ripening coefficient, pruning weight</w:t>
      </w:r>
      <w:r w:rsidR="005C64E9">
        <w:rPr>
          <w:rFonts w:cs="Times New Roman"/>
          <w:sz w:val="20"/>
          <w:szCs w:val="20"/>
        </w:rPr>
        <w:t xml:space="preserve"> </w:t>
      </w:r>
      <w:r w:rsidRPr="004E7B74">
        <w:rPr>
          <w:rFonts w:cs="Times New Roman"/>
          <w:sz w:val="20"/>
          <w:szCs w:val="20"/>
        </w:rPr>
        <w:t>per vine (kg.) and cane thickness (mm).</w:t>
      </w:r>
    </w:p>
    <w:p w:rsidR="00F97DA5" w:rsidRPr="004E7B74" w:rsidRDefault="00F97DA5" w:rsidP="004E7B74">
      <w:pPr>
        <w:numPr>
          <w:ilvl w:val="0"/>
          <w:numId w:val="2"/>
        </w:numPr>
        <w:tabs>
          <w:tab w:val="clear" w:pos="87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Leaf chemical composition namely chlorophylls a &amp; b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total chlorophylls and total </w:t>
      </w:r>
      <w:proofErr w:type="spellStart"/>
      <w:r w:rsidRPr="004E7B74">
        <w:rPr>
          <w:rFonts w:cs="Times New Roman"/>
          <w:sz w:val="20"/>
          <w:szCs w:val="20"/>
        </w:rPr>
        <w:t>carotenoids</w:t>
      </w:r>
      <w:proofErr w:type="spellEnd"/>
      <w:r w:rsidRPr="004E7B74">
        <w:rPr>
          <w:rFonts w:cs="Times New Roman"/>
          <w:sz w:val="20"/>
          <w:szCs w:val="20"/>
        </w:rPr>
        <w:t xml:space="preserve"> (mg/ 100 g F.W (</w:t>
      </w:r>
      <w:r w:rsidRPr="004E7B74">
        <w:rPr>
          <w:rFonts w:cs="Times New Roman"/>
          <w:b/>
          <w:bCs/>
          <w:sz w:val="20"/>
          <w:szCs w:val="20"/>
        </w:rPr>
        <w:t xml:space="preserve">Von-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Wettstein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, 1957 and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Fadle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and Seri El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Deen</w:t>
      </w:r>
      <w:proofErr w:type="spellEnd"/>
      <w:r w:rsidRPr="004E7B74">
        <w:rPr>
          <w:rFonts w:cs="Times New Roman"/>
          <w:b/>
          <w:bCs/>
          <w:sz w:val="20"/>
          <w:szCs w:val="20"/>
        </w:rPr>
        <w:t>, 1978</w:t>
      </w:r>
      <w:r w:rsidRPr="004E7B74">
        <w:rPr>
          <w:rFonts w:cs="Times New Roman"/>
          <w:sz w:val="20"/>
          <w:szCs w:val="20"/>
        </w:rPr>
        <w:t xml:space="preserve">), nutrients namely N, P, K, Mg </w:t>
      </w:r>
      <w:r w:rsidR="005C64E9">
        <w:rPr>
          <w:rFonts w:cs="Times New Roman"/>
          <w:sz w:val="20"/>
          <w:szCs w:val="20"/>
        </w:rPr>
        <w:t>(</w:t>
      </w:r>
      <w:r w:rsidRPr="004E7B74">
        <w:rPr>
          <w:rFonts w:cs="Times New Roman"/>
          <w:sz w:val="20"/>
          <w:szCs w:val="20"/>
        </w:rPr>
        <w:t>as %</w:t>
      </w:r>
      <w:r w:rsidR="005C64E9">
        <w:rPr>
          <w:rFonts w:cs="Times New Roman"/>
          <w:sz w:val="20"/>
          <w:szCs w:val="20"/>
        </w:rPr>
        <w:t>)</w:t>
      </w:r>
      <w:r w:rsidRPr="004E7B74">
        <w:rPr>
          <w:rFonts w:cs="Times New Roman"/>
          <w:sz w:val="20"/>
          <w:szCs w:val="20"/>
        </w:rPr>
        <w:t xml:space="preserve"> </w:t>
      </w:r>
      <w:r w:rsidR="005C64E9">
        <w:rPr>
          <w:rFonts w:cs="Times New Roman"/>
          <w:sz w:val="20"/>
          <w:szCs w:val="20"/>
        </w:rPr>
        <w:t>(</w:t>
      </w:r>
      <w:r w:rsidRPr="004E7B74">
        <w:rPr>
          <w:rFonts w:cs="Times New Roman"/>
          <w:b/>
          <w:bCs/>
          <w:sz w:val="20"/>
          <w:szCs w:val="20"/>
        </w:rPr>
        <w:t xml:space="preserve">Black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1956 Wilde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1985,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Bato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1988 and Chapman and Pratt, 1987</w:t>
      </w:r>
      <w:r w:rsidRPr="004E7B74">
        <w:rPr>
          <w:rFonts w:cs="Times New Roman"/>
          <w:sz w:val="20"/>
          <w:szCs w:val="20"/>
        </w:rPr>
        <w:t>).</w:t>
      </w:r>
    </w:p>
    <w:p w:rsidR="00F97DA5" w:rsidRPr="004E7B74" w:rsidRDefault="00F97DA5" w:rsidP="004E7B74">
      <w:pPr>
        <w:numPr>
          <w:ilvl w:val="0"/>
          <w:numId w:val="2"/>
        </w:numPr>
        <w:tabs>
          <w:tab w:val="clear" w:pos="87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Berry setting %, yield, number of clusters/ vine and cluster characters (weight (g) &amp; length and width in cm).</w:t>
      </w:r>
    </w:p>
    <w:p w:rsidR="00F97DA5" w:rsidRPr="004E7B74" w:rsidRDefault="00F97DA5" w:rsidP="004E7B74">
      <w:pPr>
        <w:numPr>
          <w:ilvl w:val="0"/>
          <w:numId w:val="2"/>
        </w:numPr>
        <w:tabs>
          <w:tab w:val="clear" w:pos="870"/>
          <w:tab w:val="num" w:pos="426"/>
        </w:tabs>
        <w:bidi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 xml:space="preserve">Percentage of shot berries as well as physical and chemical characteristics of the berries namely berry weight (g.), longitudinal and equatorial (cm.), berry shape, T.S.S. %, total acidity % </w:t>
      </w:r>
      <w:r w:rsidR="005C64E9">
        <w:rPr>
          <w:rFonts w:cs="Times New Roman"/>
          <w:sz w:val="20"/>
          <w:szCs w:val="20"/>
        </w:rPr>
        <w:t>(</w:t>
      </w:r>
      <w:r w:rsidRPr="004E7B74">
        <w:rPr>
          <w:rFonts w:cs="Times New Roman"/>
          <w:sz w:val="20"/>
          <w:szCs w:val="20"/>
        </w:rPr>
        <w:t>as g tartaric acid / 100 ml juice)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reducing sugars % </w:t>
      </w:r>
      <w:r w:rsidR="005C64E9">
        <w:rPr>
          <w:rFonts w:cs="Times New Roman"/>
          <w:sz w:val="20"/>
          <w:szCs w:val="20"/>
        </w:rPr>
        <w:t>(</w:t>
      </w:r>
      <w:r w:rsidRPr="004E7B74">
        <w:rPr>
          <w:rFonts w:cs="Times New Roman"/>
          <w:b/>
          <w:bCs/>
          <w:sz w:val="20"/>
          <w:szCs w:val="20"/>
        </w:rPr>
        <w:t xml:space="preserve">Lane and 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Eynon</w:t>
      </w:r>
      <w:proofErr w:type="spellEnd"/>
      <w:r w:rsidR="005C64E9">
        <w:rPr>
          <w:rFonts w:cs="Times New Roman"/>
          <w:b/>
          <w:bCs/>
          <w:sz w:val="20"/>
          <w:szCs w:val="20"/>
        </w:rPr>
        <w:t>,</w:t>
      </w:r>
      <w:r w:rsidRPr="004E7B74">
        <w:rPr>
          <w:rFonts w:cs="Times New Roman"/>
          <w:b/>
          <w:bCs/>
          <w:sz w:val="20"/>
          <w:szCs w:val="20"/>
        </w:rPr>
        <w:t xml:space="preserve"> 1965 and A.O.A.C., 2000</w:t>
      </w:r>
      <w:r w:rsidRPr="004E7B74">
        <w:rPr>
          <w:rFonts w:cs="Times New Roman"/>
          <w:sz w:val="20"/>
          <w:szCs w:val="20"/>
        </w:rPr>
        <w:t>), nitrate and nitrite (</w:t>
      </w:r>
      <w:proofErr w:type="spellStart"/>
      <w:r w:rsidRPr="004E7B74">
        <w:rPr>
          <w:rFonts w:cs="Times New Roman"/>
          <w:sz w:val="20"/>
          <w:szCs w:val="20"/>
        </w:rPr>
        <w:t>ppm</w:t>
      </w:r>
      <w:proofErr w:type="spellEnd"/>
      <w:r w:rsidRPr="004E7B74">
        <w:rPr>
          <w:rFonts w:cs="Times New Roman"/>
          <w:sz w:val="20"/>
          <w:szCs w:val="20"/>
        </w:rPr>
        <w:t>) (</w:t>
      </w:r>
      <w:proofErr w:type="spellStart"/>
      <w:r w:rsidRPr="004E7B74">
        <w:rPr>
          <w:rFonts w:cs="Times New Roman"/>
          <w:b/>
          <w:bCs/>
          <w:sz w:val="20"/>
          <w:szCs w:val="20"/>
        </w:rPr>
        <w:t>Sen</w:t>
      </w:r>
      <w:proofErr w:type="spellEnd"/>
      <w:r w:rsidRPr="004E7B74">
        <w:rPr>
          <w:rFonts w:cs="Times New Roman"/>
          <w:b/>
          <w:bCs/>
          <w:sz w:val="20"/>
          <w:szCs w:val="20"/>
        </w:rPr>
        <w:t xml:space="preserve"> and Donaldson, 1978</w:t>
      </w:r>
      <w:r w:rsidRPr="004E7B74">
        <w:rPr>
          <w:rFonts w:cs="Times New Roman"/>
          <w:sz w:val="20"/>
          <w:szCs w:val="20"/>
        </w:rPr>
        <w:t>).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Statistical analysis was done using New L.S.D. at 5% for made all comparisons among different treatment means (</w:t>
      </w:r>
      <w:r w:rsidRPr="004E7B74">
        <w:rPr>
          <w:rFonts w:cs="Times New Roman"/>
          <w:b/>
          <w:bCs/>
          <w:sz w:val="20"/>
          <w:szCs w:val="20"/>
        </w:rPr>
        <w:t xml:space="preserve">Mead </w:t>
      </w:r>
      <w:r w:rsidRPr="004E7B74">
        <w:rPr>
          <w:rFonts w:cs="Times New Roman"/>
          <w:b/>
          <w:bCs/>
          <w:i/>
          <w:iCs/>
          <w:sz w:val="20"/>
          <w:szCs w:val="20"/>
        </w:rPr>
        <w:t>et al.,</w:t>
      </w:r>
      <w:r w:rsidRPr="004E7B74">
        <w:rPr>
          <w:rFonts w:cs="Times New Roman"/>
          <w:b/>
          <w:bCs/>
          <w:sz w:val="20"/>
          <w:szCs w:val="20"/>
        </w:rPr>
        <w:t xml:space="preserve"> 1993</w:t>
      </w:r>
      <w:r w:rsidRPr="004E7B74">
        <w:rPr>
          <w:rFonts w:cs="Times New Roman"/>
          <w:sz w:val="20"/>
          <w:szCs w:val="20"/>
        </w:rPr>
        <w:t>).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</w:p>
    <w:p w:rsidR="00F97DA5" w:rsidRPr="004E7B74" w:rsidRDefault="00F97DA5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>3. Results and Discussion</w:t>
      </w:r>
    </w:p>
    <w:p w:rsidR="00F97DA5" w:rsidRPr="004E7B74" w:rsidRDefault="00F97DA5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>1- Growth characters: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 xml:space="preserve">Data in Table (5) clearly show that supplying the vines with N as 50 to 75% inorganic N plus 25 to 50% organic manures </w:t>
      </w:r>
      <w:r w:rsidR="005C64E9">
        <w:rPr>
          <w:rFonts w:cs="Times New Roman"/>
          <w:sz w:val="20"/>
          <w:szCs w:val="20"/>
        </w:rPr>
        <w:t>(</w:t>
      </w:r>
      <w:r w:rsidRPr="004E7B74">
        <w:rPr>
          <w:rFonts w:cs="Times New Roman"/>
          <w:sz w:val="20"/>
          <w:szCs w:val="20"/>
        </w:rPr>
        <w:t>poultry manure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plant compost and farmyard manure) + 15 to 30 ml EM/ vine/ year significantly stimulated the five growth characters namely main shoot length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leaf area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wood ripening coefficient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pruning wood weight per vine and cane thickness comparing with using inorganic N alone at 100% or 25.0 % with organic and </w:t>
      </w:r>
      <w:proofErr w:type="spellStart"/>
      <w:r w:rsidRPr="004E7B74">
        <w:rPr>
          <w:rFonts w:cs="Times New Roman"/>
          <w:sz w:val="20"/>
          <w:szCs w:val="20"/>
        </w:rPr>
        <w:t>biofertilization</w:t>
      </w:r>
      <w:proofErr w:type="spellEnd"/>
      <w:r w:rsidRPr="004E7B74">
        <w:rPr>
          <w:rFonts w:cs="Times New Roman"/>
          <w:sz w:val="20"/>
          <w:szCs w:val="20"/>
        </w:rPr>
        <w:t xml:space="preserve"> with EM. The best organic manures in enhancing these growth characters were poultry manure, plant compost and farmyard manure, in descending order. There was a significant reduction on these growth characters with using N as 25% inorganic N. The maximum values were recorded on the vines that supplied with N as 50% inorganic N + 50% poultry manure + 30 ml EM/ vine/ year. The vines received N as 25% inorganic N + 75% farmyard manure + 45 ml EM/ vine / year gave the lowest values. These results were true during both seasons.</w:t>
      </w:r>
    </w:p>
    <w:p w:rsidR="00F97DA5" w:rsidRPr="004E7B74" w:rsidRDefault="00F97DA5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>2- Leaf chemical composition: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4E7B74">
        <w:rPr>
          <w:rFonts w:cs="Times New Roman"/>
          <w:sz w:val="20"/>
          <w:szCs w:val="20"/>
        </w:rPr>
        <w:t>It is clear from the data in Tables (6 &amp; 7) that fertilizing the vines with N as 25 to 75% inorganic + 25 to 75% organic manures+ 15 to 45 ml EM/ vine significantly enhanced chlorophylls a &amp; b</w:t>
      </w:r>
      <w:r w:rsidR="005C64E9">
        <w:rPr>
          <w:rFonts w:cs="Times New Roman"/>
          <w:sz w:val="20"/>
          <w:szCs w:val="20"/>
        </w:rPr>
        <w:t>,</w:t>
      </w:r>
      <w:r w:rsidRPr="004E7B74">
        <w:rPr>
          <w:rFonts w:cs="Times New Roman"/>
          <w:sz w:val="20"/>
          <w:szCs w:val="20"/>
        </w:rPr>
        <w:t xml:space="preserve"> total chlorophylls, total </w:t>
      </w:r>
      <w:proofErr w:type="spellStart"/>
      <w:r w:rsidRPr="004E7B74">
        <w:rPr>
          <w:rFonts w:cs="Times New Roman"/>
          <w:sz w:val="20"/>
          <w:szCs w:val="20"/>
        </w:rPr>
        <w:t>carotenoids</w:t>
      </w:r>
      <w:proofErr w:type="spellEnd"/>
      <w:r w:rsidRPr="004E7B74">
        <w:rPr>
          <w:rFonts w:cs="Times New Roman"/>
          <w:sz w:val="20"/>
          <w:szCs w:val="20"/>
        </w:rPr>
        <w:t xml:space="preserve">, N, P, K and Mg in the leaves rather than application of N via 100% inorganic </w:t>
      </w:r>
      <w:r w:rsidRPr="004E7B74">
        <w:rPr>
          <w:rFonts w:cs="Times New Roman"/>
          <w:sz w:val="20"/>
          <w:szCs w:val="20"/>
        </w:rPr>
        <w:lastRenderedPageBreak/>
        <w:t xml:space="preserve">N. The promotion on these plant pigments and nutrients was significantly associated with reducing the percentages of inorganic N from 100 to 25% and at the same time increasing the percentages of organic manures form 0.0 to 75% and levels of EM from 0.0 to 45 ml/ vine / year. </w:t>
      </w:r>
      <w:proofErr w:type="gramStart"/>
      <w:r w:rsidRPr="004E7B74">
        <w:rPr>
          <w:rFonts w:cs="Times New Roman"/>
          <w:sz w:val="20"/>
          <w:szCs w:val="20"/>
        </w:rPr>
        <w:t>The best organic manures in enhancing vine nutritional status in descending order were poultry manure, plant compost and farmyard manure.</w:t>
      </w:r>
      <w:proofErr w:type="gramEnd"/>
      <w:r w:rsidRPr="004E7B74">
        <w:rPr>
          <w:rFonts w:cs="Times New Roman"/>
          <w:sz w:val="20"/>
          <w:szCs w:val="20"/>
        </w:rPr>
        <w:t xml:space="preserve"> The maximum values were recorded on the vines that received N as 25% inorganic N + 75% poultry manure + 45 ml EM/ vine/ year. The vines that are inorganic fertilization alone gave the lowest values. These results were true during both seasons.</w:t>
      </w:r>
    </w:p>
    <w:p w:rsidR="00F97DA5" w:rsidRPr="004E7B74" w:rsidRDefault="00F97DA5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4E7B74">
        <w:rPr>
          <w:rFonts w:cs="Times New Roman"/>
          <w:b/>
          <w:bCs/>
          <w:sz w:val="20"/>
          <w:szCs w:val="20"/>
        </w:rPr>
        <w:t>3- Berry setting %, yield and cluster characters: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Tables (8 &amp; 9) show that supplying the vines with N as 50 to 75% inorganic N + 25 to 50 % organic manures + 15 to 30 ml/ EM/ vine / year significantly improved the percentage of berry setting, yield, number of clusters/ vine and cluster characters (namely weight, length and width) over the application of N as25% or 100% inorganic N. Using organic manures namely poultry manure, plant compost and farmyard manure</w:t>
      </w:r>
      <w:r w:rsidR="005C64E9">
        <w:rPr>
          <w:rFonts w:cs="Times New Roman"/>
          <w:sz w:val="20"/>
          <w:szCs w:val="20"/>
          <w:lang w:bidi="ar-EG"/>
        </w:rPr>
        <w:t>,</w:t>
      </w:r>
      <w:r w:rsidRPr="004E7B74">
        <w:rPr>
          <w:rFonts w:cs="Times New Roman"/>
          <w:sz w:val="20"/>
          <w:szCs w:val="20"/>
          <w:lang w:bidi="ar-EG"/>
        </w:rPr>
        <w:t xml:space="preserve"> in descending order significantly was responsible for improving berry setting % yield and cluster character. The maximum yield during both seasons (10.7 &amp; 16.5 kg / vine) was recorded on the vines that fertilized with N as 50% inorganic + 50 % poultry manure + 30 ml EM / vine/ year. The vines that fertilized with N completely via inorganic N form produced 8.3 and 10.1 kg during both season, respectively. The percentage of increase on the yield due to using the previous promised treatment (50% inorganic N + 50% poultry manure + 30 ml EM/ vine/ year) over the check treatment (received N as 100% in organic N) reached 28.9 and 63.4 % during 2013 and 2014 seasons, respectively. These results were true during both seasons.</w:t>
      </w:r>
    </w:p>
    <w:p w:rsidR="00F97DA5" w:rsidRPr="004E7B74" w:rsidRDefault="00F97DA5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4E7B74">
        <w:rPr>
          <w:rFonts w:cs="Times New Roman"/>
          <w:b/>
          <w:bCs/>
          <w:sz w:val="20"/>
          <w:szCs w:val="20"/>
          <w:lang w:bidi="ar-EG"/>
        </w:rPr>
        <w:t>4- Percentage of shot berries: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Data in Table (10) clearly show that using N as 25 to 75% inorganic N + 25 to 75% organic manures+ 15 to 45 ml EM/ vine/ year significantly reduced shot berries % over the application of N as 100% inorganic. The reduction significantly was in proportional to the reduction on the percentages of inorganic N from 100 to 25% and at the same time increasing the percentages of organic manures from 0.0 to 75% and levels of EM from 0.0 to 45 ml EM/ vine/ year. The best organic manures in this respect </w:t>
      </w:r>
      <w:proofErr w:type="gramStart"/>
      <w:r w:rsidRPr="004E7B74">
        <w:rPr>
          <w:rFonts w:cs="Times New Roman"/>
          <w:sz w:val="20"/>
          <w:szCs w:val="20"/>
          <w:lang w:bidi="ar-EG"/>
        </w:rPr>
        <w:t>was</w:t>
      </w:r>
      <w:proofErr w:type="gramEnd"/>
      <w:r w:rsidRPr="004E7B74">
        <w:rPr>
          <w:rFonts w:cs="Times New Roman"/>
          <w:sz w:val="20"/>
          <w:szCs w:val="20"/>
          <w:lang w:bidi="ar-EG"/>
        </w:rPr>
        <w:t xml:space="preserve"> poultry manure. The worst results were recorded on the vines that received N as 100% inorganic N. The lowest values were recorded on the vines that supplied with N as 25% inorganic N + 75% poultry manure + 45 ml EM/ vine / year. These results were true during seasons.</w:t>
      </w:r>
    </w:p>
    <w:p w:rsidR="005C64E9" w:rsidRDefault="005C64E9" w:rsidP="004E7B74">
      <w:pPr>
        <w:bidi w:val="0"/>
        <w:snapToGrid w:val="0"/>
        <w:jc w:val="both"/>
        <w:rPr>
          <w:rFonts w:cs="Times New Roman" w:hint="eastAsia"/>
          <w:b/>
          <w:bCs/>
          <w:sz w:val="20"/>
          <w:szCs w:val="20"/>
          <w:lang w:eastAsia="zh-CN" w:bidi="ar-EG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20"/>
          <w:lang w:eastAsia="zh-CN" w:bidi="ar-EG"/>
        </w:rPr>
      </w:pPr>
    </w:p>
    <w:p w:rsidR="00F97DA5" w:rsidRPr="004E7B74" w:rsidRDefault="00F97DA5" w:rsidP="005C64E9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4E7B74">
        <w:rPr>
          <w:rFonts w:cs="Times New Roman"/>
          <w:b/>
          <w:bCs/>
          <w:sz w:val="20"/>
          <w:szCs w:val="20"/>
          <w:lang w:bidi="ar-EG"/>
        </w:rPr>
        <w:lastRenderedPageBreak/>
        <w:t>5- Fruit quality:</w:t>
      </w:r>
    </w:p>
    <w:p w:rsidR="00F97DA5" w:rsidRPr="004E7B74" w:rsidRDefault="00F97DA5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Data in Tables (10 &amp; 11) obviously reveal that using N as 25 to 75% inorganic N + 25 to 75% organic manures + 15 to 45 ml EM/ vine/ year significantly was very effective in improving quality of the berries in terms of increasing berry weight and dimensions (longitudinal and equatorial), T.S.S. % and reducing sugars and decreasing total acidity %, nitrite and nitrate in the juice comparing with using N as 100 % inorganic. There was a gradual and significant promotion on quality of the berries with reducing the percentages of inorganic N from 100 to </w:t>
      </w:r>
      <w:r w:rsidRPr="004E7B74">
        <w:rPr>
          <w:rFonts w:cs="Times New Roman"/>
          <w:sz w:val="20"/>
          <w:szCs w:val="20"/>
          <w:lang w:bidi="ar-EG"/>
        </w:rPr>
        <w:lastRenderedPageBreak/>
        <w:t>25% as well as increasing the percentages of organic manures from 0.0 to 75 % and levels of EM from 0.0 to 45 ml / vine/ year. The best organic manures in this respect were poultry manure</w:t>
      </w:r>
      <w:r w:rsidR="005C64E9">
        <w:rPr>
          <w:rFonts w:cs="Times New Roman"/>
          <w:sz w:val="20"/>
          <w:szCs w:val="20"/>
          <w:lang w:bidi="ar-EG"/>
        </w:rPr>
        <w:t>,</w:t>
      </w:r>
      <w:r w:rsidRPr="004E7B74">
        <w:rPr>
          <w:rFonts w:cs="Times New Roman"/>
          <w:sz w:val="20"/>
          <w:szCs w:val="20"/>
          <w:lang w:bidi="ar-EG"/>
        </w:rPr>
        <w:t xml:space="preserve"> plant compost and farmyard manure</w:t>
      </w:r>
      <w:r w:rsidR="005C64E9">
        <w:rPr>
          <w:rFonts w:cs="Times New Roman"/>
          <w:sz w:val="20"/>
          <w:szCs w:val="20"/>
          <w:lang w:bidi="ar-EG"/>
        </w:rPr>
        <w:t>,</w:t>
      </w:r>
      <w:r w:rsidRPr="004E7B74">
        <w:rPr>
          <w:rFonts w:cs="Times New Roman"/>
          <w:sz w:val="20"/>
          <w:szCs w:val="20"/>
          <w:lang w:bidi="ar-EG"/>
        </w:rPr>
        <w:t xml:space="preserve"> in descending order</w:t>
      </w:r>
      <w:r w:rsidR="005C64E9">
        <w:rPr>
          <w:rFonts w:cs="Times New Roman"/>
          <w:sz w:val="20"/>
          <w:szCs w:val="20"/>
          <w:lang w:bidi="ar-EG"/>
        </w:rPr>
        <w:t>.</w:t>
      </w:r>
      <w:r w:rsidRPr="004E7B74">
        <w:rPr>
          <w:rFonts w:cs="Times New Roman"/>
          <w:sz w:val="20"/>
          <w:szCs w:val="20"/>
          <w:lang w:bidi="ar-EG"/>
        </w:rPr>
        <w:t xml:space="preserve"> The best results with regard to quality of the berries were obtained with using N as 25% inorganic N + 75% poultry manure + 45 ml EM/ vine / year. </w:t>
      </w:r>
      <w:proofErr w:type="spellStart"/>
      <w:r w:rsidRPr="004E7B74">
        <w:rPr>
          <w:rFonts w:cs="Times New Roman"/>
          <w:sz w:val="20"/>
          <w:szCs w:val="20"/>
          <w:lang w:bidi="ar-EG"/>
        </w:rPr>
        <w:t>Unfavourable</w:t>
      </w:r>
      <w:proofErr w:type="spellEnd"/>
      <w:r w:rsidRPr="004E7B74">
        <w:rPr>
          <w:rFonts w:cs="Times New Roman"/>
          <w:sz w:val="20"/>
          <w:szCs w:val="20"/>
          <w:lang w:bidi="ar-EG"/>
        </w:rPr>
        <w:t xml:space="preserve"> effects on fruit quality were attributed to using N completely via inorganic form. These results were true during both seasons.</w:t>
      </w:r>
    </w:p>
    <w:p w:rsidR="004E7B74" w:rsidRDefault="004E7B74" w:rsidP="004E7B74">
      <w:pPr>
        <w:bidi w:val="0"/>
        <w:snapToGrid w:val="0"/>
        <w:jc w:val="center"/>
        <w:rPr>
          <w:rFonts w:cs="Times New Roman"/>
          <w:b/>
          <w:bCs/>
          <w:sz w:val="20"/>
          <w:szCs w:val="14"/>
          <w:lang w:bidi="ar-EG"/>
        </w:rPr>
        <w:sectPr w:rsidR="004E7B74" w:rsidSect="005C64E9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846488" w:rsidRDefault="00846488" w:rsidP="004E7B74">
      <w:pPr>
        <w:bidi w:val="0"/>
        <w:snapToGrid w:val="0"/>
        <w:jc w:val="center"/>
        <w:rPr>
          <w:rFonts w:cs="Times New Roman"/>
          <w:b/>
          <w:bCs/>
          <w:sz w:val="20"/>
          <w:szCs w:val="14"/>
          <w:lang w:eastAsia="zh-CN" w:bidi="ar-EG"/>
        </w:rPr>
      </w:pPr>
    </w:p>
    <w:p w:rsidR="00E60D72" w:rsidRDefault="00E60D72" w:rsidP="00E60D72">
      <w:pPr>
        <w:bidi w:val="0"/>
        <w:snapToGrid w:val="0"/>
        <w:jc w:val="center"/>
        <w:rPr>
          <w:rFonts w:cs="Times New Roman"/>
          <w:b/>
          <w:bCs/>
          <w:sz w:val="20"/>
          <w:szCs w:val="14"/>
          <w:lang w:eastAsia="zh-CN" w:bidi="ar-EG"/>
        </w:rPr>
      </w:pPr>
    </w:p>
    <w:p w:rsidR="00E60D72" w:rsidRPr="004E7B74" w:rsidRDefault="00E60D72" w:rsidP="00E60D72">
      <w:pPr>
        <w:bidi w:val="0"/>
        <w:snapToGrid w:val="0"/>
        <w:jc w:val="center"/>
        <w:rPr>
          <w:rFonts w:cs="Times New Roman"/>
          <w:b/>
          <w:bCs/>
          <w:sz w:val="20"/>
          <w:szCs w:val="14"/>
          <w:lang w:eastAsia="zh-CN" w:bidi="ar-EG"/>
        </w:rPr>
      </w:pPr>
    </w:p>
    <w:p w:rsidR="00846488" w:rsidRPr="00E60D72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E60D72">
        <w:rPr>
          <w:rFonts w:cs="Times New Roman"/>
          <w:b/>
          <w:bCs/>
          <w:sz w:val="20"/>
          <w:szCs w:val="20"/>
        </w:rPr>
        <w:t xml:space="preserve">Table (5): Effect of using some organic </w:t>
      </w:r>
      <w:proofErr w:type="gramStart"/>
      <w:r w:rsidRPr="00E60D72">
        <w:rPr>
          <w:rFonts w:cs="Times New Roman"/>
          <w:b/>
          <w:bCs/>
          <w:sz w:val="20"/>
          <w:szCs w:val="20"/>
        </w:rPr>
        <w:t>manures</w:t>
      </w:r>
      <w:proofErr w:type="gramEnd"/>
      <w:r w:rsidRPr="00E60D72">
        <w:rPr>
          <w:rFonts w:cs="Times New Roman"/>
          <w:b/>
          <w:bCs/>
          <w:sz w:val="20"/>
          <w:szCs w:val="20"/>
        </w:rPr>
        <w:t xml:space="preserve"> enriched with EM as a partial replacement of inorganic N fertilizer on some vegetative growth characters of Superior grapevines during 2013 and 2014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764"/>
        <w:gridCol w:w="764"/>
        <w:gridCol w:w="679"/>
        <w:gridCol w:w="679"/>
        <w:gridCol w:w="747"/>
        <w:gridCol w:w="747"/>
        <w:gridCol w:w="812"/>
        <w:gridCol w:w="812"/>
        <w:gridCol w:w="736"/>
        <w:gridCol w:w="736"/>
      </w:tblGrid>
      <w:tr w:rsidR="00846488" w:rsidRPr="00035A1E" w:rsidTr="004E7B74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N Management treatments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Main shoot length (cm.)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Leaf area (cm.)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Wood ripening coefficient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Pruning wood weight / vine (kg.)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Cane thickness (mm) 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225.7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228.7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205.7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208.0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0.75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0.73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1.79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1.80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7.89</w:t>
            </w:r>
          </w:p>
        </w:tc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8.09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+ 25% P.C. + 15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251.7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254.3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210.0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212.7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0.81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2.01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8.50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8.71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+ 25 % F.Y.M. + 15 ml EM 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239.3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241.7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207.3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210.0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1.90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1.92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8.25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8.46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266.7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269.0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212.7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214.7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0.85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0.83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2.12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2.13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8.80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9.00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+ 50 % P.C.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291.9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294.4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218.7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221.5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0.91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0.89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2.41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2.42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9.89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10.11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279.7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282.8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215.0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218.0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0.88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0.86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2.25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2.27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9.11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9.41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305.7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308.3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222.3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225.6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0.94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0.92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2.54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2.55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10.50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10.80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+ 75 % P.C.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190.0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192.6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201.3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204.3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0.68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0.66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1.57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1.59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7.60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7.99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175.0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177.6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199.3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202.7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0.64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0.62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1.47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1.47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7.54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7.90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213.3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203.6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206.4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0.70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1.68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1.69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7.66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8.11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 xml:space="preserve">New L.S.D. at 5% 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0.11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0.14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1.1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0.9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0.03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0.03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0.10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0.11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0.04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20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20"/>
                <w:lang w:bidi="ar-EG"/>
              </w:rPr>
              <w:t>0.05</w:t>
            </w:r>
          </w:p>
        </w:tc>
      </w:tr>
    </w:tbl>
    <w:p w:rsidR="00846488" w:rsidRPr="00E60D72" w:rsidRDefault="00846488" w:rsidP="004E7B74">
      <w:pPr>
        <w:bidi w:val="0"/>
        <w:snapToGrid w:val="0"/>
        <w:jc w:val="both"/>
        <w:rPr>
          <w:rFonts w:cs="Times New Roman"/>
          <w:sz w:val="20"/>
          <w:szCs w:val="20"/>
          <w:lang w:bidi="ar-EG"/>
        </w:rPr>
      </w:pPr>
      <w:r w:rsidRPr="00E60D72">
        <w:rPr>
          <w:rFonts w:cs="Times New Roman"/>
          <w:sz w:val="20"/>
          <w:szCs w:val="20"/>
          <w:lang w:bidi="ar-EG"/>
        </w:rPr>
        <w:t>- P.C</w:t>
      </w:r>
      <w:proofErr w:type="gramStart"/>
      <w:r w:rsidRPr="00E60D72">
        <w:rPr>
          <w:rFonts w:cs="Times New Roman"/>
          <w:sz w:val="20"/>
          <w:szCs w:val="20"/>
          <w:lang w:bidi="ar-EG"/>
        </w:rPr>
        <w:t>.=</w:t>
      </w:r>
      <w:proofErr w:type="gramEnd"/>
      <w:r w:rsidRPr="00E60D72">
        <w:rPr>
          <w:rFonts w:cs="Times New Roman"/>
          <w:sz w:val="20"/>
          <w:szCs w:val="20"/>
          <w:lang w:bidi="ar-EG"/>
        </w:rPr>
        <w:t xml:space="preserve"> Plant compost </w:t>
      </w:r>
      <w:r w:rsidR="005C64E9">
        <w:rPr>
          <w:rFonts w:cs="Times New Roman"/>
          <w:sz w:val="20"/>
          <w:szCs w:val="20"/>
          <w:lang w:bidi="ar-EG"/>
        </w:rPr>
        <w:t>(</w:t>
      </w:r>
      <w:r w:rsidRPr="00E60D72">
        <w:rPr>
          <w:rFonts w:cs="Times New Roman"/>
          <w:sz w:val="20"/>
          <w:szCs w:val="20"/>
          <w:lang w:bidi="ar-EG"/>
        </w:rPr>
        <w:t>2 % N</w:t>
      </w:r>
      <w:r w:rsidR="005C64E9">
        <w:rPr>
          <w:rFonts w:cs="Times New Roman"/>
          <w:sz w:val="20"/>
          <w:szCs w:val="20"/>
          <w:lang w:bidi="ar-EG"/>
        </w:rPr>
        <w:t>)</w:t>
      </w:r>
      <w:r w:rsidRPr="00E60D72">
        <w:rPr>
          <w:rFonts w:cs="Times New Roman"/>
          <w:sz w:val="20"/>
          <w:szCs w:val="20"/>
          <w:lang w:bidi="ar-EG"/>
        </w:rPr>
        <w:t xml:space="preserve"> </w:t>
      </w:r>
      <w:r w:rsidRPr="00E60D72">
        <w:rPr>
          <w:rFonts w:cs="Times New Roman"/>
          <w:sz w:val="20"/>
          <w:szCs w:val="20"/>
          <w:lang w:bidi="ar-EG"/>
        </w:rPr>
        <w:tab/>
      </w:r>
      <w:r w:rsidRPr="00E60D72">
        <w:rPr>
          <w:rFonts w:cs="Times New Roman"/>
          <w:sz w:val="20"/>
          <w:szCs w:val="20"/>
          <w:lang w:bidi="ar-EG"/>
        </w:rPr>
        <w:tab/>
      </w:r>
      <w:r w:rsidRPr="00E60D72">
        <w:rPr>
          <w:rFonts w:cs="Times New Roman"/>
          <w:sz w:val="20"/>
          <w:szCs w:val="20"/>
          <w:lang w:bidi="ar-EG"/>
        </w:rPr>
        <w:tab/>
        <w:t>– P.M = Poultry manure 2 % N)</w:t>
      </w:r>
    </w:p>
    <w:p w:rsidR="005C64E9" w:rsidRDefault="005C64E9" w:rsidP="00E60D72">
      <w:pPr>
        <w:bidi w:val="0"/>
        <w:snapToGrid w:val="0"/>
        <w:jc w:val="both"/>
        <w:rPr>
          <w:rFonts w:cs="Times New Roman" w:hint="eastAsia"/>
          <w:b/>
          <w:bCs/>
          <w:sz w:val="20"/>
          <w:szCs w:val="18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18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18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18"/>
          <w:lang w:eastAsia="zh-CN"/>
        </w:rPr>
      </w:pPr>
    </w:p>
    <w:p w:rsidR="00846488" w:rsidRPr="00E60D72" w:rsidRDefault="00846488" w:rsidP="005C64E9">
      <w:pPr>
        <w:bidi w:val="0"/>
        <w:snapToGrid w:val="0"/>
        <w:jc w:val="both"/>
        <w:rPr>
          <w:rFonts w:cs="Times New Roman"/>
          <w:b/>
          <w:bCs/>
          <w:sz w:val="20"/>
          <w:szCs w:val="18"/>
        </w:rPr>
      </w:pPr>
      <w:r w:rsidRPr="00E60D72">
        <w:rPr>
          <w:rFonts w:cs="Times New Roman"/>
          <w:b/>
          <w:bCs/>
          <w:sz w:val="20"/>
          <w:szCs w:val="18"/>
        </w:rPr>
        <w:t xml:space="preserve">Table (6): Effect of using some organic </w:t>
      </w:r>
      <w:proofErr w:type="gramStart"/>
      <w:r w:rsidRPr="00E60D72">
        <w:rPr>
          <w:rFonts w:cs="Times New Roman"/>
          <w:b/>
          <w:bCs/>
          <w:sz w:val="20"/>
          <w:szCs w:val="18"/>
        </w:rPr>
        <w:t>manures</w:t>
      </w:r>
      <w:proofErr w:type="gramEnd"/>
      <w:r w:rsidRPr="00E60D72">
        <w:rPr>
          <w:rFonts w:cs="Times New Roman"/>
          <w:b/>
          <w:bCs/>
          <w:sz w:val="20"/>
          <w:szCs w:val="18"/>
        </w:rPr>
        <w:t xml:space="preserve"> enriched with EM as a partial replacement of inorganic N fertilizer on some leaf pigments of Superior grapevines during 2013 and 2014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863"/>
        <w:gridCol w:w="863"/>
        <w:gridCol w:w="865"/>
        <w:gridCol w:w="865"/>
        <w:gridCol w:w="927"/>
        <w:gridCol w:w="927"/>
        <w:gridCol w:w="914"/>
        <w:gridCol w:w="914"/>
      </w:tblGrid>
      <w:tr w:rsidR="00846488" w:rsidRPr="00035A1E" w:rsidTr="004E7B74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N Management treatments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Chlorophyll a </w:t>
            </w:r>
            <w:r w:rsidR="005C64E9">
              <w:rPr>
                <w:rFonts w:eastAsiaTheme="minorEastAsia" w:cs="Times New Roman"/>
                <w:sz w:val="19"/>
                <w:szCs w:val="19"/>
                <w:lang w:bidi="ar-EG"/>
              </w:rPr>
              <w:t>(</w:t>
            </w: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mg/ 100 g F.W.)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Chlorophyll b </w:t>
            </w:r>
            <w:r w:rsidR="005C64E9">
              <w:rPr>
                <w:rFonts w:eastAsiaTheme="minorEastAsia" w:cs="Times New Roman"/>
                <w:sz w:val="19"/>
                <w:szCs w:val="19"/>
                <w:lang w:bidi="ar-EG"/>
              </w:rPr>
              <w:t>(</w:t>
            </w: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mg/ 100 g F.W.)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Total chlorophylls</w:t>
            </w:r>
            <w:r w:rsidR="005C64E9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(mg/ 100 g F.W.)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Total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carotenoids</w:t>
            </w:r>
            <w:proofErr w:type="spellEnd"/>
            <w:r w:rsidR="005C64E9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(mg/ 100 g F.W.)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4.11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4.30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1.91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1.94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6.02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6.24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1.61</w:t>
            </w:r>
          </w:p>
        </w:tc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1.64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+ 25% P.C. + 15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4.39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4.58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2.09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2.12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6.48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6.70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1.91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2.00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+ 25 % F.Y.M. + 15 ml EM 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4.22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4.44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1.99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2.02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6.21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6.46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1.81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1.90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4.71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4.92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2.19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2.22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6.90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7.14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2.11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2.20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+ 50 % P.C.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5.29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5.80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2.44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2.48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7.73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8.28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2.29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2.38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5.56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2.33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2.37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7.33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7.89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2.20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2.29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5.61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5.72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2.55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2.59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8.16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8.31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2.41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2.50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+ 75 % P.C.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6.15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2.81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2.85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8.81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9.00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2.66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2.75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5.84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2.67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2.70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8.51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8.70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2.54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2.63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6.29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6.33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2.95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3.00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9.24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9.33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2.77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2.88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New L.S.D. at 5% 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0.11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0.12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0.04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0.05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0.07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0.08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0.06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0.07</w:t>
            </w:r>
          </w:p>
        </w:tc>
      </w:tr>
    </w:tbl>
    <w:p w:rsidR="00846488" w:rsidRPr="00E60D72" w:rsidRDefault="00846488" w:rsidP="00E60D72">
      <w:pPr>
        <w:bidi w:val="0"/>
        <w:snapToGrid w:val="0"/>
        <w:ind w:left="1260" w:hanging="1260"/>
        <w:jc w:val="lowKashida"/>
        <w:rPr>
          <w:rFonts w:cs="Times New Roman"/>
          <w:sz w:val="20"/>
          <w:szCs w:val="18"/>
          <w:lang w:bidi="ar-EG"/>
        </w:rPr>
      </w:pPr>
      <w:r w:rsidRPr="00E60D72">
        <w:rPr>
          <w:rFonts w:cs="Times New Roman"/>
          <w:sz w:val="20"/>
          <w:szCs w:val="18"/>
          <w:lang w:bidi="ar-EG"/>
        </w:rPr>
        <w:t>- P.C</w:t>
      </w:r>
      <w:proofErr w:type="gramStart"/>
      <w:r w:rsidRPr="00E60D72">
        <w:rPr>
          <w:rFonts w:cs="Times New Roman"/>
          <w:sz w:val="20"/>
          <w:szCs w:val="18"/>
          <w:lang w:bidi="ar-EG"/>
        </w:rPr>
        <w:t>.=</w:t>
      </w:r>
      <w:proofErr w:type="gramEnd"/>
      <w:r w:rsidRPr="00E60D72">
        <w:rPr>
          <w:rFonts w:cs="Times New Roman"/>
          <w:sz w:val="20"/>
          <w:szCs w:val="18"/>
          <w:lang w:bidi="ar-EG"/>
        </w:rPr>
        <w:t xml:space="preserve"> Plant compost </w:t>
      </w:r>
      <w:r w:rsidR="005C64E9">
        <w:rPr>
          <w:rFonts w:cs="Times New Roman"/>
          <w:sz w:val="20"/>
          <w:szCs w:val="18"/>
          <w:lang w:bidi="ar-EG"/>
        </w:rPr>
        <w:t>(</w:t>
      </w:r>
      <w:r w:rsidRPr="00E60D72">
        <w:rPr>
          <w:rFonts w:cs="Times New Roman"/>
          <w:sz w:val="20"/>
          <w:szCs w:val="18"/>
          <w:lang w:bidi="ar-EG"/>
        </w:rPr>
        <w:t>2 % N</w:t>
      </w:r>
      <w:r w:rsidR="005C64E9">
        <w:rPr>
          <w:rFonts w:cs="Times New Roman"/>
          <w:sz w:val="20"/>
          <w:szCs w:val="18"/>
          <w:lang w:bidi="ar-EG"/>
        </w:rPr>
        <w:t>)</w:t>
      </w:r>
      <w:r w:rsidRPr="00E60D72">
        <w:rPr>
          <w:rFonts w:cs="Times New Roman"/>
          <w:sz w:val="20"/>
          <w:szCs w:val="18"/>
          <w:lang w:bidi="ar-EG"/>
        </w:rPr>
        <w:t xml:space="preserve"> </w:t>
      </w:r>
      <w:r w:rsidRPr="00E60D72">
        <w:rPr>
          <w:rFonts w:cs="Times New Roman"/>
          <w:sz w:val="20"/>
          <w:szCs w:val="18"/>
          <w:lang w:bidi="ar-EG"/>
        </w:rPr>
        <w:tab/>
      </w:r>
      <w:r w:rsidRPr="00E60D72">
        <w:rPr>
          <w:rFonts w:cs="Times New Roman"/>
          <w:sz w:val="20"/>
          <w:szCs w:val="18"/>
          <w:lang w:bidi="ar-EG"/>
        </w:rPr>
        <w:tab/>
      </w:r>
      <w:r w:rsidRPr="00E60D72">
        <w:rPr>
          <w:rFonts w:cs="Times New Roman"/>
          <w:sz w:val="20"/>
          <w:szCs w:val="18"/>
          <w:lang w:bidi="ar-EG"/>
        </w:rPr>
        <w:tab/>
        <w:t>– P.M = Poultry manure 2 % N)</w:t>
      </w:r>
    </w:p>
    <w:p w:rsidR="00846488" w:rsidRPr="00E60D72" w:rsidRDefault="00846488" w:rsidP="00E60D72">
      <w:pPr>
        <w:bidi w:val="0"/>
        <w:snapToGrid w:val="0"/>
        <w:ind w:left="1260" w:hanging="1260"/>
        <w:jc w:val="lowKashida"/>
        <w:rPr>
          <w:rFonts w:cs="Times New Roman"/>
          <w:sz w:val="20"/>
          <w:szCs w:val="18"/>
        </w:rPr>
      </w:pPr>
    </w:p>
    <w:p w:rsidR="00846488" w:rsidRPr="00E60D72" w:rsidRDefault="00846488" w:rsidP="00E60D72">
      <w:pPr>
        <w:bidi w:val="0"/>
        <w:snapToGrid w:val="0"/>
        <w:jc w:val="both"/>
        <w:rPr>
          <w:rFonts w:cs="Times New Roman"/>
          <w:b/>
          <w:bCs/>
          <w:sz w:val="20"/>
          <w:szCs w:val="18"/>
        </w:rPr>
      </w:pPr>
      <w:r w:rsidRPr="00E60D72">
        <w:rPr>
          <w:rFonts w:cs="Times New Roman"/>
          <w:b/>
          <w:bCs/>
          <w:sz w:val="20"/>
          <w:szCs w:val="18"/>
        </w:rPr>
        <w:t xml:space="preserve">Table (7): Effect of using some organic </w:t>
      </w:r>
      <w:proofErr w:type="gramStart"/>
      <w:r w:rsidRPr="00E60D72">
        <w:rPr>
          <w:rFonts w:cs="Times New Roman"/>
          <w:b/>
          <w:bCs/>
          <w:sz w:val="20"/>
          <w:szCs w:val="18"/>
        </w:rPr>
        <w:t>manures</w:t>
      </w:r>
      <w:proofErr w:type="gramEnd"/>
      <w:r w:rsidRPr="00E60D72">
        <w:rPr>
          <w:rFonts w:cs="Times New Roman"/>
          <w:b/>
          <w:bCs/>
          <w:sz w:val="20"/>
          <w:szCs w:val="18"/>
        </w:rPr>
        <w:t xml:space="preserve"> enriched with EM as a partial replacement of inorganic N fertilizer on the percentages of N, P, K and Mg in the leaves of Superior grapevines during 2013 and 2014 seasons.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3"/>
        <w:gridCol w:w="618"/>
        <w:gridCol w:w="618"/>
        <w:gridCol w:w="618"/>
        <w:gridCol w:w="618"/>
        <w:gridCol w:w="619"/>
        <w:gridCol w:w="619"/>
        <w:gridCol w:w="619"/>
        <w:gridCol w:w="616"/>
      </w:tblGrid>
      <w:tr w:rsidR="00846488" w:rsidRPr="00035A1E" w:rsidTr="00777E30">
        <w:trPr>
          <w:jc w:val="center"/>
        </w:trPr>
        <w:tc>
          <w:tcPr>
            <w:tcW w:w="2419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N Management treatments </w:t>
            </w:r>
          </w:p>
        </w:tc>
        <w:tc>
          <w:tcPr>
            <w:tcW w:w="645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Leaf N % </w:t>
            </w:r>
          </w:p>
        </w:tc>
        <w:tc>
          <w:tcPr>
            <w:tcW w:w="645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Leaf P % </w:t>
            </w:r>
          </w:p>
        </w:tc>
        <w:tc>
          <w:tcPr>
            <w:tcW w:w="645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Leaf K % </w:t>
            </w:r>
          </w:p>
        </w:tc>
        <w:tc>
          <w:tcPr>
            <w:tcW w:w="64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Leaf Mg %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2013</w:t>
            </w: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2014</w:t>
            </w: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2013</w:t>
            </w: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2014</w:t>
            </w: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2013</w:t>
            </w: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2014</w:t>
            </w:r>
          </w:p>
        </w:tc>
        <w:tc>
          <w:tcPr>
            <w:tcW w:w="323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2013</w:t>
            </w:r>
          </w:p>
        </w:tc>
        <w:tc>
          <w:tcPr>
            <w:tcW w:w="32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2014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1.60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1.63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0.16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0.17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1.11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1.13</w:t>
            </w:r>
          </w:p>
        </w:tc>
        <w:tc>
          <w:tcPr>
            <w:tcW w:w="323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0.52</w:t>
            </w:r>
          </w:p>
        </w:tc>
        <w:tc>
          <w:tcPr>
            <w:tcW w:w="323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0.55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+ 25% P.C. + 15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1.79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1.82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0.21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0.21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1.22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1.21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0.61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0.62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+ 25 % F.Y.M. + 15 ml EM 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1.70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1.73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0.19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0.19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1.16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1.18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0.57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0.58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1.89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1.93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0.24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0.24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1.30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1.29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0.65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0.66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+ 50 % P.C. + 30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2.10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2.13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0.31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1.42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1.40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0.73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0.74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+ 50 % F.Y.M. + 30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1.99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2.02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0.27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0.27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1.36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1.32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0.69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0.70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+ 50 % F.Y.M. + 30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2.18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2.21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0.33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1.50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1.46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0.77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0.78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+ 75 % P.C. + 45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2.40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2.44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0.37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0.37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1.62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1.59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0.84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0.86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+ 75 % F.Y.M. + 45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2.29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2.32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0.34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1.56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1.51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0.81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0.83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. N + 75 % F.Y.M. + 45 ml EM/ vine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2.47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2.50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0.40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0.44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1.68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1.64</w:t>
            </w:r>
          </w:p>
        </w:tc>
        <w:tc>
          <w:tcPr>
            <w:tcW w:w="323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0.88</w:t>
            </w:r>
          </w:p>
        </w:tc>
        <w:tc>
          <w:tcPr>
            <w:tcW w:w="323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0.90</w:t>
            </w:r>
          </w:p>
        </w:tc>
      </w:tr>
      <w:tr w:rsidR="00846488" w:rsidRPr="00035A1E" w:rsidTr="00777E30">
        <w:trPr>
          <w:jc w:val="center"/>
        </w:trPr>
        <w:tc>
          <w:tcPr>
            <w:tcW w:w="2419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 xml:space="preserve">New L.S.D. at 5% 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0.06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0.07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0.02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0.02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0.05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0.04</w:t>
            </w:r>
          </w:p>
        </w:tc>
        <w:tc>
          <w:tcPr>
            <w:tcW w:w="323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0.03</w:t>
            </w:r>
          </w:p>
        </w:tc>
        <w:tc>
          <w:tcPr>
            <w:tcW w:w="323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7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7"/>
                <w:lang w:bidi="ar-EG"/>
              </w:rPr>
              <w:t>0.03</w:t>
            </w:r>
          </w:p>
        </w:tc>
      </w:tr>
    </w:tbl>
    <w:p w:rsidR="00846488" w:rsidRPr="00E60D72" w:rsidRDefault="00846488" w:rsidP="00E60D72">
      <w:pPr>
        <w:bidi w:val="0"/>
        <w:snapToGrid w:val="0"/>
        <w:ind w:left="1260" w:hanging="1260"/>
        <w:jc w:val="lowKashida"/>
        <w:rPr>
          <w:rFonts w:cs="Times New Roman"/>
          <w:sz w:val="20"/>
          <w:szCs w:val="18"/>
          <w:lang w:bidi="ar-EG"/>
        </w:rPr>
      </w:pPr>
      <w:r w:rsidRPr="00E60D72">
        <w:rPr>
          <w:rFonts w:cs="Times New Roman"/>
          <w:sz w:val="20"/>
          <w:szCs w:val="18"/>
          <w:lang w:bidi="ar-EG"/>
        </w:rPr>
        <w:t>- P.C</w:t>
      </w:r>
      <w:proofErr w:type="gramStart"/>
      <w:r w:rsidRPr="00E60D72">
        <w:rPr>
          <w:rFonts w:cs="Times New Roman"/>
          <w:sz w:val="20"/>
          <w:szCs w:val="18"/>
          <w:lang w:bidi="ar-EG"/>
        </w:rPr>
        <w:t>.=</w:t>
      </w:r>
      <w:proofErr w:type="gramEnd"/>
      <w:r w:rsidRPr="00E60D72">
        <w:rPr>
          <w:rFonts w:cs="Times New Roman"/>
          <w:sz w:val="20"/>
          <w:szCs w:val="18"/>
          <w:lang w:bidi="ar-EG"/>
        </w:rPr>
        <w:t xml:space="preserve"> Plant compost </w:t>
      </w:r>
      <w:r w:rsidR="005C64E9">
        <w:rPr>
          <w:rFonts w:cs="Times New Roman"/>
          <w:sz w:val="20"/>
          <w:szCs w:val="18"/>
          <w:lang w:bidi="ar-EG"/>
        </w:rPr>
        <w:t>(</w:t>
      </w:r>
      <w:r w:rsidRPr="00E60D72">
        <w:rPr>
          <w:rFonts w:cs="Times New Roman"/>
          <w:sz w:val="20"/>
          <w:szCs w:val="18"/>
          <w:lang w:bidi="ar-EG"/>
        </w:rPr>
        <w:t>2 % N</w:t>
      </w:r>
      <w:r w:rsidR="005C64E9">
        <w:rPr>
          <w:rFonts w:cs="Times New Roman"/>
          <w:sz w:val="20"/>
          <w:szCs w:val="18"/>
          <w:lang w:bidi="ar-EG"/>
        </w:rPr>
        <w:t>)</w:t>
      </w:r>
      <w:r w:rsidRPr="00E60D72">
        <w:rPr>
          <w:rFonts w:cs="Times New Roman"/>
          <w:sz w:val="20"/>
          <w:szCs w:val="18"/>
          <w:lang w:bidi="ar-EG"/>
        </w:rPr>
        <w:t xml:space="preserve"> </w:t>
      </w:r>
      <w:r w:rsidRPr="00E60D72">
        <w:rPr>
          <w:rFonts w:cs="Times New Roman"/>
          <w:sz w:val="20"/>
          <w:szCs w:val="18"/>
          <w:lang w:bidi="ar-EG"/>
        </w:rPr>
        <w:tab/>
      </w:r>
      <w:r w:rsidRPr="00E60D72">
        <w:rPr>
          <w:rFonts w:cs="Times New Roman"/>
          <w:sz w:val="20"/>
          <w:szCs w:val="18"/>
          <w:lang w:bidi="ar-EG"/>
        </w:rPr>
        <w:tab/>
      </w:r>
      <w:r w:rsidRPr="00E60D72">
        <w:rPr>
          <w:rFonts w:cs="Times New Roman"/>
          <w:sz w:val="20"/>
          <w:szCs w:val="18"/>
          <w:lang w:bidi="ar-EG"/>
        </w:rPr>
        <w:tab/>
        <w:t>– P.M = Poultry manure 2 % N)</w:t>
      </w:r>
    </w:p>
    <w:p w:rsidR="00E60D72" w:rsidRDefault="00E60D72" w:rsidP="00E60D72">
      <w:pPr>
        <w:bidi w:val="0"/>
        <w:snapToGrid w:val="0"/>
        <w:jc w:val="both"/>
        <w:rPr>
          <w:rFonts w:cs="Times New Roman" w:hint="eastAsia"/>
          <w:b/>
          <w:bCs/>
          <w:sz w:val="20"/>
          <w:szCs w:val="19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/>
          <w:b/>
          <w:bCs/>
          <w:sz w:val="20"/>
          <w:szCs w:val="19"/>
          <w:lang w:eastAsia="zh-CN"/>
        </w:rPr>
      </w:pPr>
    </w:p>
    <w:p w:rsidR="005C64E9" w:rsidRDefault="005C64E9" w:rsidP="00E60D72">
      <w:pPr>
        <w:bidi w:val="0"/>
        <w:snapToGrid w:val="0"/>
        <w:jc w:val="both"/>
        <w:rPr>
          <w:rFonts w:cs="Times New Roman" w:hint="eastAsia"/>
          <w:b/>
          <w:bCs/>
          <w:sz w:val="20"/>
          <w:szCs w:val="19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19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19"/>
          <w:lang w:eastAsia="zh-CN"/>
        </w:rPr>
      </w:pPr>
    </w:p>
    <w:p w:rsidR="00846488" w:rsidRPr="00E60D72" w:rsidRDefault="00846488" w:rsidP="005C64E9">
      <w:pPr>
        <w:bidi w:val="0"/>
        <w:snapToGrid w:val="0"/>
        <w:jc w:val="both"/>
        <w:rPr>
          <w:rFonts w:cs="Times New Roman"/>
          <w:b/>
          <w:bCs/>
          <w:sz w:val="20"/>
          <w:szCs w:val="19"/>
        </w:rPr>
      </w:pPr>
      <w:r w:rsidRPr="00E60D72">
        <w:rPr>
          <w:rFonts w:cs="Times New Roman"/>
          <w:b/>
          <w:bCs/>
          <w:sz w:val="20"/>
          <w:szCs w:val="19"/>
        </w:rPr>
        <w:t xml:space="preserve">Table (8): Effect of using some organic </w:t>
      </w:r>
      <w:proofErr w:type="gramStart"/>
      <w:r w:rsidRPr="00E60D72">
        <w:rPr>
          <w:rFonts w:cs="Times New Roman"/>
          <w:b/>
          <w:bCs/>
          <w:sz w:val="20"/>
          <w:szCs w:val="19"/>
        </w:rPr>
        <w:t>manures</w:t>
      </w:r>
      <w:proofErr w:type="gramEnd"/>
      <w:r w:rsidRPr="00E60D72">
        <w:rPr>
          <w:rFonts w:cs="Times New Roman"/>
          <w:b/>
          <w:bCs/>
          <w:sz w:val="20"/>
          <w:szCs w:val="19"/>
        </w:rPr>
        <w:t xml:space="preserve"> enriched with EM as a partial replacement of inorganic N fertilizer on the percentage of berry setting</w:t>
      </w:r>
      <w:r w:rsidR="005C64E9">
        <w:rPr>
          <w:rFonts w:cs="Times New Roman"/>
          <w:b/>
          <w:bCs/>
          <w:sz w:val="20"/>
          <w:szCs w:val="19"/>
        </w:rPr>
        <w:t>,</w:t>
      </w:r>
      <w:r w:rsidRPr="00E60D72">
        <w:rPr>
          <w:rFonts w:cs="Times New Roman"/>
          <w:b/>
          <w:bCs/>
          <w:sz w:val="20"/>
          <w:szCs w:val="19"/>
        </w:rPr>
        <w:t xml:space="preserve"> number of clusters / vine and yield / vine (kg.) of Superior grapevines during 2013 and 2014 seasons.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730"/>
        <w:gridCol w:w="730"/>
        <w:gridCol w:w="956"/>
        <w:gridCol w:w="958"/>
        <w:gridCol w:w="764"/>
        <w:gridCol w:w="762"/>
      </w:tblGrid>
      <w:tr w:rsidR="00846488" w:rsidRPr="00035A1E" w:rsidTr="00777E30">
        <w:trPr>
          <w:jc w:val="center"/>
        </w:trPr>
        <w:tc>
          <w:tcPr>
            <w:tcW w:w="2442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N Management treatments </w:t>
            </w:r>
          </w:p>
        </w:tc>
        <w:tc>
          <w:tcPr>
            <w:tcW w:w="761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Berry setting %</w:t>
            </w:r>
          </w:p>
        </w:tc>
        <w:tc>
          <w:tcPr>
            <w:tcW w:w="999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 No. of clusters / vine </w:t>
            </w:r>
          </w:p>
        </w:tc>
        <w:tc>
          <w:tcPr>
            <w:tcW w:w="798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Yield/ vine (kg.)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</w:p>
        </w:tc>
        <w:tc>
          <w:tcPr>
            <w:tcW w:w="381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2013</w:t>
            </w:r>
          </w:p>
        </w:tc>
        <w:tc>
          <w:tcPr>
            <w:tcW w:w="381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2014</w:t>
            </w:r>
          </w:p>
        </w:tc>
        <w:tc>
          <w:tcPr>
            <w:tcW w:w="499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2013</w:t>
            </w:r>
          </w:p>
        </w:tc>
        <w:tc>
          <w:tcPr>
            <w:tcW w:w="499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2014</w:t>
            </w:r>
          </w:p>
        </w:tc>
        <w:tc>
          <w:tcPr>
            <w:tcW w:w="399" w:type="pct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2013</w:t>
            </w:r>
          </w:p>
        </w:tc>
        <w:tc>
          <w:tcPr>
            <w:tcW w:w="399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2014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</w:t>
            </w:r>
          </w:p>
        </w:tc>
        <w:tc>
          <w:tcPr>
            <w:tcW w:w="381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7.5</w:t>
            </w:r>
          </w:p>
        </w:tc>
        <w:tc>
          <w:tcPr>
            <w:tcW w:w="381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8.1</w:t>
            </w:r>
          </w:p>
        </w:tc>
        <w:tc>
          <w:tcPr>
            <w:tcW w:w="499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23.0</w:t>
            </w:r>
          </w:p>
        </w:tc>
        <w:tc>
          <w:tcPr>
            <w:tcW w:w="499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28.0</w:t>
            </w:r>
          </w:p>
        </w:tc>
        <w:tc>
          <w:tcPr>
            <w:tcW w:w="399" w:type="pct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8.3</w:t>
            </w:r>
          </w:p>
        </w:tc>
        <w:tc>
          <w:tcPr>
            <w:tcW w:w="399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10.1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+ 25% P.C. + 15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8.4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31.0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9.2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11.9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+ 25 % F.Y.M. + 15 ml EM 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8.0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8.5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30.0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8.6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11.2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8.9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9.5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33.0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9.5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13.1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+ 50 % P.C. + 30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10.1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10.6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35.0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10.3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15.1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+ 50 % F.Y.M. + 30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9.6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10.2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34.0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9.9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14.0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+ 50 % F.Y.M. + 30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10.6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11.2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37.0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10.7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16.5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+ 75 % P.C. + 45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6.5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7.1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7.7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8.1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+ 75 % F.Y.M. + 45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6.0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6.6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22.0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7.5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7.2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+ 75 % F.Y.M. + 45 ml EM/ vine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7.0</w:t>
            </w:r>
          </w:p>
        </w:tc>
        <w:tc>
          <w:tcPr>
            <w:tcW w:w="381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7.5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23.0</w:t>
            </w:r>
          </w:p>
        </w:tc>
        <w:tc>
          <w:tcPr>
            <w:tcW w:w="4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26.0</w:t>
            </w:r>
          </w:p>
        </w:tc>
        <w:tc>
          <w:tcPr>
            <w:tcW w:w="399" w:type="pct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8.0</w:t>
            </w:r>
          </w:p>
        </w:tc>
        <w:tc>
          <w:tcPr>
            <w:tcW w:w="399" w:type="pct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9.1</w:t>
            </w:r>
          </w:p>
        </w:tc>
      </w:tr>
      <w:tr w:rsidR="00846488" w:rsidRPr="00035A1E" w:rsidTr="00777E30">
        <w:trPr>
          <w:jc w:val="center"/>
        </w:trPr>
        <w:tc>
          <w:tcPr>
            <w:tcW w:w="2442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New L.S.D. at 5% </w:t>
            </w:r>
          </w:p>
        </w:tc>
        <w:tc>
          <w:tcPr>
            <w:tcW w:w="381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0.4</w:t>
            </w:r>
          </w:p>
        </w:tc>
        <w:tc>
          <w:tcPr>
            <w:tcW w:w="381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0.4</w:t>
            </w:r>
          </w:p>
        </w:tc>
        <w:tc>
          <w:tcPr>
            <w:tcW w:w="499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NS</w:t>
            </w:r>
          </w:p>
        </w:tc>
        <w:tc>
          <w:tcPr>
            <w:tcW w:w="499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2.0</w:t>
            </w:r>
          </w:p>
        </w:tc>
        <w:tc>
          <w:tcPr>
            <w:tcW w:w="399" w:type="pct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0.2</w:t>
            </w:r>
          </w:p>
        </w:tc>
        <w:tc>
          <w:tcPr>
            <w:tcW w:w="399" w:type="pct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0.4</w:t>
            </w:r>
          </w:p>
        </w:tc>
      </w:tr>
    </w:tbl>
    <w:p w:rsidR="00846488" w:rsidRPr="00E60D72" w:rsidRDefault="00846488" w:rsidP="00E60D72">
      <w:pPr>
        <w:bidi w:val="0"/>
        <w:snapToGrid w:val="0"/>
        <w:ind w:left="1260" w:hanging="1260"/>
        <w:jc w:val="lowKashida"/>
        <w:rPr>
          <w:rFonts w:cs="Times New Roman"/>
          <w:sz w:val="20"/>
          <w:szCs w:val="19"/>
          <w:lang w:bidi="ar-EG"/>
        </w:rPr>
      </w:pPr>
      <w:r w:rsidRPr="00E60D72">
        <w:rPr>
          <w:rFonts w:cs="Times New Roman"/>
          <w:sz w:val="20"/>
          <w:szCs w:val="19"/>
          <w:lang w:bidi="ar-EG"/>
        </w:rPr>
        <w:t>- P.C</w:t>
      </w:r>
      <w:proofErr w:type="gramStart"/>
      <w:r w:rsidRPr="00E60D72">
        <w:rPr>
          <w:rFonts w:cs="Times New Roman"/>
          <w:sz w:val="20"/>
          <w:szCs w:val="19"/>
          <w:lang w:bidi="ar-EG"/>
        </w:rPr>
        <w:t>.=</w:t>
      </w:r>
      <w:proofErr w:type="gramEnd"/>
      <w:r w:rsidRPr="00E60D72">
        <w:rPr>
          <w:rFonts w:cs="Times New Roman"/>
          <w:sz w:val="20"/>
          <w:szCs w:val="19"/>
          <w:lang w:bidi="ar-EG"/>
        </w:rPr>
        <w:t xml:space="preserve"> Plant compost </w:t>
      </w:r>
      <w:r w:rsidR="005C64E9">
        <w:rPr>
          <w:rFonts w:cs="Times New Roman"/>
          <w:sz w:val="20"/>
          <w:szCs w:val="19"/>
          <w:lang w:bidi="ar-EG"/>
        </w:rPr>
        <w:t>(</w:t>
      </w:r>
      <w:r w:rsidRPr="00E60D72">
        <w:rPr>
          <w:rFonts w:cs="Times New Roman"/>
          <w:sz w:val="20"/>
          <w:szCs w:val="19"/>
          <w:lang w:bidi="ar-EG"/>
        </w:rPr>
        <w:t>2 % N</w:t>
      </w:r>
      <w:r w:rsidR="005C64E9">
        <w:rPr>
          <w:rFonts w:cs="Times New Roman"/>
          <w:sz w:val="20"/>
          <w:szCs w:val="19"/>
          <w:lang w:bidi="ar-EG"/>
        </w:rPr>
        <w:t>)</w:t>
      </w:r>
      <w:r w:rsidRPr="00E60D72">
        <w:rPr>
          <w:rFonts w:cs="Times New Roman"/>
          <w:sz w:val="20"/>
          <w:szCs w:val="19"/>
          <w:lang w:bidi="ar-EG"/>
        </w:rPr>
        <w:t xml:space="preserve"> </w:t>
      </w:r>
      <w:r w:rsidRPr="00E60D72">
        <w:rPr>
          <w:rFonts w:cs="Times New Roman"/>
          <w:sz w:val="20"/>
          <w:szCs w:val="19"/>
          <w:lang w:bidi="ar-EG"/>
        </w:rPr>
        <w:tab/>
      </w:r>
      <w:r w:rsidRPr="00E60D72">
        <w:rPr>
          <w:rFonts w:cs="Times New Roman"/>
          <w:sz w:val="20"/>
          <w:szCs w:val="19"/>
          <w:lang w:bidi="ar-EG"/>
        </w:rPr>
        <w:tab/>
      </w:r>
      <w:r w:rsidRPr="00E60D72">
        <w:rPr>
          <w:rFonts w:cs="Times New Roman"/>
          <w:sz w:val="20"/>
          <w:szCs w:val="19"/>
          <w:lang w:bidi="ar-EG"/>
        </w:rPr>
        <w:tab/>
        <w:t>– P.M = Poultry manure 2 % N)</w:t>
      </w:r>
    </w:p>
    <w:p w:rsidR="00846488" w:rsidRDefault="00846488" w:rsidP="00E60D72">
      <w:pPr>
        <w:bidi w:val="0"/>
        <w:snapToGrid w:val="0"/>
        <w:jc w:val="center"/>
        <w:rPr>
          <w:rFonts w:cs="Times New Roman"/>
          <w:sz w:val="20"/>
          <w:szCs w:val="19"/>
          <w:lang w:eastAsia="zh-CN"/>
        </w:rPr>
      </w:pPr>
    </w:p>
    <w:p w:rsidR="00E60D72" w:rsidRPr="00E60D72" w:rsidRDefault="00E60D72" w:rsidP="00E60D72">
      <w:pPr>
        <w:bidi w:val="0"/>
        <w:snapToGrid w:val="0"/>
        <w:jc w:val="center"/>
        <w:rPr>
          <w:rFonts w:cs="Times New Roman"/>
          <w:sz w:val="20"/>
          <w:szCs w:val="19"/>
          <w:lang w:eastAsia="zh-CN"/>
        </w:rPr>
      </w:pPr>
    </w:p>
    <w:p w:rsidR="00846488" w:rsidRPr="00E60D72" w:rsidRDefault="00846488" w:rsidP="00E60D72">
      <w:pPr>
        <w:bidi w:val="0"/>
        <w:snapToGrid w:val="0"/>
        <w:jc w:val="both"/>
        <w:rPr>
          <w:rFonts w:cs="Times New Roman"/>
          <w:b/>
          <w:bCs/>
          <w:sz w:val="20"/>
          <w:szCs w:val="19"/>
        </w:rPr>
      </w:pPr>
      <w:r w:rsidRPr="00E60D72">
        <w:rPr>
          <w:rFonts w:cs="Times New Roman"/>
          <w:b/>
          <w:bCs/>
          <w:sz w:val="20"/>
          <w:szCs w:val="19"/>
        </w:rPr>
        <w:t xml:space="preserve">Table (9): Effect of using some organic </w:t>
      </w:r>
      <w:proofErr w:type="gramStart"/>
      <w:r w:rsidRPr="00E60D72">
        <w:rPr>
          <w:rFonts w:cs="Times New Roman"/>
          <w:b/>
          <w:bCs/>
          <w:sz w:val="20"/>
          <w:szCs w:val="19"/>
        </w:rPr>
        <w:t>manures</w:t>
      </w:r>
      <w:proofErr w:type="gramEnd"/>
      <w:r w:rsidRPr="00E60D72">
        <w:rPr>
          <w:rFonts w:cs="Times New Roman"/>
          <w:b/>
          <w:bCs/>
          <w:sz w:val="20"/>
          <w:szCs w:val="19"/>
        </w:rPr>
        <w:t xml:space="preserve"> enriched with EM as a partial replacement of inorganic N fertilizer on the weight and dimensions (length &amp; width) of cluster of Superior grapevines during 2013 and 2014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1008"/>
        <w:gridCol w:w="1008"/>
        <w:gridCol w:w="1022"/>
        <w:gridCol w:w="1022"/>
        <w:gridCol w:w="1008"/>
        <w:gridCol w:w="1008"/>
      </w:tblGrid>
      <w:tr w:rsidR="00846488" w:rsidRPr="00035A1E" w:rsidTr="004E7B74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N Management treatments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Average cluster weight (g.)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Average cluster length (cm.)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Average cluster width (cm.)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2014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360.0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361.5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20.5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20.9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12.3</w:t>
            </w:r>
          </w:p>
        </w:tc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+ 25% P.C. + 15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383.0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385.0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21.8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22.2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12.7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12.6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+ 25 % F.Y.M. + 15 ml EM 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372.0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373.7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21.1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21.5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396.0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347.5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22.5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12.8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+ 50 % P.C.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430.0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431.5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14.0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13.9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411.0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412.9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23.5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13.5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13.4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444.6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446.0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24.6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25.0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14.3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14.2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+ 75 % P.C.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336.0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338.0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19.5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19.9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11.7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325.0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327.0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19.0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19.0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347.0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349.0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20.0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20.9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12.0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11.9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 xml:space="preserve">New L.S.D. at 5% 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11.0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10.0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0.4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0.5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0.2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E60D72">
            <w:pPr>
              <w:bidi w:val="0"/>
              <w:snapToGrid w:val="0"/>
              <w:jc w:val="both"/>
              <w:rPr>
                <w:rFonts w:eastAsiaTheme="minorEastAsia" w:cs="Times New Roman"/>
                <w:sz w:val="20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20"/>
                <w:szCs w:val="19"/>
                <w:lang w:bidi="ar-EG"/>
              </w:rPr>
              <w:t>0.2</w:t>
            </w:r>
          </w:p>
        </w:tc>
      </w:tr>
    </w:tbl>
    <w:p w:rsidR="00846488" w:rsidRPr="00E60D72" w:rsidRDefault="00846488" w:rsidP="00E60D72">
      <w:pPr>
        <w:bidi w:val="0"/>
        <w:snapToGrid w:val="0"/>
        <w:ind w:left="1260" w:hanging="1260"/>
        <w:jc w:val="lowKashida"/>
        <w:rPr>
          <w:rFonts w:cs="Times New Roman"/>
          <w:sz w:val="20"/>
          <w:szCs w:val="19"/>
          <w:lang w:bidi="ar-EG"/>
        </w:rPr>
      </w:pPr>
      <w:r w:rsidRPr="00E60D72">
        <w:rPr>
          <w:rFonts w:cs="Times New Roman"/>
          <w:sz w:val="20"/>
          <w:szCs w:val="19"/>
          <w:lang w:bidi="ar-EG"/>
        </w:rPr>
        <w:t>- P.C</w:t>
      </w:r>
      <w:proofErr w:type="gramStart"/>
      <w:r w:rsidRPr="00E60D72">
        <w:rPr>
          <w:rFonts w:cs="Times New Roman"/>
          <w:sz w:val="20"/>
          <w:szCs w:val="19"/>
          <w:lang w:bidi="ar-EG"/>
        </w:rPr>
        <w:t>.=</w:t>
      </w:r>
      <w:proofErr w:type="gramEnd"/>
      <w:r w:rsidRPr="00E60D72">
        <w:rPr>
          <w:rFonts w:cs="Times New Roman"/>
          <w:sz w:val="20"/>
          <w:szCs w:val="19"/>
          <w:lang w:bidi="ar-EG"/>
        </w:rPr>
        <w:t xml:space="preserve"> Plant compost </w:t>
      </w:r>
      <w:r w:rsidR="005C64E9">
        <w:rPr>
          <w:rFonts w:cs="Times New Roman"/>
          <w:sz w:val="20"/>
          <w:szCs w:val="19"/>
          <w:lang w:bidi="ar-EG"/>
        </w:rPr>
        <w:t>(</w:t>
      </w:r>
      <w:r w:rsidRPr="00E60D72">
        <w:rPr>
          <w:rFonts w:cs="Times New Roman"/>
          <w:sz w:val="20"/>
          <w:szCs w:val="19"/>
          <w:lang w:bidi="ar-EG"/>
        </w:rPr>
        <w:t>2 % N</w:t>
      </w:r>
      <w:r w:rsidR="005C64E9">
        <w:rPr>
          <w:rFonts w:cs="Times New Roman"/>
          <w:sz w:val="20"/>
          <w:szCs w:val="19"/>
          <w:lang w:bidi="ar-EG"/>
        </w:rPr>
        <w:t>)</w:t>
      </w:r>
      <w:r w:rsidRPr="00E60D72">
        <w:rPr>
          <w:rFonts w:cs="Times New Roman"/>
          <w:sz w:val="20"/>
          <w:szCs w:val="19"/>
          <w:lang w:bidi="ar-EG"/>
        </w:rPr>
        <w:t xml:space="preserve"> </w:t>
      </w:r>
      <w:r w:rsidRPr="00E60D72">
        <w:rPr>
          <w:rFonts w:cs="Times New Roman"/>
          <w:sz w:val="20"/>
          <w:szCs w:val="19"/>
          <w:lang w:bidi="ar-EG"/>
        </w:rPr>
        <w:tab/>
      </w:r>
      <w:r w:rsidRPr="00E60D72">
        <w:rPr>
          <w:rFonts w:cs="Times New Roman"/>
          <w:sz w:val="20"/>
          <w:szCs w:val="19"/>
          <w:lang w:bidi="ar-EG"/>
        </w:rPr>
        <w:tab/>
      </w:r>
      <w:r w:rsidRPr="00E60D72">
        <w:rPr>
          <w:rFonts w:cs="Times New Roman"/>
          <w:sz w:val="20"/>
          <w:szCs w:val="19"/>
          <w:lang w:bidi="ar-EG"/>
        </w:rPr>
        <w:tab/>
        <w:t>– P.M = Poultry manure 2 % N)</w:t>
      </w:r>
    </w:p>
    <w:p w:rsidR="005C64E9" w:rsidRDefault="005C64E9" w:rsidP="00E60D72">
      <w:pPr>
        <w:bidi w:val="0"/>
        <w:snapToGrid w:val="0"/>
        <w:jc w:val="both"/>
        <w:rPr>
          <w:rFonts w:cs="Times New Roman" w:hint="eastAsia"/>
          <w:b/>
          <w:bCs/>
          <w:sz w:val="19"/>
          <w:szCs w:val="19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19"/>
          <w:szCs w:val="19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19"/>
          <w:szCs w:val="19"/>
          <w:lang w:eastAsia="zh-CN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19"/>
          <w:szCs w:val="19"/>
          <w:lang w:eastAsia="zh-CN"/>
        </w:rPr>
      </w:pPr>
    </w:p>
    <w:p w:rsidR="00846488" w:rsidRPr="00E60D72" w:rsidRDefault="00846488" w:rsidP="005C64E9">
      <w:pPr>
        <w:bidi w:val="0"/>
        <w:snapToGrid w:val="0"/>
        <w:jc w:val="both"/>
        <w:rPr>
          <w:rFonts w:cs="Times New Roman"/>
          <w:b/>
          <w:bCs/>
          <w:sz w:val="19"/>
          <w:szCs w:val="19"/>
        </w:rPr>
      </w:pPr>
      <w:r w:rsidRPr="00E60D72">
        <w:rPr>
          <w:rFonts w:cs="Times New Roman"/>
          <w:b/>
          <w:bCs/>
          <w:sz w:val="19"/>
          <w:szCs w:val="19"/>
        </w:rPr>
        <w:t xml:space="preserve">Table (10): Effect of using some organic </w:t>
      </w:r>
      <w:proofErr w:type="gramStart"/>
      <w:r w:rsidRPr="00E60D72">
        <w:rPr>
          <w:rFonts w:cs="Times New Roman"/>
          <w:b/>
          <w:bCs/>
          <w:sz w:val="19"/>
          <w:szCs w:val="19"/>
        </w:rPr>
        <w:t>manures</w:t>
      </w:r>
      <w:proofErr w:type="gramEnd"/>
      <w:r w:rsidRPr="00E60D72">
        <w:rPr>
          <w:rFonts w:cs="Times New Roman"/>
          <w:b/>
          <w:bCs/>
          <w:sz w:val="19"/>
          <w:szCs w:val="19"/>
        </w:rPr>
        <w:t xml:space="preserve"> enriched with EM as a partial replacement of inorganic N fertilizer on the percentage of shot berries as well as averages berry weight, longitudinal and equatorial and berry shape of Superior grapevines during 2013 and 2014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576"/>
        <w:gridCol w:w="576"/>
        <w:gridCol w:w="701"/>
        <w:gridCol w:w="701"/>
        <w:gridCol w:w="794"/>
        <w:gridCol w:w="794"/>
        <w:gridCol w:w="764"/>
        <w:gridCol w:w="764"/>
        <w:gridCol w:w="739"/>
        <w:gridCol w:w="739"/>
      </w:tblGrid>
      <w:tr w:rsidR="00846488" w:rsidRPr="00035A1E" w:rsidTr="004E7B74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N Management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Shot berries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Av. Berry weight (g.)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Av. Berry longitudinal (cm)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Av. Berry equatorial (cm)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Berry shape index value 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2014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2013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2014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8.11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8.00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5.00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5.04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2.18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1.99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2.01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1.10</w:t>
            </w:r>
          </w:p>
        </w:tc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1.09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+ 25% P.C. + 15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7.61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7.50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5.71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5.75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2.30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2.05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2.07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+ 25 % F.Y.M. + 15 ml EM 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7.90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7.80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5.30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5.36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2.02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2.05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1.10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6.90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5.91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5.95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2.33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2.35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2.09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1.11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+ 50 % P.C.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5.91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6.30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6.35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2.45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2.47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1.13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6.50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6.40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6.11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6.15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2.40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2.41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1.12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+ 50 % F.Y.M. + 30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5.60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5.50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6.46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6.50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2.50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2.55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2.18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1.15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1.16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+ 75 % P.C.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4.00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3.90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6.89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6.93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2.60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2.63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2.30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1.14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1.14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5.00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4.90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6.59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6.63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2.55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2.57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2.28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1.13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. N + 75 % F.Y.M. + 45 ml EM/ vine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3.41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3.31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7.25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7.29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2.64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2.65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2.33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2.36</w:t>
            </w:r>
          </w:p>
        </w:tc>
        <w:tc>
          <w:tcPr>
            <w:tcW w:w="0" w:type="auto"/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1.12</w:t>
            </w:r>
          </w:p>
        </w:tc>
      </w:tr>
      <w:tr w:rsidR="00846488" w:rsidRPr="00035A1E" w:rsidTr="004E7B74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New L.S.D. at 5% 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0.25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0.26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0.14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0.15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0.04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0.05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0.03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0.03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0.02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both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035A1E">
              <w:rPr>
                <w:rFonts w:eastAsiaTheme="minorEastAsia" w:cs="Times New Roman"/>
                <w:sz w:val="18"/>
                <w:szCs w:val="18"/>
                <w:lang w:bidi="ar-EG"/>
              </w:rPr>
              <w:t>0.02</w:t>
            </w:r>
          </w:p>
        </w:tc>
      </w:tr>
    </w:tbl>
    <w:p w:rsidR="00846488" w:rsidRPr="00E60D72" w:rsidRDefault="00846488" w:rsidP="004E7B74">
      <w:pPr>
        <w:bidi w:val="0"/>
        <w:snapToGrid w:val="0"/>
        <w:ind w:left="1260" w:hanging="1260"/>
        <w:jc w:val="lowKashida"/>
        <w:rPr>
          <w:rFonts w:cs="Times New Roman"/>
          <w:sz w:val="19"/>
          <w:szCs w:val="19"/>
          <w:lang w:bidi="ar-EG"/>
        </w:rPr>
      </w:pPr>
      <w:r w:rsidRPr="00E60D72">
        <w:rPr>
          <w:rFonts w:cs="Times New Roman"/>
          <w:sz w:val="19"/>
          <w:szCs w:val="19"/>
          <w:lang w:bidi="ar-EG"/>
        </w:rPr>
        <w:t>- P.C</w:t>
      </w:r>
      <w:proofErr w:type="gramStart"/>
      <w:r w:rsidRPr="00E60D72">
        <w:rPr>
          <w:rFonts w:cs="Times New Roman"/>
          <w:sz w:val="19"/>
          <w:szCs w:val="19"/>
          <w:lang w:bidi="ar-EG"/>
        </w:rPr>
        <w:t>.=</w:t>
      </w:r>
      <w:proofErr w:type="gramEnd"/>
      <w:r w:rsidRPr="00E60D72">
        <w:rPr>
          <w:rFonts w:cs="Times New Roman"/>
          <w:sz w:val="19"/>
          <w:szCs w:val="19"/>
          <w:lang w:bidi="ar-EG"/>
        </w:rPr>
        <w:t xml:space="preserve"> Plant compost </w:t>
      </w:r>
      <w:r w:rsidR="005C64E9">
        <w:rPr>
          <w:rFonts w:cs="Times New Roman"/>
          <w:sz w:val="19"/>
          <w:szCs w:val="19"/>
          <w:lang w:bidi="ar-EG"/>
        </w:rPr>
        <w:t>(</w:t>
      </w:r>
      <w:r w:rsidRPr="00E60D72">
        <w:rPr>
          <w:rFonts w:cs="Times New Roman"/>
          <w:sz w:val="19"/>
          <w:szCs w:val="19"/>
          <w:lang w:bidi="ar-EG"/>
        </w:rPr>
        <w:t>2 % N</w:t>
      </w:r>
      <w:r w:rsidR="005C64E9">
        <w:rPr>
          <w:rFonts w:cs="Times New Roman"/>
          <w:sz w:val="19"/>
          <w:szCs w:val="19"/>
          <w:lang w:bidi="ar-EG"/>
        </w:rPr>
        <w:t>)</w:t>
      </w:r>
      <w:r w:rsidRPr="00E60D72">
        <w:rPr>
          <w:rFonts w:cs="Times New Roman"/>
          <w:sz w:val="19"/>
          <w:szCs w:val="19"/>
          <w:lang w:bidi="ar-EG"/>
        </w:rPr>
        <w:t xml:space="preserve"> </w:t>
      </w:r>
      <w:r w:rsidRPr="00E60D72">
        <w:rPr>
          <w:rFonts w:cs="Times New Roman"/>
          <w:sz w:val="19"/>
          <w:szCs w:val="19"/>
          <w:lang w:bidi="ar-EG"/>
        </w:rPr>
        <w:tab/>
      </w:r>
      <w:r w:rsidRPr="00E60D72">
        <w:rPr>
          <w:rFonts w:cs="Times New Roman"/>
          <w:sz w:val="19"/>
          <w:szCs w:val="19"/>
          <w:lang w:bidi="ar-EG"/>
        </w:rPr>
        <w:tab/>
      </w:r>
      <w:r w:rsidRPr="00E60D72">
        <w:rPr>
          <w:rFonts w:cs="Times New Roman"/>
          <w:sz w:val="19"/>
          <w:szCs w:val="19"/>
          <w:lang w:bidi="ar-EG"/>
        </w:rPr>
        <w:tab/>
        <w:t>– P.M = Poultry manure 2 % N)</w:t>
      </w:r>
    </w:p>
    <w:p w:rsidR="00846488" w:rsidRPr="00E60D72" w:rsidRDefault="00846488" w:rsidP="004E7B74">
      <w:pPr>
        <w:bidi w:val="0"/>
        <w:snapToGrid w:val="0"/>
        <w:jc w:val="center"/>
        <w:rPr>
          <w:rFonts w:cs="Times New Roman"/>
          <w:sz w:val="19"/>
          <w:szCs w:val="19"/>
          <w:lang w:bidi="ar-EG"/>
        </w:rPr>
      </w:pPr>
    </w:p>
    <w:p w:rsidR="00846488" w:rsidRPr="00E60D72" w:rsidRDefault="00846488" w:rsidP="00E60D72">
      <w:pPr>
        <w:bidi w:val="0"/>
        <w:snapToGrid w:val="0"/>
        <w:jc w:val="both"/>
        <w:rPr>
          <w:rFonts w:cs="Times New Roman"/>
          <w:b/>
          <w:bCs/>
          <w:sz w:val="19"/>
          <w:szCs w:val="19"/>
        </w:rPr>
      </w:pPr>
      <w:r w:rsidRPr="00E60D72">
        <w:rPr>
          <w:rFonts w:cs="Times New Roman"/>
          <w:b/>
          <w:bCs/>
          <w:sz w:val="19"/>
          <w:szCs w:val="19"/>
        </w:rPr>
        <w:t xml:space="preserve">Table (11): Effect of using some organic </w:t>
      </w:r>
      <w:proofErr w:type="gramStart"/>
      <w:r w:rsidRPr="00E60D72">
        <w:rPr>
          <w:rFonts w:cs="Times New Roman"/>
          <w:b/>
          <w:bCs/>
          <w:sz w:val="19"/>
          <w:szCs w:val="19"/>
        </w:rPr>
        <w:t>manures</w:t>
      </w:r>
      <w:proofErr w:type="gramEnd"/>
      <w:r w:rsidRPr="00E60D72">
        <w:rPr>
          <w:rFonts w:cs="Times New Roman"/>
          <w:b/>
          <w:bCs/>
          <w:sz w:val="19"/>
          <w:szCs w:val="19"/>
        </w:rPr>
        <w:t xml:space="preserve"> enriched with EM as a partial replacement of inorganic N fertilizer on some chemical characteristics of the berries of Superior grapevines during 2013 and 2014 seasons.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639"/>
        <w:gridCol w:w="639"/>
        <w:gridCol w:w="644"/>
        <w:gridCol w:w="644"/>
        <w:gridCol w:w="639"/>
        <w:gridCol w:w="639"/>
        <w:gridCol w:w="639"/>
        <w:gridCol w:w="639"/>
        <w:gridCol w:w="639"/>
        <w:gridCol w:w="637"/>
      </w:tblGrid>
      <w:tr w:rsidR="00846488" w:rsidRPr="00035A1E" w:rsidTr="00777E30">
        <w:trPr>
          <w:trHeight w:val="242"/>
          <w:jc w:val="center"/>
        </w:trPr>
        <w:tc>
          <w:tcPr>
            <w:tcW w:w="166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N Management </w:t>
            </w:r>
          </w:p>
        </w:tc>
        <w:tc>
          <w:tcPr>
            <w:tcW w:w="668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T.S.S. %</w:t>
            </w:r>
          </w:p>
        </w:tc>
        <w:tc>
          <w:tcPr>
            <w:tcW w:w="668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Total acidity %</w:t>
            </w:r>
          </w:p>
        </w:tc>
        <w:tc>
          <w:tcPr>
            <w:tcW w:w="668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Reducing sugars % </w:t>
            </w:r>
          </w:p>
        </w:tc>
        <w:tc>
          <w:tcPr>
            <w:tcW w:w="668" w:type="pct"/>
            <w:gridSpan w:val="2"/>
            <w:tcBorders>
              <w:top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Juice nitrate (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ppm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)</w:t>
            </w:r>
          </w:p>
        </w:tc>
        <w:tc>
          <w:tcPr>
            <w:tcW w:w="668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Juice nitrite (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ppm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)</w:t>
            </w:r>
          </w:p>
        </w:tc>
      </w:tr>
      <w:tr w:rsidR="00846488" w:rsidRPr="00035A1E" w:rsidTr="00777E30">
        <w:trPr>
          <w:trHeight w:val="156"/>
          <w:jc w:val="center"/>
        </w:trPr>
        <w:tc>
          <w:tcPr>
            <w:tcW w:w="166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  <w:tc>
          <w:tcPr>
            <w:tcW w:w="334" w:type="pct"/>
            <w:tcBorders>
              <w:bottom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2013</w:t>
            </w:r>
          </w:p>
        </w:tc>
        <w:tc>
          <w:tcPr>
            <w:tcW w:w="33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2014</w:t>
            </w:r>
          </w:p>
        </w:tc>
      </w:tr>
      <w:tr w:rsidR="00846488" w:rsidRPr="00035A1E" w:rsidTr="00777E30">
        <w:trPr>
          <w:trHeight w:val="24"/>
          <w:jc w:val="center"/>
        </w:trPr>
        <w:tc>
          <w:tcPr>
            <w:tcW w:w="166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1-N as 100%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18.0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17.9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0.719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0.715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16.2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16.5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3.6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3.4</w:t>
            </w:r>
          </w:p>
        </w:tc>
        <w:tc>
          <w:tcPr>
            <w:tcW w:w="334" w:type="pct"/>
            <w:tcBorders>
              <w:top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2.4</w:t>
            </w:r>
          </w:p>
        </w:tc>
        <w:tc>
          <w:tcPr>
            <w:tcW w:w="33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2.5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2-N as 75 %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+ 25% P.C. + 15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0.670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0.663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16.8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3.0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2.8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1.9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2.0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3-N as 75 %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+ 25 % F.Y.M. + 15 ml EM 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0.695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0.688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16.5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16.8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3.3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3.1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2.1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2.2</w:t>
            </w:r>
          </w:p>
        </w:tc>
      </w:tr>
      <w:tr w:rsidR="00846488" w:rsidRPr="00035A1E" w:rsidTr="00777E30">
        <w:trPr>
          <w:trHeight w:val="223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4-N as 75 %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+ 25% P.M. + 15 ml EM</w:t>
            </w:r>
            <w:r w:rsidR="005C64E9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 </w:t>
            </w: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0.646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0.639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1.7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1.8</w:t>
            </w:r>
          </w:p>
        </w:tc>
      </w:tr>
      <w:tr w:rsidR="00846488" w:rsidRPr="00035A1E" w:rsidTr="00777E30">
        <w:trPr>
          <w:trHeight w:val="223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5-N as 50 %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+ 50 % P.C. + 30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0.595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0.588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1.8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1.2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1.3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6-N as 50 %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+ 50 % F.Y.M. + 30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0.620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0.613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17.6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1.5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1.6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7-N as 50 %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+ 50 % F.Y.M. + 30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0.573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0.566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1.5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1.0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1.1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8-N as 25 %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+ 75 % P.C. + 45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20.7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0.527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0.520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9-N as 25 %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+ 75 % F.Y.M. + 45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20.4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0.550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0.543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18.6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0.8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0.9</w:t>
            </w:r>
          </w:p>
        </w:tc>
      </w:tr>
      <w:tr w:rsidR="00846488" w:rsidRPr="00035A1E" w:rsidTr="00777E30">
        <w:trPr>
          <w:trHeight w:val="242"/>
          <w:jc w:val="center"/>
        </w:trPr>
        <w:tc>
          <w:tcPr>
            <w:tcW w:w="1661" w:type="pct"/>
            <w:tcBorders>
              <w:lef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10-N as 25 % </w:t>
            </w:r>
            <w:proofErr w:type="spellStart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Inorg</w:t>
            </w:r>
            <w:proofErr w:type="spellEnd"/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. N + 75 % F.Y.M. + 45 ml EM/ vine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21.0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21.1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0.503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0.494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19.0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19.3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0.7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0.6</w:t>
            </w:r>
          </w:p>
        </w:tc>
        <w:tc>
          <w:tcPr>
            <w:tcW w:w="334" w:type="pct"/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0.2</w:t>
            </w:r>
          </w:p>
        </w:tc>
        <w:tc>
          <w:tcPr>
            <w:tcW w:w="334" w:type="pct"/>
            <w:tcBorders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</w:tr>
      <w:tr w:rsidR="00846488" w:rsidRPr="00035A1E" w:rsidTr="00777E30">
        <w:trPr>
          <w:trHeight w:val="263"/>
          <w:jc w:val="center"/>
        </w:trPr>
        <w:tc>
          <w:tcPr>
            <w:tcW w:w="1661" w:type="pct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lowKashida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 xml:space="preserve">New L.S.D. at 5% 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0.021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0.022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0.3</w:t>
            </w:r>
          </w:p>
        </w:tc>
        <w:tc>
          <w:tcPr>
            <w:tcW w:w="334" w:type="pct"/>
            <w:tcBorders>
              <w:bottom w:val="thickThin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0.2</w:t>
            </w:r>
          </w:p>
        </w:tc>
        <w:tc>
          <w:tcPr>
            <w:tcW w:w="334" w:type="pct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846488" w:rsidRPr="00035A1E" w:rsidRDefault="00846488" w:rsidP="004E7B74">
            <w:pPr>
              <w:bidi w:val="0"/>
              <w:snapToGrid w:val="0"/>
              <w:jc w:val="center"/>
              <w:rPr>
                <w:rFonts w:eastAsiaTheme="minorEastAsia" w:cs="Times New Roman"/>
                <w:sz w:val="19"/>
                <w:szCs w:val="19"/>
                <w:lang w:bidi="ar-EG"/>
              </w:rPr>
            </w:pPr>
            <w:r w:rsidRPr="00035A1E">
              <w:rPr>
                <w:rFonts w:eastAsiaTheme="minorEastAsia" w:cs="Times New Roman"/>
                <w:sz w:val="19"/>
                <w:szCs w:val="19"/>
                <w:lang w:bidi="ar-EG"/>
              </w:rPr>
              <w:t>0.2</w:t>
            </w:r>
          </w:p>
        </w:tc>
      </w:tr>
    </w:tbl>
    <w:p w:rsidR="00960804" w:rsidRDefault="00846488" w:rsidP="004E7B74">
      <w:pPr>
        <w:bidi w:val="0"/>
        <w:snapToGrid w:val="0"/>
        <w:jc w:val="both"/>
        <w:rPr>
          <w:rFonts w:cs="Times New Roman"/>
          <w:sz w:val="19"/>
          <w:szCs w:val="19"/>
          <w:lang w:eastAsia="zh-CN" w:bidi="ar-EG"/>
        </w:rPr>
      </w:pPr>
      <w:r w:rsidRPr="00E60D72">
        <w:rPr>
          <w:rFonts w:cs="Times New Roman"/>
          <w:sz w:val="19"/>
          <w:szCs w:val="19"/>
          <w:lang w:bidi="ar-EG"/>
        </w:rPr>
        <w:t>- P.C</w:t>
      </w:r>
      <w:proofErr w:type="gramStart"/>
      <w:r w:rsidRPr="00E60D72">
        <w:rPr>
          <w:rFonts w:cs="Times New Roman"/>
          <w:sz w:val="19"/>
          <w:szCs w:val="19"/>
          <w:lang w:bidi="ar-EG"/>
        </w:rPr>
        <w:t>.=</w:t>
      </w:r>
      <w:proofErr w:type="gramEnd"/>
      <w:r w:rsidRPr="00E60D72">
        <w:rPr>
          <w:rFonts w:cs="Times New Roman"/>
          <w:sz w:val="19"/>
          <w:szCs w:val="19"/>
          <w:lang w:bidi="ar-EG"/>
        </w:rPr>
        <w:t xml:space="preserve"> Plant compost </w:t>
      </w:r>
      <w:r w:rsidR="005C64E9">
        <w:rPr>
          <w:rFonts w:cs="Times New Roman"/>
          <w:sz w:val="19"/>
          <w:szCs w:val="19"/>
          <w:lang w:bidi="ar-EG"/>
        </w:rPr>
        <w:t>(</w:t>
      </w:r>
      <w:r w:rsidRPr="00E60D72">
        <w:rPr>
          <w:rFonts w:cs="Times New Roman"/>
          <w:sz w:val="19"/>
          <w:szCs w:val="19"/>
          <w:lang w:bidi="ar-EG"/>
        </w:rPr>
        <w:t>2 % N</w:t>
      </w:r>
      <w:r w:rsidR="005C64E9">
        <w:rPr>
          <w:rFonts w:cs="Times New Roman"/>
          <w:sz w:val="19"/>
          <w:szCs w:val="19"/>
          <w:lang w:bidi="ar-EG"/>
        </w:rPr>
        <w:t>)</w:t>
      </w:r>
      <w:r w:rsidRPr="00E60D72">
        <w:rPr>
          <w:rFonts w:cs="Times New Roman"/>
          <w:sz w:val="19"/>
          <w:szCs w:val="19"/>
          <w:lang w:bidi="ar-EG"/>
        </w:rPr>
        <w:t xml:space="preserve"> </w:t>
      </w:r>
      <w:r w:rsidRPr="00E60D72">
        <w:rPr>
          <w:rFonts w:cs="Times New Roman"/>
          <w:sz w:val="19"/>
          <w:szCs w:val="19"/>
          <w:lang w:bidi="ar-EG"/>
        </w:rPr>
        <w:tab/>
      </w:r>
      <w:r w:rsidRPr="00E60D72">
        <w:rPr>
          <w:rFonts w:cs="Times New Roman"/>
          <w:sz w:val="19"/>
          <w:szCs w:val="19"/>
          <w:lang w:bidi="ar-EG"/>
        </w:rPr>
        <w:tab/>
      </w:r>
      <w:r w:rsidRPr="00E60D72">
        <w:rPr>
          <w:rFonts w:cs="Times New Roman"/>
          <w:sz w:val="19"/>
          <w:szCs w:val="19"/>
          <w:lang w:bidi="ar-EG"/>
        </w:rPr>
        <w:tab/>
        <w:t>– P.M = Poultry manure 2 % N)</w:t>
      </w: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20"/>
          <w:lang w:eastAsia="zh-CN" w:bidi="ar-EG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20"/>
          <w:lang w:eastAsia="zh-CN" w:bidi="ar-EG"/>
        </w:rPr>
      </w:pPr>
    </w:p>
    <w:p w:rsidR="005C64E9" w:rsidRDefault="005C64E9" w:rsidP="005C64E9">
      <w:pPr>
        <w:bidi w:val="0"/>
        <w:snapToGrid w:val="0"/>
        <w:jc w:val="both"/>
        <w:rPr>
          <w:rFonts w:cs="Times New Roman" w:hint="eastAsia"/>
          <w:b/>
          <w:bCs/>
          <w:sz w:val="20"/>
          <w:szCs w:val="20"/>
          <w:lang w:eastAsia="zh-CN" w:bidi="ar-EG"/>
        </w:rPr>
        <w:sectPr w:rsidR="005C64E9" w:rsidSect="00B76511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435"/>
        </w:sectPr>
      </w:pPr>
    </w:p>
    <w:p w:rsidR="008F5A64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4E7B74">
        <w:rPr>
          <w:rFonts w:cs="Times New Roman"/>
          <w:b/>
          <w:bCs/>
          <w:sz w:val="20"/>
          <w:szCs w:val="20"/>
          <w:lang w:bidi="ar-EG"/>
        </w:rPr>
        <w:lastRenderedPageBreak/>
        <w:t xml:space="preserve">4. </w:t>
      </w:r>
      <w:r w:rsidR="008F5A64" w:rsidRPr="004E7B74">
        <w:rPr>
          <w:rFonts w:cs="Times New Roman"/>
          <w:b/>
          <w:bCs/>
          <w:sz w:val="20"/>
          <w:szCs w:val="20"/>
          <w:lang w:bidi="ar-EG"/>
        </w:rPr>
        <w:t>Discussion</w:t>
      </w:r>
      <w:r w:rsidR="000C3454" w:rsidRPr="004E7B74">
        <w:rPr>
          <w:rFonts w:cs="Times New Roman"/>
          <w:b/>
          <w:bCs/>
          <w:sz w:val="20"/>
          <w:szCs w:val="20"/>
          <w:lang w:bidi="ar-EG"/>
        </w:rPr>
        <w:t>:</w:t>
      </w:r>
    </w:p>
    <w:p w:rsidR="008F5A64" w:rsidRPr="004E7B74" w:rsidRDefault="008F5A64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The posit</w:t>
      </w:r>
      <w:r w:rsidR="00597137" w:rsidRPr="004E7B74">
        <w:rPr>
          <w:rFonts w:cs="Times New Roman"/>
          <w:sz w:val="20"/>
          <w:szCs w:val="20"/>
          <w:lang w:bidi="ar-EG"/>
        </w:rPr>
        <w:t xml:space="preserve">ive merits of using organic </w:t>
      </w:r>
      <w:r w:rsidR="006A4477" w:rsidRPr="004E7B74">
        <w:rPr>
          <w:rFonts w:cs="Times New Roman"/>
          <w:sz w:val="20"/>
          <w:szCs w:val="20"/>
          <w:lang w:bidi="ar-EG"/>
        </w:rPr>
        <w:t xml:space="preserve">manures and the </w:t>
      </w:r>
      <w:proofErr w:type="spellStart"/>
      <w:r w:rsidR="006A4477" w:rsidRPr="004E7B74">
        <w:rPr>
          <w:rFonts w:cs="Times New Roman"/>
          <w:sz w:val="20"/>
          <w:szCs w:val="20"/>
          <w:lang w:bidi="ar-EG"/>
        </w:rPr>
        <w:t>biofertilizer</w:t>
      </w:r>
      <w:proofErr w:type="spellEnd"/>
      <w:r w:rsidR="006A4477" w:rsidRPr="004E7B74">
        <w:rPr>
          <w:rFonts w:cs="Times New Roman"/>
          <w:sz w:val="20"/>
          <w:szCs w:val="20"/>
          <w:lang w:bidi="ar-EG"/>
        </w:rPr>
        <w:t xml:space="preserve"> EM</w:t>
      </w:r>
      <w:r w:rsidRPr="004E7B74">
        <w:rPr>
          <w:rFonts w:cs="Times New Roman"/>
          <w:sz w:val="20"/>
          <w:szCs w:val="20"/>
          <w:lang w:bidi="ar-EG"/>
        </w:rPr>
        <w:t xml:space="preserve"> on growth, vine nutritional status, yield and quality of the berries might be attributed to the following reasons:</w:t>
      </w:r>
    </w:p>
    <w:p w:rsidR="008F5A64" w:rsidRPr="004E7B74" w:rsidRDefault="008F5A64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1-Organic and </w:t>
      </w:r>
      <w:proofErr w:type="spellStart"/>
      <w:r w:rsidRPr="004E7B74">
        <w:rPr>
          <w:rFonts w:cs="Times New Roman"/>
          <w:sz w:val="20"/>
          <w:szCs w:val="20"/>
          <w:lang w:bidi="ar-EG"/>
        </w:rPr>
        <w:t>biofertilization</w:t>
      </w:r>
      <w:proofErr w:type="spellEnd"/>
      <w:r w:rsidRPr="004E7B74">
        <w:rPr>
          <w:rFonts w:cs="Times New Roman"/>
          <w:sz w:val="20"/>
          <w:szCs w:val="20"/>
          <w:lang w:bidi="ar-EG"/>
        </w:rPr>
        <w:t xml:space="preserve"> effectively enhan</w:t>
      </w:r>
      <w:r w:rsidR="0032719A" w:rsidRPr="004E7B74">
        <w:rPr>
          <w:rFonts w:cs="Times New Roman"/>
          <w:sz w:val="20"/>
          <w:szCs w:val="20"/>
          <w:lang w:bidi="ar-EG"/>
        </w:rPr>
        <w:t>ce</w:t>
      </w:r>
      <w:r w:rsidRPr="004E7B74">
        <w:rPr>
          <w:rFonts w:cs="Times New Roman"/>
          <w:sz w:val="20"/>
          <w:szCs w:val="20"/>
          <w:lang w:bidi="ar-EG"/>
        </w:rPr>
        <w:t xml:space="preserve"> water retention, saving irrigation water, soil aggregation, soil </w:t>
      </w:r>
      <w:r w:rsidR="0032719A" w:rsidRPr="004E7B74">
        <w:rPr>
          <w:rFonts w:cs="Times New Roman"/>
          <w:sz w:val="20"/>
          <w:szCs w:val="20"/>
          <w:lang w:bidi="ar-EG"/>
        </w:rPr>
        <w:t>aer</w:t>
      </w:r>
      <w:r w:rsidRPr="004E7B74">
        <w:rPr>
          <w:rFonts w:cs="Times New Roman"/>
          <w:sz w:val="20"/>
          <w:szCs w:val="20"/>
          <w:lang w:bidi="ar-EG"/>
        </w:rPr>
        <w:t xml:space="preserve">ation </w:t>
      </w:r>
      <w:proofErr w:type="spellStart"/>
      <w:r w:rsidR="0032719A" w:rsidRPr="004E7B74">
        <w:rPr>
          <w:rFonts w:cs="Times New Roman"/>
          <w:sz w:val="20"/>
          <w:szCs w:val="20"/>
          <w:lang w:bidi="ar-EG"/>
        </w:rPr>
        <w:t>cation</w:t>
      </w:r>
      <w:proofErr w:type="spellEnd"/>
      <w:r w:rsidR="0032719A" w:rsidRPr="004E7B74">
        <w:rPr>
          <w:rFonts w:cs="Times New Roman"/>
          <w:sz w:val="20"/>
          <w:szCs w:val="20"/>
          <w:lang w:bidi="ar-EG"/>
        </w:rPr>
        <w:t xml:space="preserve"> </w:t>
      </w:r>
      <w:r w:rsidRPr="004E7B74">
        <w:rPr>
          <w:rFonts w:cs="Times New Roman"/>
          <w:sz w:val="20"/>
          <w:szCs w:val="20"/>
          <w:lang w:bidi="ar-EG"/>
        </w:rPr>
        <w:t>exchange, availability of different nutrients, antioxidants, natural hormones such as IAA, GA</w:t>
      </w:r>
      <w:r w:rsidRPr="004E7B74">
        <w:rPr>
          <w:rFonts w:cs="Times New Roman"/>
          <w:sz w:val="20"/>
          <w:szCs w:val="20"/>
          <w:vertAlign w:val="subscript"/>
          <w:lang w:bidi="ar-EG"/>
        </w:rPr>
        <w:t>3</w:t>
      </w:r>
      <w:r w:rsidRPr="004E7B74">
        <w:rPr>
          <w:rFonts w:cs="Times New Roman"/>
          <w:sz w:val="20"/>
          <w:szCs w:val="20"/>
          <w:lang w:bidi="ar-EG"/>
        </w:rPr>
        <w:t xml:space="preserve"> and </w:t>
      </w:r>
      <w:proofErr w:type="spellStart"/>
      <w:r w:rsidRPr="004E7B74">
        <w:rPr>
          <w:rFonts w:cs="Times New Roman"/>
          <w:sz w:val="20"/>
          <w:szCs w:val="20"/>
          <w:lang w:bidi="ar-EG"/>
        </w:rPr>
        <w:t>cytokinins</w:t>
      </w:r>
      <w:proofErr w:type="spellEnd"/>
      <w:r w:rsidRPr="004E7B74">
        <w:rPr>
          <w:rFonts w:cs="Times New Roman"/>
          <w:sz w:val="20"/>
          <w:szCs w:val="20"/>
          <w:lang w:bidi="ar-EG"/>
        </w:rPr>
        <w:t>, soil fertility, vitamins</w:t>
      </w:r>
      <w:r w:rsidR="005C64E9">
        <w:rPr>
          <w:rFonts w:cs="Times New Roman"/>
          <w:sz w:val="20"/>
          <w:szCs w:val="20"/>
          <w:lang w:bidi="ar-EG"/>
        </w:rPr>
        <w:t xml:space="preserve"> </w:t>
      </w:r>
      <w:r w:rsidRPr="004E7B74">
        <w:rPr>
          <w:rFonts w:cs="Times New Roman"/>
          <w:sz w:val="20"/>
          <w:szCs w:val="20"/>
          <w:lang w:bidi="ar-EG"/>
        </w:rPr>
        <w:t xml:space="preserve">B, N fixation, soil organic matter, root development and enzymes such as </w:t>
      </w:r>
      <w:proofErr w:type="spellStart"/>
      <w:r w:rsidRPr="004E7B74">
        <w:rPr>
          <w:rFonts w:cs="Times New Roman"/>
          <w:sz w:val="20"/>
          <w:szCs w:val="20"/>
          <w:lang w:bidi="ar-EG"/>
        </w:rPr>
        <w:t>nitrogenase</w:t>
      </w:r>
      <w:proofErr w:type="spellEnd"/>
      <w:r w:rsidRPr="004E7B74">
        <w:rPr>
          <w:rFonts w:cs="Times New Roman"/>
          <w:sz w:val="20"/>
          <w:szCs w:val="20"/>
          <w:lang w:bidi="ar-EG"/>
        </w:rPr>
        <w:t xml:space="preserve"> (</w:t>
      </w:r>
      <w:r w:rsidRPr="004E7B74">
        <w:rPr>
          <w:rFonts w:cs="Times New Roman"/>
          <w:b/>
          <w:bCs/>
          <w:sz w:val="20"/>
          <w:szCs w:val="20"/>
          <w:lang w:bidi="ar-EG"/>
        </w:rPr>
        <w:t xml:space="preserve">Cook, 1966,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Dahama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>, 1999</w:t>
      </w:r>
      <w:r w:rsidR="005C64E9">
        <w:rPr>
          <w:rFonts w:cs="Times New Roman"/>
          <w:b/>
          <w:bCs/>
          <w:sz w:val="20"/>
          <w:szCs w:val="20"/>
          <w:lang w:bidi="ar-EG"/>
        </w:rPr>
        <w:t xml:space="preserve"> </w:t>
      </w:r>
      <w:r w:rsidRPr="004E7B74">
        <w:rPr>
          <w:rFonts w:cs="Times New Roman"/>
          <w:b/>
          <w:bCs/>
          <w:sz w:val="20"/>
          <w:szCs w:val="20"/>
          <w:lang w:bidi="ar-EG"/>
        </w:rPr>
        <w:t>and David, 2002</w:t>
      </w:r>
      <w:r w:rsidRPr="004E7B74">
        <w:rPr>
          <w:rFonts w:cs="Times New Roman"/>
          <w:sz w:val="20"/>
          <w:szCs w:val="20"/>
          <w:lang w:bidi="ar-EG"/>
        </w:rPr>
        <w:t>).</w:t>
      </w:r>
    </w:p>
    <w:p w:rsidR="008F5A64" w:rsidRPr="004E7B74" w:rsidRDefault="008F5A64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2- They are responsible for reducing soil pH, soil salinity, soil </w:t>
      </w:r>
      <w:proofErr w:type="spellStart"/>
      <w:r w:rsidRPr="004E7B74">
        <w:rPr>
          <w:rFonts w:cs="Times New Roman"/>
          <w:sz w:val="20"/>
          <w:szCs w:val="20"/>
          <w:lang w:bidi="ar-EG"/>
        </w:rPr>
        <w:t>pathoegens</w:t>
      </w:r>
      <w:proofErr w:type="spellEnd"/>
      <w:r w:rsidRPr="004E7B74">
        <w:rPr>
          <w:rFonts w:cs="Times New Roman"/>
          <w:sz w:val="20"/>
          <w:szCs w:val="20"/>
          <w:lang w:bidi="ar-EG"/>
        </w:rPr>
        <w:t xml:space="preserve"> and release of most nutrients (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Dalbo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, 1992 and Davis and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Ghabbour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>, 1998</w:t>
      </w:r>
      <w:r w:rsidRPr="004E7B74">
        <w:rPr>
          <w:rFonts w:cs="Times New Roman"/>
          <w:sz w:val="20"/>
          <w:szCs w:val="20"/>
          <w:lang w:bidi="ar-EG"/>
        </w:rPr>
        <w:t>).</w:t>
      </w:r>
    </w:p>
    <w:p w:rsidR="008F5A64" w:rsidRPr="004E7B74" w:rsidRDefault="008F5A64" w:rsidP="004E7B74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These results are in concordance with those obtained by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Abd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El-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Ghafar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–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Gehan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(2002); Ahmed </w:t>
      </w:r>
      <w:r w:rsidRPr="004E7B74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(2003);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Abd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El-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Hady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(2003) ;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Shawky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</w:t>
      </w:r>
      <w:r w:rsidRPr="004E7B74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="0032719A" w:rsidRPr="004E7B74">
        <w:rPr>
          <w:rFonts w:cs="Times New Roman"/>
          <w:b/>
          <w:bCs/>
          <w:sz w:val="20"/>
          <w:szCs w:val="20"/>
          <w:lang w:bidi="ar-EG"/>
        </w:rPr>
        <w:t xml:space="preserve"> (2004); El- </w:t>
      </w:r>
      <w:proofErr w:type="spellStart"/>
      <w:r w:rsidR="0032719A" w:rsidRPr="004E7B74">
        <w:rPr>
          <w:rFonts w:cs="Times New Roman"/>
          <w:b/>
          <w:bCs/>
          <w:sz w:val="20"/>
          <w:szCs w:val="20"/>
          <w:lang w:bidi="ar-EG"/>
        </w:rPr>
        <w:t>Shenawy</w:t>
      </w:r>
      <w:proofErr w:type="spellEnd"/>
      <w:r w:rsidR="0032719A" w:rsidRPr="004E7B74">
        <w:rPr>
          <w:rFonts w:cs="Times New Roman"/>
          <w:b/>
          <w:bCs/>
          <w:sz w:val="20"/>
          <w:szCs w:val="20"/>
          <w:lang w:bidi="ar-EG"/>
        </w:rPr>
        <w:t xml:space="preserve"> and </w:t>
      </w:r>
      <w:proofErr w:type="spellStart"/>
      <w:r w:rsidR="0032719A" w:rsidRPr="004E7B74">
        <w:rPr>
          <w:rFonts w:cs="Times New Roman"/>
          <w:b/>
          <w:bCs/>
          <w:sz w:val="20"/>
          <w:szCs w:val="20"/>
          <w:lang w:bidi="ar-EG"/>
        </w:rPr>
        <w:t>Stino</w:t>
      </w:r>
      <w:proofErr w:type="spellEnd"/>
      <w:r w:rsidR="0032719A" w:rsidRPr="004E7B74">
        <w:rPr>
          <w:rFonts w:cs="Times New Roman"/>
          <w:b/>
          <w:bCs/>
          <w:sz w:val="20"/>
          <w:szCs w:val="20"/>
          <w:lang w:bidi="ar-EG"/>
        </w:rPr>
        <w:t xml:space="preserve"> (2005</w:t>
      </w:r>
      <w:r w:rsidRPr="004E7B74">
        <w:rPr>
          <w:rFonts w:cs="Times New Roman"/>
          <w:b/>
          <w:bCs/>
          <w:sz w:val="20"/>
          <w:szCs w:val="20"/>
          <w:lang w:bidi="ar-EG"/>
        </w:rPr>
        <w:t xml:space="preserve">);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Mahran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(2005); Ibrahim –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Asmaa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(2006); El-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Salhy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</w:t>
      </w:r>
      <w:r w:rsidRPr="004E7B74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(2006); El-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Khafagy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(2006); Ahmed –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Ebtsam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(2007);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Masoud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, (2008); Ahmed </w:t>
      </w:r>
      <w:r w:rsidRPr="004E7B74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(2008);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Madian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(2010);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Refaai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(2011); Ahmed </w:t>
      </w:r>
      <w:r w:rsidRPr="004E7B74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4E7B74">
        <w:rPr>
          <w:rFonts w:cs="Times New Roman"/>
          <w:b/>
          <w:bCs/>
          <w:sz w:val="20"/>
          <w:szCs w:val="20"/>
          <w:lang w:bidi="ar-EG"/>
        </w:rPr>
        <w:t xml:space="preserve"> (2011) and El- </w:t>
      </w:r>
      <w:proofErr w:type="spellStart"/>
      <w:r w:rsidRPr="004E7B74">
        <w:rPr>
          <w:rFonts w:cs="Times New Roman"/>
          <w:b/>
          <w:bCs/>
          <w:sz w:val="20"/>
          <w:szCs w:val="20"/>
          <w:lang w:bidi="ar-EG"/>
        </w:rPr>
        <w:t>Khafagy</w:t>
      </w:r>
      <w:proofErr w:type="spellEnd"/>
      <w:r w:rsidRPr="004E7B74">
        <w:rPr>
          <w:rFonts w:cs="Times New Roman"/>
          <w:b/>
          <w:bCs/>
          <w:sz w:val="20"/>
          <w:szCs w:val="20"/>
          <w:lang w:bidi="ar-EG"/>
        </w:rPr>
        <w:t>, (2013).</w:t>
      </w:r>
    </w:p>
    <w:p w:rsidR="00846488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</w:p>
    <w:p w:rsidR="008F5A64" w:rsidRPr="004E7B74" w:rsidRDefault="008F5A64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4E7B74">
        <w:rPr>
          <w:rFonts w:cs="Times New Roman"/>
          <w:b/>
          <w:bCs/>
          <w:sz w:val="20"/>
          <w:szCs w:val="20"/>
          <w:lang w:bidi="ar-EG"/>
        </w:rPr>
        <w:t>Conclusion</w:t>
      </w:r>
      <w:r w:rsidR="0059610C" w:rsidRPr="004E7B74">
        <w:rPr>
          <w:rFonts w:cs="Times New Roman"/>
          <w:b/>
          <w:bCs/>
          <w:sz w:val="20"/>
          <w:szCs w:val="20"/>
          <w:lang w:bidi="ar-EG"/>
        </w:rPr>
        <w:t>:</w:t>
      </w:r>
    </w:p>
    <w:p w:rsidR="008F5A64" w:rsidRPr="004E7B74" w:rsidRDefault="008F5A64" w:rsidP="004E7B74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 xml:space="preserve">Carrying out N fertilization via 50% inorganic N + 50% poultry manure + 30 ml EM/ vine proved to be very effective in improving productivity of Superior grapevines and </w:t>
      </w:r>
      <w:r w:rsidR="0032719A" w:rsidRPr="004E7B74">
        <w:rPr>
          <w:rFonts w:cs="Times New Roman"/>
          <w:sz w:val="20"/>
          <w:szCs w:val="20"/>
          <w:lang w:bidi="ar-EG"/>
        </w:rPr>
        <w:t xml:space="preserve">at the same time </w:t>
      </w:r>
      <w:r w:rsidRPr="004E7B74">
        <w:rPr>
          <w:rFonts w:cs="Times New Roman"/>
          <w:sz w:val="20"/>
          <w:szCs w:val="20"/>
          <w:lang w:bidi="ar-EG"/>
        </w:rPr>
        <w:t>reducing pollution of juice with both nitrate and nitrite</w:t>
      </w:r>
    </w:p>
    <w:p w:rsidR="00846488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</w:p>
    <w:p w:rsidR="008F5A64" w:rsidRPr="004E7B74" w:rsidRDefault="00846488" w:rsidP="004E7B74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4E7B74">
        <w:rPr>
          <w:rFonts w:cs="Times New Roman"/>
          <w:b/>
          <w:bCs/>
          <w:sz w:val="20"/>
          <w:szCs w:val="20"/>
          <w:lang w:bidi="ar-EG"/>
        </w:rPr>
        <w:t>References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Abd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 El- </w:t>
      </w:r>
      <w:proofErr w:type="spellStart"/>
      <w:r w:rsidRPr="00A2270A">
        <w:rPr>
          <w:rFonts w:cs="Times New Roman"/>
          <w:bCs/>
          <w:sz w:val="20"/>
          <w:szCs w:val="20"/>
        </w:rPr>
        <w:t>Ghafar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- </w:t>
      </w:r>
      <w:proofErr w:type="spellStart"/>
      <w:r w:rsidRPr="00A2270A">
        <w:rPr>
          <w:rFonts w:cs="Times New Roman"/>
          <w:bCs/>
          <w:sz w:val="20"/>
          <w:szCs w:val="20"/>
        </w:rPr>
        <w:t>Gehan</w:t>
      </w:r>
      <w:proofErr w:type="spellEnd"/>
      <w:r w:rsidRPr="00A2270A">
        <w:rPr>
          <w:rFonts w:cs="Times New Roman"/>
          <w:bCs/>
          <w:sz w:val="20"/>
          <w:szCs w:val="20"/>
        </w:rPr>
        <w:t>, E. (2002):</w:t>
      </w:r>
      <w:r w:rsidRPr="00A2270A">
        <w:rPr>
          <w:rFonts w:cs="Times New Roman"/>
          <w:sz w:val="20"/>
          <w:szCs w:val="20"/>
        </w:rPr>
        <w:t xml:space="preserve"> Effect of some organic</w:t>
      </w:r>
      <w:r w:rsidR="00A2270A">
        <w:rPr>
          <w:rFonts w:cs="Times New Roman" w:hint="eastAsia"/>
          <w:sz w:val="20"/>
          <w:szCs w:val="20"/>
          <w:lang w:eastAsia="zh-CN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nitrogen fertilizers on growth and productivity of Red Roomy grapevines </w:t>
      </w:r>
      <w:r w:rsidRPr="00A2270A">
        <w:rPr>
          <w:rFonts w:cs="Times New Roman"/>
          <w:i/>
          <w:iCs/>
          <w:sz w:val="20"/>
          <w:szCs w:val="20"/>
        </w:rPr>
        <w:t>(</w:t>
      </w:r>
      <w:proofErr w:type="spellStart"/>
      <w:r w:rsidRPr="00A2270A">
        <w:rPr>
          <w:rFonts w:cs="Times New Roman"/>
          <w:i/>
          <w:iCs/>
          <w:sz w:val="20"/>
          <w:szCs w:val="20"/>
        </w:rPr>
        <w:t>Vitis</w:t>
      </w:r>
      <w:proofErr w:type="spellEnd"/>
      <w:r w:rsidRPr="00A2270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i/>
          <w:iCs/>
          <w:sz w:val="20"/>
          <w:szCs w:val="20"/>
        </w:rPr>
        <w:t>vinifera</w:t>
      </w:r>
      <w:proofErr w:type="spellEnd"/>
      <w:r w:rsidRPr="00A2270A">
        <w:rPr>
          <w:rFonts w:cs="Times New Roman"/>
          <w:i/>
          <w:iCs/>
          <w:sz w:val="20"/>
          <w:szCs w:val="20"/>
        </w:rPr>
        <w:t xml:space="preserve"> L.).</w:t>
      </w:r>
      <w:r w:rsidRPr="00A2270A">
        <w:rPr>
          <w:rFonts w:cs="Times New Roman"/>
          <w:sz w:val="20"/>
          <w:szCs w:val="20"/>
        </w:rPr>
        <w:t xml:space="preserve"> M.Sc. Thesis, Fac. of. Agric.,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Univ.,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Abd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 El- </w:t>
      </w:r>
      <w:proofErr w:type="spellStart"/>
      <w:r w:rsidRPr="00A2270A">
        <w:rPr>
          <w:rFonts w:cs="Times New Roman"/>
          <w:bCs/>
          <w:sz w:val="20"/>
          <w:szCs w:val="20"/>
        </w:rPr>
        <w:t>Hady</w:t>
      </w:r>
      <w:proofErr w:type="spellEnd"/>
      <w:r w:rsidRPr="00A2270A">
        <w:rPr>
          <w:rFonts w:cs="Times New Roman"/>
          <w:bCs/>
          <w:sz w:val="20"/>
          <w:szCs w:val="20"/>
        </w:rPr>
        <w:t>, A. M. (2003):</w:t>
      </w:r>
      <w:r w:rsidRPr="00A2270A">
        <w:rPr>
          <w:rFonts w:cs="Times New Roman"/>
          <w:sz w:val="20"/>
          <w:szCs w:val="20"/>
        </w:rPr>
        <w:t xml:space="preserve"> Response of Flame Seedless vines to application of some </w:t>
      </w:r>
      <w:proofErr w:type="spellStart"/>
      <w:r w:rsidRPr="00A2270A">
        <w:rPr>
          <w:rFonts w:cs="Times New Roman"/>
          <w:sz w:val="20"/>
          <w:szCs w:val="20"/>
        </w:rPr>
        <w:t>biofertilizers</w:t>
      </w:r>
      <w:proofErr w:type="spellEnd"/>
      <w:r w:rsidRPr="00A2270A">
        <w:rPr>
          <w:rFonts w:cs="Times New Roman"/>
          <w:sz w:val="20"/>
          <w:szCs w:val="20"/>
        </w:rPr>
        <w:t xml:space="preserve">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J. of Agric. Res. &amp; Develop. 23 (4): 667-680.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Ahmed</w:t>
      </w:r>
      <w:r w:rsidRPr="00A2270A">
        <w:rPr>
          <w:rFonts w:cs="Times New Roman"/>
          <w:bCs/>
          <w:i/>
          <w:iCs/>
          <w:sz w:val="20"/>
          <w:szCs w:val="20"/>
        </w:rPr>
        <w:t>-</w:t>
      </w:r>
      <w:r w:rsidRPr="00A2270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bCs/>
          <w:sz w:val="20"/>
          <w:szCs w:val="20"/>
        </w:rPr>
        <w:t>Ebtsam</w:t>
      </w:r>
      <w:proofErr w:type="spellEnd"/>
      <w:r w:rsidRPr="00A2270A">
        <w:rPr>
          <w:rFonts w:cs="Times New Roman"/>
          <w:bCs/>
          <w:sz w:val="20"/>
          <w:szCs w:val="20"/>
        </w:rPr>
        <w:t>, A. M. (2007):</w:t>
      </w:r>
      <w:r w:rsidRPr="00A2270A">
        <w:rPr>
          <w:rFonts w:cs="Times New Roman"/>
          <w:sz w:val="20"/>
          <w:szCs w:val="20"/>
        </w:rPr>
        <w:t xml:space="preserve"> Response of some seedless grape cultivars to different cultural treatments under </w:t>
      </w:r>
      <w:proofErr w:type="spellStart"/>
      <w:r w:rsidRPr="00A2270A">
        <w:rPr>
          <w:rFonts w:cs="Times New Roman"/>
          <w:sz w:val="20"/>
          <w:szCs w:val="20"/>
        </w:rPr>
        <w:t>Assiut</w:t>
      </w:r>
      <w:proofErr w:type="spellEnd"/>
      <w:r w:rsidRPr="00A2270A">
        <w:rPr>
          <w:rFonts w:cs="Times New Roman"/>
          <w:sz w:val="20"/>
          <w:szCs w:val="20"/>
        </w:rPr>
        <w:t xml:space="preserve"> conditions. Ph. D. Thesis Fac. of Agric. </w:t>
      </w:r>
      <w:proofErr w:type="spellStart"/>
      <w:r w:rsidRPr="00A2270A">
        <w:rPr>
          <w:rFonts w:cs="Times New Roman"/>
          <w:sz w:val="20"/>
          <w:szCs w:val="20"/>
        </w:rPr>
        <w:t>Assiut</w:t>
      </w:r>
      <w:proofErr w:type="spellEnd"/>
      <w:r w:rsidRPr="00A2270A">
        <w:rPr>
          <w:rFonts w:cs="Times New Roman"/>
          <w:sz w:val="20"/>
          <w:szCs w:val="20"/>
        </w:rPr>
        <w:t xml:space="preserve"> Univ.,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Ahmed, F.F. and</w:t>
      </w:r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bCs/>
          <w:sz w:val="20"/>
          <w:szCs w:val="20"/>
        </w:rPr>
        <w:t>Morsy</w:t>
      </w:r>
      <w:proofErr w:type="spellEnd"/>
      <w:r w:rsidRPr="00A2270A">
        <w:rPr>
          <w:rFonts w:cs="Times New Roman"/>
          <w:bCs/>
          <w:sz w:val="20"/>
          <w:szCs w:val="20"/>
        </w:rPr>
        <w:t>, M.H. (1999):</w:t>
      </w:r>
      <w:r w:rsidRPr="00A2270A">
        <w:rPr>
          <w:rFonts w:cs="Times New Roman"/>
          <w:sz w:val="20"/>
          <w:szCs w:val="20"/>
        </w:rPr>
        <w:t xml:space="preserve"> A new methods for measuring leaf area in different fruit species.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>, J. of Agric. Res., Develop. 19 pp. 97- 105.</w:t>
      </w:r>
    </w:p>
    <w:p w:rsidR="004106D1" w:rsidRPr="00A2270A" w:rsidRDefault="004106D1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Ahmed, F.F.; El- </w:t>
      </w:r>
      <w:proofErr w:type="spellStart"/>
      <w:r w:rsidRPr="00A2270A">
        <w:rPr>
          <w:rFonts w:cs="Times New Roman"/>
          <w:bCs/>
          <w:sz w:val="20"/>
          <w:szCs w:val="20"/>
        </w:rPr>
        <w:t>Sayed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H.A and </w:t>
      </w:r>
      <w:proofErr w:type="spellStart"/>
      <w:r w:rsidRPr="00A2270A">
        <w:rPr>
          <w:rFonts w:cs="Times New Roman"/>
          <w:bCs/>
          <w:sz w:val="20"/>
          <w:szCs w:val="20"/>
        </w:rPr>
        <w:t>Shoeib</w:t>
      </w:r>
      <w:proofErr w:type="spellEnd"/>
      <w:r w:rsidRPr="00A2270A">
        <w:rPr>
          <w:rFonts w:cs="Times New Roman"/>
          <w:bCs/>
          <w:sz w:val="20"/>
          <w:szCs w:val="20"/>
        </w:rPr>
        <w:t>, M.M. (2003):</w:t>
      </w:r>
      <w:r w:rsidRPr="00A2270A">
        <w:rPr>
          <w:rFonts w:cs="Times New Roman"/>
          <w:sz w:val="20"/>
          <w:szCs w:val="20"/>
        </w:rPr>
        <w:t xml:space="preserve"> Effect of bio and organic source of N as a partial substitute for chemical fertilizer on bud </w:t>
      </w:r>
      <w:proofErr w:type="spellStart"/>
      <w:r w:rsidRPr="00A2270A">
        <w:rPr>
          <w:rFonts w:cs="Times New Roman"/>
          <w:sz w:val="20"/>
          <w:szCs w:val="20"/>
        </w:rPr>
        <w:t>behaviour</w:t>
      </w:r>
      <w:proofErr w:type="spellEnd"/>
      <w:r w:rsidRPr="00A2270A">
        <w:rPr>
          <w:rFonts w:cs="Times New Roman"/>
          <w:sz w:val="20"/>
          <w:szCs w:val="20"/>
        </w:rPr>
        <w:t xml:space="preserve">, growth and fruiting of Flame seedless </w:t>
      </w:r>
      <w:r w:rsidRPr="00A2270A">
        <w:rPr>
          <w:rFonts w:cs="Times New Roman"/>
          <w:sz w:val="20"/>
          <w:szCs w:val="20"/>
        </w:rPr>
        <w:lastRenderedPageBreak/>
        <w:t xml:space="preserve">grapevines.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J. of Agric. Res. &amp; Develop. 23 (3): 529-546.</w:t>
      </w:r>
    </w:p>
    <w:p w:rsidR="004106D1" w:rsidRPr="00A2270A" w:rsidRDefault="004106D1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Ahmed, F. F.; </w:t>
      </w:r>
      <w:proofErr w:type="spellStart"/>
      <w:r w:rsidRPr="00A2270A">
        <w:rPr>
          <w:rFonts w:cs="Times New Roman"/>
          <w:bCs/>
          <w:sz w:val="20"/>
          <w:szCs w:val="20"/>
        </w:rPr>
        <w:t>Ragab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M. A. and </w:t>
      </w:r>
      <w:proofErr w:type="spellStart"/>
      <w:r w:rsidRPr="00A2270A">
        <w:rPr>
          <w:rFonts w:cs="Times New Roman"/>
          <w:bCs/>
          <w:sz w:val="20"/>
          <w:szCs w:val="20"/>
        </w:rPr>
        <w:t>Refaai</w:t>
      </w:r>
      <w:proofErr w:type="spellEnd"/>
      <w:r w:rsidRPr="00A2270A">
        <w:rPr>
          <w:rFonts w:cs="Times New Roman"/>
          <w:bCs/>
          <w:sz w:val="20"/>
          <w:szCs w:val="20"/>
        </w:rPr>
        <w:t>, M. M. (2008):</w:t>
      </w:r>
      <w:r w:rsidRPr="00A2270A">
        <w:rPr>
          <w:rFonts w:cs="Times New Roman"/>
          <w:sz w:val="20"/>
          <w:szCs w:val="20"/>
        </w:rPr>
        <w:t xml:space="preserve"> Alleviating the adverse effects of salinity on Flame seedless grapevine transplants growing in different soil textures by using </w:t>
      </w:r>
      <w:proofErr w:type="spellStart"/>
      <w:r w:rsidRPr="00A2270A">
        <w:rPr>
          <w:rFonts w:cs="Times New Roman"/>
          <w:sz w:val="20"/>
          <w:szCs w:val="20"/>
        </w:rPr>
        <w:t>mycorrhizae</w:t>
      </w:r>
      <w:proofErr w:type="spellEnd"/>
      <w:r w:rsidRPr="00A2270A">
        <w:rPr>
          <w:rFonts w:cs="Times New Roman"/>
          <w:sz w:val="20"/>
          <w:szCs w:val="20"/>
        </w:rPr>
        <w:t xml:space="preserve"> and farmyard manure. The 1</w:t>
      </w:r>
      <w:r w:rsidRPr="00A2270A">
        <w:rPr>
          <w:rFonts w:cs="Times New Roman"/>
          <w:sz w:val="20"/>
          <w:szCs w:val="20"/>
          <w:vertAlign w:val="superscript"/>
        </w:rPr>
        <w:t>st</w:t>
      </w:r>
      <w:r w:rsidRPr="00A2270A">
        <w:rPr>
          <w:rFonts w:cs="Times New Roman"/>
          <w:sz w:val="20"/>
          <w:szCs w:val="20"/>
        </w:rPr>
        <w:t xml:space="preserve"> Inter. Conf. on Environmental Studies and Research (Natural Resources &amp; Sustainable Development) 7-9 April, 2008, Environmental studies and Research Institute (ESRI) </w:t>
      </w:r>
      <w:proofErr w:type="spellStart"/>
      <w:r w:rsidRPr="00A2270A">
        <w:rPr>
          <w:rFonts w:cs="Times New Roman"/>
          <w:sz w:val="20"/>
          <w:szCs w:val="20"/>
        </w:rPr>
        <w:t>Minufiya</w:t>
      </w:r>
      <w:proofErr w:type="spellEnd"/>
      <w:r w:rsidRPr="00A2270A">
        <w:rPr>
          <w:rFonts w:cs="Times New Roman"/>
          <w:sz w:val="20"/>
          <w:szCs w:val="20"/>
        </w:rPr>
        <w:t xml:space="preserve"> Univ., Sadat Branch.</w:t>
      </w:r>
    </w:p>
    <w:p w:rsidR="004106D1" w:rsidRPr="00A2270A" w:rsidRDefault="004106D1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Ahmed, F.F.; </w:t>
      </w:r>
      <w:proofErr w:type="spellStart"/>
      <w:r w:rsidRPr="00A2270A">
        <w:rPr>
          <w:rFonts w:cs="Times New Roman"/>
          <w:bCs/>
          <w:sz w:val="20"/>
          <w:szCs w:val="20"/>
        </w:rPr>
        <w:t>Ibrahiem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- </w:t>
      </w:r>
      <w:proofErr w:type="spellStart"/>
      <w:r w:rsidRPr="00A2270A">
        <w:rPr>
          <w:rFonts w:cs="Times New Roman"/>
          <w:bCs/>
          <w:sz w:val="20"/>
          <w:szCs w:val="20"/>
        </w:rPr>
        <w:t>Asmaa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A.; </w:t>
      </w:r>
      <w:proofErr w:type="spellStart"/>
      <w:r w:rsidRPr="00A2270A">
        <w:rPr>
          <w:rFonts w:cs="Times New Roman"/>
          <w:bCs/>
          <w:sz w:val="20"/>
          <w:szCs w:val="20"/>
        </w:rPr>
        <w:t>Mansor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A.E.M.; </w:t>
      </w:r>
      <w:proofErr w:type="spellStart"/>
      <w:r w:rsidRPr="00A2270A">
        <w:rPr>
          <w:rFonts w:cs="Times New Roman"/>
          <w:bCs/>
          <w:sz w:val="20"/>
          <w:szCs w:val="20"/>
        </w:rPr>
        <w:t>Shaaban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E.A. and El- </w:t>
      </w:r>
      <w:proofErr w:type="spellStart"/>
      <w:r w:rsidRPr="00A2270A">
        <w:rPr>
          <w:rFonts w:cs="Times New Roman"/>
          <w:bCs/>
          <w:sz w:val="20"/>
          <w:szCs w:val="20"/>
        </w:rPr>
        <w:t>Shammaa</w:t>
      </w:r>
      <w:proofErr w:type="spellEnd"/>
      <w:r w:rsidRPr="00A2270A">
        <w:rPr>
          <w:rFonts w:cs="Times New Roman"/>
          <w:bCs/>
          <w:sz w:val="20"/>
          <w:szCs w:val="20"/>
        </w:rPr>
        <w:t>, M.S. (2011):</w:t>
      </w:r>
      <w:r w:rsidRPr="00A2270A">
        <w:rPr>
          <w:rFonts w:cs="Times New Roman"/>
          <w:sz w:val="20"/>
          <w:szCs w:val="20"/>
        </w:rPr>
        <w:t xml:space="preserve"> Response of Thompson seedless grapevines to application of some amino acids enriched with nutrients as well as organic and </w:t>
      </w:r>
      <w:proofErr w:type="spellStart"/>
      <w:r w:rsidRPr="00A2270A">
        <w:rPr>
          <w:rFonts w:cs="Times New Roman"/>
          <w:sz w:val="20"/>
          <w:szCs w:val="20"/>
        </w:rPr>
        <w:t>Biofertilization</w:t>
      </w:r>
      <w:proofErr w:type="spellEnd"/>
      <w:r w:rsidRPr="00A2270A">
        <w:rPr>
          <w:rFonts w:cs="Times New Roman"/>
          <w:sz w:val="20"/>
          <w:szCs w:val="20"/>
        </w:rPr>
        <w:t>. Res. J. of Agric. and Biol. Sci., 7 (2): 282-286.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bCs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Association of Official Agricultural Chemists (2000): </w:t>
      </w:r>
      <w:r w:rsidRPr="00A2270A">
        <w:rPr>
          <w:rFonts w:cs="Times New Roman"/>
          <w:sz w:val="20"/>
          <w:szCs w:val="20"/>
        </w:rPr>
        <w:t>Official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Methods of Analysis (A.O.A.C), 12</w:t>
      </w:r>
      <w:r w:rsidRPr="00A2270A">
        <w:rPr>
          <w:rFonts w:cs="Times New Roman"/>
          <w:sz w:val="20"/>
          <w:szCs w:val="20"/>
          <w:vertAlign w:val="superscript"/>
        </w:rPr>
        <w:t>th</w:t>
      </w:r>
      <w:r w:rsidRPr="00A2270A">
        <w:rPr>
          <w:rFonts w:cs="Times New Roman"/>
          <w:sz w:val="20"/>
          <w:szCs w:val="20"/>
        </w:rPr>
        <w:t xml:space="preserve"> Ed., Benjamin Franklin Station, Washington D.Q, U.S.A. pp. 490-510.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bCs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Balo</w:t>
      </w:r>
      <w:proofErr w:type="spellEnd"/>
      <w:r w:rsidRPr="00A2270A">
        <w:rPr>
          <w:rFonts w:cs="Times New Roman"/>
          <w:bCs/>
          <w:sz w:val="20"/>
          <w:szCs w:val="20"/>
        </w:rPr>
        <w:t>,</w:t>
      </w:r>
      <w:r w:rsidRPr="00A2270A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bCs/>
          <w:sz w:val="20"/>
          <w:szCs w:val="20"/>
        </w:rPr>
        <w:t xml:space="preserve">E.; </w:t>
      </w:r>
      <w:proofErr w:type="spellStart"/>
      <w:r w:rsidRPr="00A2270A">
        <w:rPr>
          <w:rFonts w:cs="Times New Roman"/>
          <w:bCs/>
          <w:sz w:val="20"/>
          <w:szCs w:val="20"/>
        </w:rPr>
        <w:t>Prilesszky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G.; </w:t>
      </w:r>
      <w:proofErr w:type="spellStart"/>
      <w:r w:rsidRPr="00A2270A">
        <w:rPr>
          <w:rFonts w:cs="Times New Roman"/>
          <w:bCs/>
          <w:sz w:val="20"/>
          <w:szCs w:val="20"/>
        </w:rPr>
        <w:t>Happ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I.; </w:t>
      </w:r>
      <w:proofErr w:type="spellStart"/>
      <w:r w:rsidRPr="00A2270A">
        <w:rPr>
          <w:rFonts w:cs="Times New Roman"/>
          <w:bCs/>
          <w:sz w:val="20"/>
          <w:szCs w:val="20"/>
        </w:rPr>
        <w:t>Kaholami</w:t>
      </w:r>
      <w:proofErr w:type="spellEnd"/>
      <w:r w:rsidRPr="00A2270A">
        <w:rPr>
          <w:rFonts w:cs="Times New Roman"/>
          <w:bCs/>
          <w:sz w:val="20"/>
          <w:szCs w:val="20"/>
        </w:rPr>
        <w:t>, M. and Vega. L. (1988):</w:t>
      </w:r>
      <w:r w:rsidRPr="00A2270A">
        <w:rPr>
          <w:rFonts w:cs="Times New Roman"/>
          <w:sz w:val="20"/>
          <w:szCs w:val="20"/>
        </w:rPr>
        <w:t xml:space="preserve"> Soil improvement and the use of leaf analysis for forecasting nutrient requirements of grapes. Potash Review (Subject 9, 2</w:t>
      </w:r>
      <w:r w:rsidRPr="00A2270A">
        <w:rPr>
          <w:rFonts w:cs="Times New Roman"/>
          <w:sz w:val="20"/>
          <w:szCs w:val="20"/>
          <w:vertAlign w:val="superscript"/>
        </w:rPr>
        <w:t>nd</w:t>
      </w:r>
      <w:r w:rsidRPr="00A2270A">
        <w:rPr>
          <w:rFonts w:cs="Times New Roman"/>
          <w:sz w:val="20"/>
          <w:szCs w:val="20"/>
        </w:rPr>
        <w:t xml:space="preserve"> suite. No. 61: 1-5).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Black, G. A.; Evans, D. D.; </w:t>
      </w:r>
      <w:proofErr w:type="spellStart"/>
      <w:r w:rsidRPr="00A2270A">
        <w:rPr>
          <w:rFonts w:cs="Times New Roman"/>
          <w:bCs/>
          <w:sz w:val="20"/>
          <w:szCs w:val="20"/>
        </w:rPr>
        <w:t>Ersminger</w:t>
      </w:r>
      <w:proofErr w:type="spellEnd"/>
      <w:r w:rsidRPr="00A2270A">
        <w:rPr>
          <w:rFonts w:cs="Times New Roman"/>
          <w:bCs/>
          <w:sz w:val="20"/>
          <w:szCs w:val="20"/>
        </w:rPr>
        <w:t>, L. E.; White, J. L. and dark, F. E. (1965):</w:t>
      </w:r>
      <w:r w:rsidRPr="00A2270A">
        <w:rPr>
          <w:rFonts w:cs="Times New Roman"/>
          <w:sz w:val="20"/>
          <w:szCs w:val="20"/>
        </w:rPr>
        <w:t xml:space="preserve"> Methods of Soil Analysis. Amer.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Soc. </w:t>
      </w:r>
      <w:proofErr w:type="spellStart"/>
      <w:r w:rsidRPr="00A2270A">
        <w:rPr>
          <w:rFonts w:cs="Times New Roman"/>
          <w:sz w:val="20"/>
          <w:szCs w:val="20"/>
        </w:rPr>
        <w:t>Agron</w:t>
      </w:r>
      <w:proofErr w:type="spellEnd"/>
      <w:r w:rsidRPr="00A2270A">
        <w:rPr>
          <w:rFonts w:cs="Times New Roman"/>
          <w:sz w:val="20"/>
          <w:szCs w:val="20"/>
        </w:rPr>
        <w:t xml:space="preserve">. Inc. Bull. </w:t>
      </w:r>
      <w:proofErr w:type="spellStart"/>
      <w:r w:rsidRPr="00A2270A">
        <w:rPr>
          <w:rFonts w:cs="Times New Roman"/>
          <w:sz w:val="20"/>
          <w:szCs w:val="20"/>
        </w:rPr>
        <w:t>Medison</w:t>
      </w:r>
      <w:proofErr w:type="spellEnd"/>
      <w:r w:rsidRPr="00A2270A">
        <w:rPr>
          <w:rFonts w:cs="Times New Roman"/>
          <w:sz w:val="20"/>
          <w:szCs w:val="20"/>
        </w:rPr>
        <w:t>, Wisconsin, U.S.A. pp. 891-1400.</w:t>
      </w:r>
    </w:p>
    <w:p w:rsidR="008F5A64" w:rsidRPr="00A2270A" w:rsidRDefault="008F5A64" w:rsidP="00A2270A">
      <w:pPr>
        <w:pStyle w:val="FR1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A2270A">
        <w:rPr>
          <w:rFonts w:ascii="Times New Roman" w:hAnsi="Times New Roman" w:cs="Times New Roman"/>
          <w:bCs/>
          <w:sz w:val="20"/>
          <w:szCs w:val="20"/>
        </w:rPr>
        <w:t>Chapman, H.D. and Pratt, P.E. (1987):</w:t>
      </w:r>
      <w:r w:rsidRPr="00A2270A">
        <w:rPr>
          <w:rFonts w:ascii="Times New Roman" w:hAnsi="Times New Roman" w:cs="Times New Roman"/>
          <w:sz w:val="20"/>
          <w:szCs w:val="20"/>
        </w:rPr>
        <w:t xml:space="preserve"> Methods of Analysis for Soil, Plant and Water. Univ. California, Div. Agric. Sci. 1, 150.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Cook, J. A. (1966):</w:t>
      </w:r>
      <w:r w:rsidRPr="00A2270A">
        <w:rPr>
          <w:rFonts w:cs="Times New Roman"/>
          <w:sz w:val="20"/>
          <w:szCs w:val="20"/>
        </w:rPr>
        <w:t xml:space="preserve"> Grape Nutrition. In Temperate to tropical Fruit Nutrition, Hort. Publications, New Brunswick pp. 777 -812.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Dahama</w:t>
      </w:r>
      <w:proofErr w:type="spellEnd"/>
      <w:r w:rsidRPr="00A2270A">
        <w:rPr>
          <w:rFonts w:cs="Times New Roman"/>
          <w:bCs/>
          <w:sz w:val="20"/>
          <w:szCs w:val="20"/>
        </w:rPr>
        <w:t>, A. K. (1999):</w:t>
      </w:r>
      <w:r w:rsidRPr="00A2270A">
        <w:rPr>
          <w:rFonts w:cs="Times New Roman"/>
          <w:sz w:val="20"/>
          <w:szCs w:val="20"/>
        </w:rPr>
        <w:t xml:space="preserve"> Organic farming for sustainable Agriculture. Agro Botanic, </w:t>
      </w:r>
      <w:proofErr w:type="spellStart"/>
      <w:r w:rsidRPr="00A2270A">
        <w:rPr>
          <w:rFonts w:cs="Times New Roman"/>
          <w:sz w:val="20"/>
          <w:szCs w:val="20"/>
        </w:rPr>
        <w:t>Daryagum</w:t>
      </w:r>
      <w:proofErr w:type="spellEnd"/>
      <w:r w:rsidRPr="00A2270A">
        <w:rPr>
          <w:rFonts w:cs="Times New Roman"/>
          <w:sz w:val="20"/>
          <w:szCs w:val="20"/>
        </w:rPr>
        <w:t>, New Delhi, India, p. 258.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Dalbo</w:t>
      </w:r>
      <w:proofErr w:type="spellEnd"/>
      <w:r w:rsidRPr="00A2270A">
        <w:rPr>
          <w:rFonts w:cs="Times New Roman"/>
          <w:bCs/>
          <w:sz w:val="20"/>
          <w:szCs w:val="20"/>
        </w:rPr>
        <w:t>, M. A. (1992):</w:t>
      </w:r>
      <w:r w:rsidRPr="00A2270A">
        <w:rPr>
          <w:rFonts w:cs="Times New Roman"/>
          <w:sz w:val="20"/>
          <w:szCs w:val="20"/>
        </w:rPr>
        <w:t xml:space="preserve"> Nutrition and fertilization of grapevines. </w:t>
      </w:r>
      <w:proofErr w:type="spellStart"/>
      <w:r w:rsidRPr="00A2270A">
        <w:rPr>
          <w:rFonts w:cs="Times New Roman"/>
          <w:sz w:val="20"/>
          <w:szCs w:val="20"/>
        </w:rPr>
        <w:t>Agrapecuaria</w:t>
      </w:r>
      <w:proofErr w:type="spellEnd"/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Catarineneses</w:t>
      </w:r>
      <w:proofErr w:type="spellEnd"/>
      <w:r w:rsidRPr="00A2270A">
        <w:rPr>
          <w:rFonts w:cs="Times New Roman"/>
          <w:sz w:val="20"/>
          <w:szCs w:val="20"/>
        </w:rPr>
        <w:t xml:space="preserve"> 5 (4): 32 - 35, Brazil.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David, G. (2002):</w:t>
      </w:r>
      <w:r w:rsidRPr="00A2270A">
        <w:rPr>
          <w:rFonts w:cs="Times New Roman"/>
          <w:sz w:val="20"/>
          <w:szCs w:val="20"/>
        </w:rPr>
        <w:t xml:space="preserve"> Tree fruit production with organic farming methods. Centre for </w:t>
      </w:r>
      <w:proofErr w:type="spellStart"/>
      <w:r w:rsidRPr="00A2270A">
        <w:rPr>
          <w:rFonts w:cs="Times New Roman"/>
          <w:sz w:val="20"/>
          <w:szCs w:val="20"/>
        </w:rPr>
        <w:t>Sutaining</w:t>
      </w:r>
      <w:proofErr w:type="spellEnd"/>
      <w:r w:rsidRPr="00A2270A">
        <w:rPr>
          <w:rFonts w:cs="Times New Roman"/>
          <w:sz w:val="20"/>
          <w:szCs w:val="20"/>
        </w:rPr>
        <w:t xml:space="preserve"> Agriculture and Natural Resources. Washington State University. Wenatchee, USA. (www.yahoo.com). pp 10 - 12.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Davis, G. and </w:t>
      </w:r>
      <w:proofErr w:type="spellStart"/>
      <w:r w:rsidRPr="00A2270A">
        <w:rPr>
          <w:rFonts w:cs="Times New Roman"/>
          <w:bCs/>
          <w:sz w:val="20"/>
          <w:szCs w:val="20"/>
        </w:rPr>
        <w:t>Ghabbour</w:t>
      </w:r>
      <w:proofErr w:type="spellEnd"/>
      <w:r w:rsidRPr="00A2270A">
        <w:rPr>
          <w:rFonts w:cs="Times New Roman"/>
          <w:bCs/>
          <w:sz w:val="20"/>
          <w:szCs w:val="20"/>
        </w:rPr>
        <w:t>, E. A. (1998):</w:t>
      </w:r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Humic</w:t>
      </w:r>
      <w:proofErr w:type="spellEnd"/>
      <w:r w:rsidRPr="00A2270A">
        <w:rPr>
          <w:rFonts w:cs="Times New Roman"/>
          <w:sz w:val="20"/>
          <w:szCs w:val="20"/>
        </w:rPr>
        <w:t xml:space="preserve"> substances, structure properties and uses. Royal Soc. of Chemistry, Cambridge pp. 10-15.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El-</w:t>
      </w:r>
      <w:proofErr w:type="spellStart"/>
      <w:r w:rsidRPr="00A2270A">
        <w:rPr>
          <w:rFonts w:cs="Times New Roman"/>
          <w:bCs/>
          <w:sz w:val="20"/>
          <w:szCs w:val="20"/>
        </w:rPr>
        <w:t>Khafagy</w:t>
      </w:r>
      <w:proofErr w:type="spellEnd"/>
      <w:r w:rsidRPr="00A2270A">
        <w:rPr>
          <w:rFonts w:cs="Times New Roman"/>
          <w:bCs/>
          <w:sz w:val="20"/>
          <w:szCs w:val="20"/>
        </w:rPr>
        <w:t>, H. A. (2006):</w:t>
      </w:r>
      <w:r w:rsidRPr="00A2270A">
        <w:rPr>
          <w:rFonts w:cs="Times New Roman"/>
          <w:sz w:val="20"/>
          <w:szCs w:val="20"/>
        </w:rPr>
        <w:t xml:space="preserve"> Effect of some organic and </w:t>
      </w:r>
      <w:proofErr w:type="spellStart"/>
      <w:r w:rsidRPr="00A2270A">
        <w:rPr>
          <w:rFonts w:cs="Times New Roman"/>
          <w:sz w:val="20"/>
          <w:szCs w:val="20"/>
        </w:rPr>
        <w:t>biofertilizer</w:t>
      </w:r>
      <w:proofErr w:type="spellEnd"/>
      <w:r w:rsidRPr="00A2270A">
        <w:rPr>
          <w:rFonts w:cs="Times New Roman"/>
          <w:sz w:val="20"/>
          <w:szCs w:val="20"/>
        </w:rPr>
        <w:t xml:space="preserve"> treatments on growth and productivity of Thompson seedless </w:t>
      </w:r>
      <w:r w:rsidRPr="00A2270A">
        <w:rPr>
          <w:rFonts w:cs="Times New Roman"/>
          <w:sz w:val="20"/>
          <w:szCs w:val="20"/>
        </w:rPr>
        <w:lastRenderedPageBreak/>
        <w:t xml:space="preserve">grapevines in </w:t>
      </w:r>
      <w:proofErr w:type="spellStart"/>
      <w:r w:rsidRPr="00A2270A">
        <w:rPr>
          <w:rFonts w:cs="Times New Roman"/>
          <w:sz w:val="20"/>
          <w:szCs w:val="20"/>
        </w:rPr>
        <w:t>reclimated</w:t>
      </w:r>
      <w:proofErr w:type="spellEnd"/>
      <w:r w:rsidRPr="00A2270A">
        <w:rPr>
          <w:rFonts w:cs="Times New Roman"/>
          <w:sz w:val="20"/>
          <w:szCs w:val="20"/>
        </w:rPr>
        <w:t xml:space="preserve"> areas. M. Sc, Thesis. Fac. of Agric.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Univ.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El- </w:t>
      </w:r>
      <w:proofErr w:type="spellStart"/>
      <w:r w:rsidRPr="00A2270A">
        <w:rPr>
          <w:rFonts w:cs="Times New Roman"/>
          <w:bCs/>
          <w:sz w:val="20"/>
          <w:szCs w:val="20"/>
        </w:rPr>
        <w:t>Khafagy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H. A. (2013): </w:t>
      </w:r>
      <w:r w:rsidRPr="00A2270A">
        <w:rPr>
          <w:rFonts w:cs="Times New Roman"/>
          <w:sz w:val="20"/>
          <w:szCs w:val="20"/>
        </w:rPr>
        <w:t xml:space="preserve">Physiological studies on productivity and quality of some grape varieties under bio- organic fertilization. PhD Thesis Environmental Studies and Res. </w:t>
      </w:r>
      <w:proofErr w:type="spellStart"/>
      <w:r w:rsidRPr="00A2270A">
        <w:rPr>
          <w:rFonts w:cs="Times New Roman"/>
          <w:sz w:val="20"/>
          <w:szCs w:val="20"/>
        </w:rPr>
        <w:t>Instit</w:t>
      </w:r>
      <w:proofErr w:type="spellEnd"/>
      <w:r w:rsidRPr="00A2270A">
        <w:rPr>
          <w:rFonts w:cs="Times New Roman"/>
          <w:sz w:val="20"/>
          <w:szCs w:val="20"/>
        </w:rPr>
        <w:t>. Sadat. Univ.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El- </w:t>
      </w:r>
      <w:proofErr w:type="spellStart"/>
      <w:r w:rsidRPr="00A2270A">
        <w:rPr>
          <w:rFonts w:cs="Times New Roman"/>
          <w:bCs/>
          <w:sz w:val="20"/>
          <w:szCs w:val="20"/>
        </w:rPr>
        <w:t>Salhy</w:t>
      </w:r>
      <w:proofErr w:type="spellEnd"/>
      <w:r w:rsidRPr="00A2270A">
        <w:rPr>
          <w:rFonts w:cs="Times New Roman"/>
          <w:bCs/>
          <w:sz w:val="20"/>
          <w:szCs w:val="20"/>
        </w:rPr>
        <w:t>, A.</w:t>
      </w:r>
      <w:r w:rsidRPr="00A2270A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bCs/>
          <w:sz w:val="20"/>
          <w:szCs w:val="20"/>
        </w:rPr>
        <w:t xml:space="preserve">M.; </w:t>
      </w:r>
      <w:proofErr w:type="spellStart"/>
      <w:r w:rsidRPr="00A2270A">
        <w:rPr>
          <w:rFonts w:cs="Times New Roman"/>
          <w:bCs/>
          <w:sz w:val="20"/>
          <w:szCs w:val="20"/>
        </w:rPr>
        <w:t>Marzouk</w:t>
      </w:r>
      <w:proofErr w:type="spellEnd"/>
      <w:r w:rsidRPr="00A2270A">
        <w:rPr>
          <w:rFonts w:cs="Times New Roman"/>
          <w:bCs/>
          <w:sz w:val="20"/>
          <w:szCs w:val="20"/>
        </w:rPr>
        <w:t>, H. M. M. and El- Akkad, M. M.</w:t>
      </w:r>
      <w:r w:rsidRPr="00A2270A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bCs/>
          <w:sz w:val="20"/>
          <w:szCs w:val="20"/>
        </w:rPr>
        <w:t>(2006):</w:t>
      </w:r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Biofertilization</w:t>
      </w:r>
      <w:proofErr w:type="spellEnd"/>
      <w:r w:rsidRPr="00A2270A">
        <w:rPr>
          <w:rFonts w:cs="Times New Roman"/>
          <w:sz w:val="20"/>
          <w:szCs w:val="20"/>
        </w:rPr>
        <w:t xml:space="preserve"> and elemental </w:t>
      </w:r>
      <w:proofErr w:type="spellStart"/>
      <w:r w:rsidRPr="00A2270A">
        <w:rPr>
          <w:rFonts w:cs="Times New Roman"/>
          <w:sz w:val="20"/>
          <w:szCs w:val="20"/>
        </w:rPr>
        <w:t>sulphur</w:t>
      </w:r>
      <w:proofErr w:type="spellEnd"/>
      <w:r w:rsidRPr="00A2270A">
        <w:rPr>
          <w:rFonts w:cs="Times New Roman"/>
          <w:sz w:val="20"/>
          <w:szCs w:val="20"/>
        </w:rPr>
        <w:t xml:space="preserve"> effects on growth and fruiting of Kings Ruby and Red Roomy grapevines. Egypt J. of Hort. 33: 1, 29 - 43.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El- </w:t>
      </w:r>
      <w:proofErr w:type="spellStart"/>
      <w:r w:rsidRPr="00A2270A">
        <w:rPr>
          <w:rFonts w:cs="Times New Roman"/>
          <w:bCs/>
          <w:sz w:val="20"/>
          <w:szCs w:val="20"/>
        </w:rPr>
        <w:t>Shenawy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I. E. and </w:t>
      </w:r>
      <w:proofErr w:type="spellStart"/>
      <w:r w:rsidRPr="00A2270A">
        <w:rPr>
          <w:rFonts w:cs="Times New Roman"/>
          <w:bCs/>
          <w:sz w:val="20"/>
          <w:szCs w:val="20"/>
        </w:rPr>
        <w:t>Stino</w:t>
      </w:r>
      <w:proofErr w:type="spellEnd"/>
      <w:r w:rsidRPr="00A2270A">
        <w:rPr>
          <w:rFonts w:cs="Times New Roman"/>
          <w:bCs/>
          <w:sz w:val="20"/>
          <w:szCs w:val="20"/>
        </w:rPr>
        <w:t>, R. G. (2005):</w:t>
      </w:r>
      <w:r w:rsidRPr="00A2270A">
        <w:rPr>
          <w:rFonts w:cs="Times New Roman"/>
          <w:sz w:val="20"/>
          <w:szCs w:val="20"/>
        </w:rPr>
        <w:t xml:space="preserve"> Evaluation of conventional organic and </w:t>
      </w:r>
      <w:proofErr w:type="spellStart"/>
      <w:r w:rsidRPr="00A2270A">
        <w:rPr>
          <w:rFonts w:cs="Times New Roman"/>
          <w:sz w:val="20"/>
          <w:szCs w:val="20"/>
        </w:rPr>
        <w:t>biofertilizers</w:t>
      </w:r>
      <w:proofErr w:type="spellEnd"/>
      <w:r w:rsidRPr="00A2270A">
        <w:rPr>
          <w:rFonts w:cs="Times New Roman"/>
          <w:sz w:val="20"/>
          <w:szCs w:val="20"/>
        </w:rPr>
        <w:t xml:space="preserve"> on "Crimson seedless grapevines" in comparison with chemical fertilizers "Vegetative growth and nutritional status". Egypt. J. Appl. Sci.; 20 (1): 212 - 225 pp.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El-</w:t>
      </w:r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bCs/>
          <w:sz w:val="20"/>
          <w:szCs w:val="20"/>
        </w:rPr>
        <w:t>Wany</w:t>
      </w:r>
      <w:proofErr w:type="spellEnd"/>
      <w:r w:rsidRPr="00A2270A">
        <w:rPr>
          <w:rFonts w:cs="Times New Roman"/>
          <w:bCs/>
          <w:sz w:val="20"/>
          <w:szCs w:val="20"/>
        </w:rPr>
        <w:t>, A.R.M. (2015):</w:t>
      </w:r>
      <w:r w:rsidRPr="00A2270A">
        <w:rPr>
          <w:rFonts w:cs="Times New Roman"/>
          <w:sz w:val="20"/>
          <w:szCs w:val="20"/>
        </w:rPr>
        <w:t xml:space="preserve"> Response of Thompson seedless grapevines to application of EM and </w:t>
      </w:r>
      <w:proofErr w:type="spellStart"/>
      <w:r w:rsidRPr="00A2270A">
        <w:rPr>
          <w:rFonts w:cs="Times New Roman"/>
          <w:sz w:val="20"/>
          <w:szCs w:val="20"/>
        </w:rPr>
        <w:t>fulvic</w:t>
      </w:r>
      <w:proofErr w:type="spellEnd"/>
      <w:r w:rsidRPr="00A2270A">
        <w:rPr>
          <w:rFonts w:cs="Times New Roman"/>
          <w:sz w:val="20"/>
          <w:szCs w:val="20"/>
        </w:rPr>
        <w:t xml:space="preserve"> acid as a partial replacement of inorganic N fertilizer. M. Sc. Thesis Fac. of Agric.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Univ.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Fadl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M. S and Ser El- </w:t>
      </w:r>
      <w:proofErr w:type="spellStart"/>
      <w:r w:rsidRPr="00A2270A">
        <w:rPr>
          <w:rFonts w:cs="Times New Roman"/>
          <w:bCs/>
          <w:sz w:val="20"/>
          <w:szCs w:val="20"/>
        </w:rPr>
        <w:t>Deen</w:t>
      </w:r>
      <w:proofErr w:type="spellEnd"/>
      <w:r w:rsidRPr="00A2270A">
        <w:rPr>
          <w:rFonts w:cs="Times New Roman"/>
          <w:bCs/>
          <w:sz w:val="20"/>
          <w:szCs w:val="20"/>
        </w:rPr>
        <w:t>,</w:t>
      </w:r>
      <w:r w:rsidRPr="00A2270A">
        <w:rPr>
          <w:rFonts w:cs="Times New Roman"/>
          <w:sz w:val="20"/>
          <w:szCs w:val="20"/>
        </w:rPr>
        <w:t xml:space="preserve"> S.</w:t>
      </w:r>
      <w:r w:rsidRPr="00A2270A">
        <w:rPr>
          <w:rFonts w:cs="Times New Roman"/>
          <w:bCs/>
          <w:sz w:val="20"/>
          <w:szCs w:val="20"/>
        </w:rPr>
        <w:t xml:space="preserve"> A.</w:t>
      </w:r>
      <w:r w:rsidRPr="00A2270A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bCs/>
          <w:sz w:val="20"/>
          <w:szCs w:val="20"/>
        </w:rPr>
        <w:t>(1978):</w:t>
      </w:r>
      <w:r w:rsidRPr="00A2270A">
        <w:rPr>
          <w:rFonts w:cs="Times New Roman"/>
          <w:sz w:val="20"/>
          <w:szCs w:val="20"/>
        </w:rPr>
        <w:t xml:space="preserve"> Effect of N Benzyl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adenine on photosynthesis pigments total sugars on olive seedling growth under saline condition. Res. Bull. No. 843, Fac. Agric. </w:t>
      </w:r>
      <w:proofErr w:type="spellStart"/>
      <w:r w:rsidRPr="00A2270A">
        <w:rPr>
          <w:rFonts w:cs="Times New Roman"/>
          <w:sz w:val="20"/>
          <w:szCs w:val="20"/>
        </w:rPr>
        <w:t>Ain</w:t>
      </w:r>
      <w:proofErr w:type="spellEnd"/>
      <w:r w:rsidRPr="00A2270A">
        <w:rPr>
          <w:rFonts w:cs="Times New Roman"/>
          <w:sz w:val="20"/>
          <w:szCs w:val="20"/>
        </w:rPr>
        <w:t xml:space="preserve"> shams Univ.</w:t>
      </w:r>
    </w:p>
    <w:p w:rsidR="008F5A64" w:rsidRPr="00A2270A" w:rsidRDefault="008F5A64" w:rsidP="00A2270A">
      <w:pPr>
        <w:pStyle w:val="FR1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A2270A">
        <w:rPr>
          <w:rFonts w:ascii="Times New Roman" w:hAnsi="Times New Roman" w:cs="Times New Roman"/>
          <w:bCs/>
          <w:sz w:val="20"/>
          <w:szCs w:val="20"/>
        </w:rPr>
        <w:t xml:space="preserve">Ibrahim- </w:t>
      </w:r>
      <w:proofErr w:type="spellStart"/>
      <w:r w:rsidRPr="00A2270A">
        <w:rPr>
          <w:rFonts w:ascii="Times New Roman" w:hAnsi="Times New Roman" w:cs="Times New Roman"/>
          <w:bCs/>
          <w:sz w:val="20"/>
          <w:szCs w:val="20"/>
        </w:rPr>
        <w:t>Asmaa</w:t>
      </w:r>
      <w:proofErr w:type="spellEnd"/>
      <w:r w:rsidRPr="00A2270A">
        <w:rPr>
          <w:rFonts w:ascii="Times New Roman" w:hAnsi="Times New Roman" w:cs="Times New Roman"/>
          <w:bCs/>
          <w:sz w:val="20"/>
          <w:szCs w:val="20"/>
        </w:rPr>
        <w:t>, A. H. (2006):</w:t>
      </w:r>
      <w:r w:rsidRPr="00A2270A">
        <w:rPr>
          <w:rFonts w:ascii="Times New Roman" w:hAnsi="Times New Roman" w:cs="Times New Roman"/>
          <w:sz w:val="20"/>
          <w:szCs w:val="20"/>
        </w:rPr>
        <w:t xml:space="preserve"> Influence of some </w:t>
      </w:r>
      <w:proofErr w:type="spellStart"/>
      <w:r w:rsidRPr="00A2270A">
        <w:rPr>
          <w:rFonts w:ascii="Times New Roman" w:hAnsi="Times New Roman" w:cs="Times New Roman"/>
          <w:sz w:val="20"/>
          <w:szCs w:val="20"/>
        </w:rPr>
        <w:t>biofertilizers</w:t>
      </w:r>
      <w:proofErr w:type="spellEnd"/>
      <w:r w:rsidRPr="00A2270A">
        <w:rPr>
          <w:rFonts w:ascii="Times New Roman" w:hAnsi="Times New Roman" w:cs="Times New Roman"/>
          <w:sz w:val="20"/>
          <w:szCs w:val="20"/>
        </w:rPr>
        <w:t xml:space="preserve"> and antioxidants on Red Roomy grapevines </w:t>
      </w:r>
      <w:r w:rsidRPr="00A2270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A2270A">
        <w:rPr>
          <w:rFonts w:ascii="Times New Roman" w:hAnsi="Times New Roman" w:cs="Times New Roman"/>
          <w:i/>
          <w:iCs/>
          <w:sz w:val="20"/>
          <w:szCs w:val="20"/>
        </w:rPr>
        <w:t>Vitis</w:t>
      </w:r>
      <w:proofErr w:type="spellEnd"/>
      <w:r w:rsidRPr="00A227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2270A">
        <w:rPr>
          <w:rFonts w:ascii="Times New Roman" w:hAnsi="Times New Roman" w:cs="Times New Roman"/>
          <w:i/>
          <w:iCs/>
          <w:sz w:val="20"/>
          <w:szCs w:val="20"/>
        </w:rPr>
        <w:t>vinifera</w:t>
      </w:r>
      <w:proofErr w:type="spellEnd"/>
      <w:r w:rsidRPr="00A227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270A">
        <w:rPr>
          <w:rFonts w:ascii="Times New Roman" w:hAnsi="Times New Roman" w:cs="Times New Roman"/>
          <w:sz w:val="20"/>
          <w:szCs w:val="20"/>
        </w:rPr>
        <w:t xml:space="preserve">L.).Ph. D. Thesis, Fac. of Agric. </w:t>
      </w:r>
      <w:proofErr w:type="spellStart"/>
      <w:r w:rsidRPr="00A2270A">
        <w:rPr>
          <w:rFonts w:ascii="Times New Roman" w:hAnsi="Times New Roman" w:cs="Times New Roman"/>
          <w:sz w:val="20"/>
          <w:szCs w:val="20"/>
        </w:rPr>
        <w:t>Minia</w:t>
      </w:r>
      <w:proofErr w:type="spellEnd"/>
      <w:r w:rsidRPr="00A2270A">
        <w:rPr>
          <w:rFonts w:ascii="Times New Roman" w:hAnsi="Times New Roman" w:cs="Times New Roman"/>
          <w:sz w:val="20"/>
          <w:szCs w:val="20"/>
        </w:rPr>
        <w:t xml:space="preserve"> Univ.,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Lane, J. H. and </w:t>
      </w:r>
      <w:proofErr w:type="spellStart"/>
      <w:r w:rsidRPr="00A2270A">
        <w:rPr>
          <w:rFonts w:cs="Times New Roman"/>
          <w:bCs/>
          <w:sz w:val="20"/>
          <w:szCs w:val="20"/>
        </w:rPr>
        <w:t>Eynon</w:t>
      </w:r>
      <w:proofErr w:type="spellEnd"/>
      <w:r w:rsidRPr="00A2270A">
        <w:rPr>
          <w:rFonts w:cs="Times New Roman"/>
          <w:bCs/>
          <w:sz w:val="20"/>
          <w:szCs w:val="20"/>
        </w:rPr>
        <w:t>, L. (1965):</w:t>
      </w:r>
      <w:r w:rsidRPr="00A2270A">
        <w:rPr>
          <w:rFonts w:cs="Times New Roman"/>
          <w:sz w:val="20"/>
          <w:szCs w:val="20"/>
        </w:rPr>
        <w:t xml:space="preserve"> Determination of reducing sugars by means of Fehling's solution with </w:t>
      </w:r>
      <w:proofErr w:type="spellStart"/>
      <w:r w:rsidRPr="00A2270A">
        <w:rPr>
          <w:rFonts w:cs="Times New Roman"/>
          <w:sz w:val="20"/>
          <w:szCs w:val="20"/>
        </w:rPr>
        <w:t>methylene</w:t>
      </w:r>
      <w:proofErr w:type="spellEnd"/>
      <w:r w:rsidRPr="00A2270A">
        <w:rPr>
          <w:rFonts w:cs="Times New Roman"/>
          <w:sz w:val="20"/>
          <w:szCs w:val="20"/>
        </w:rPr>
        <w:t xml:space="preserve"> blue as indicator A.O.AC. Washington D.C.U.S.A. pp. 100-110.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bCs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Madian</w:t>
      </w:r>
      <w:proofErr w:type="spellEnd"/>
      <w:r w:rsidRPr="00A2270A">
        <w:rPr>
          <w:rFonts w:cs="Times New Roman"/>
          <w:bCs/>
          <w:sz w:val="20"/>
          <w:szCs w:val="20"/>
        </w:rPr>
        <w:t>, A. M. (2010):</w:t>
      </w:r>
      <w:r w:rsidRPr="00A2270A">
        <w:rPr>
          <w:rFonts w:cs="Times New Roman"/>
          <w:sz w:val="20"/>
          <w:szCs w:val="20"/>
        </w:rPr>
        <w:t xml:space="preserve"> Adjusting the best source and proportion of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mineral, organic and bio nitrogen fertilizers on Red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Roomy grapevines (</w:t>
      </w:r>
      <w:proofErr w:type="spellStart"/>
      <w:r w:rsidRPr="00A2270A">
        <w:rPr>
          <w:rFonts w:cs="Times New Roman"/>
          <w:i/>
          <w:iCs/>
          <w:sz w:val="20"/>
          <w:szCs w:val="20"/>
        </w:rPr>
        <w:t>Vitis</w:t>
      </w:r>
      <w:proofErr w:type="spellEnd"/>
      <w:r w:rsidRPr="00A2270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i/>
          <w:iCs/>
          <w:sz w:val="20"/>
          <w:szCs w:val="20"/>
        </w:rPr>
        <w:t>vinifera</w:t>
      </w:r>
      <w:proofErr w:type="spellEnd"/>
      <w:r w:rsidRPr="00A2270A">
        <w:rPr>
          <w:rFonts w:cs="Times New Roman"/>
          <w:sz w:val="20"/>
          <w:szCs w:val="20"/>
        </w:rPr>
        <w:t xml:space="preserve"> L.). Ph. D. Thesis Fac.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of Agric.,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Univ.,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bCs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lastRenderedPageBreak/>
        <w:t>Mahran</w:t>
      </w:r>
      <w:proofErr w:type="spellEnd"/>
      <w:r w:rsidRPr="00A2270A">
        <w:rPr>
          <w:rFonts w:cs="Times New Roman"/>
          <w:bCs/>
          <w:sz w:val="20"/>
          <w:szCs w:val="20"/>
        </w:rPr>
        <w:t>, M. K. (2005):</w:t>
      </w:r>
      <w:r w:rsidRPr="00A2270A">
        <w:rPr>
          <w:rFonts w:cs="Times New Roman"/>
          <w:sz w:val="20"/>
          <w:szCs w:val="20"/>
        </w:rPr>
        <w:t xml:space="preserve"> Response of White </w:t>
      </w:r>
      <w:proofErr w:type="spellStart"/>
      <w:r w:rsidRPr="00A2270A">
        <w:rPr>
          <w:rFonts w:cs="Times New Roman"/>
          <w:sz w:val="20"/>
          <w:szCs w:val="20"/>
        </w:rPr>
        <w:t>Banaty</w:t>
      </w:r>
      <w:proofErr w:type="spellEnd"/>
      <w:r w:rsidRPr="00A2270A">
        <w:rPr>
          <w:rFonts w:cs="Times New Roman"/>
          <w:sz w:val="20"/>
          <w:szCs w:val="20"/>
        </w:rPr>
        <w:t xml:space="preserve"> grapevines to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fertilization with organic and </w:t>
      </w:r>
      <w:proofErr w:type="spellStart"/>
      <w:r w:rsidRPr="00A2270A">
        <w:rPr>
          <w:rFonts w:cs="Times New Roman"/>
          <w:sz w:val="20"/>
          <w:szCs w:val="20"/>
        </w:rPr>
        <w:t>biofertilizers</w:t>
      </w:r>
      <w:proofErr w:type="spellEnd"/>
      <w:r w:rsidRPr="00A2270A">
        <w:rPr>
          <w:rFonts w:cs="Times New Roman"/>
          <w:sz w:val="20"/>
          <w:szCs w:val="20"/>
        </w:rPr>
        <w:t xml:space="preserve"> as well as</w:t>
      </w:r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spraying with </w:t>
      </w:r>
      <w:proofErr w:type="spellStart"/>
      <w:r w:rsidRPr="00A2270A">
        <w:rPr>
          <w:rFonts w:cs="Times New Roman"/>
          <w:sz w:val="20"/>
          <w:szCs w:val="20"/>
        </w:rPr>
        <w:t>ascobin</w:t>
      </w:r>
      <w:proofErr w:type="spellEnd"/>
      <w:r w:rsidRPr="00A2270A">
        <w:rPr>
          <w:rFonts w:cs="Times New Roman"/>
          <w:sz w:val="20"/>
          <w:szCs w:val="20"/>
        </w:rPr>
        <w:t xml:space="preserve">. Ph. D. Thesis Fac. of Agric.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Univ.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Masoud</w:t>
      </w:r>
      <w:proofErr w:type="spellEnd"/>
      <w:r w:rsidRPr="00A2270A">
        <w:rPr>
          <w:rFonts w:cs="Times New Roman"/>
          <w:bCs/>
          <w:sz w:val="20"/>
          <w:szCs w:val="20"/>
        </w:rPr>
        <w:t>, S. E. Y. (2008):</w:t>
      </w:r>
      <w:r w:rsidRPr="00A2270A">
        <w:rPr>
          <w:rFonts w:cs="Times New Roman"/>
          <w:sz w:val="20"/>
          <w:szCs w:val="20"/>
        </w:rPr>
        <w:t xml:space="preserve"> Attempts for alleviating the adverse effects of soil salinity on growth and fruiting of Superior grapevines. M. Sc. Thesis, Fac. of Agric.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Univ. Egypt.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 xml:space="preserve">Mead, R.; </w:t>
      </w:r>
      <w:proofErr w:type="spellStart"/>
      <w:r w:rsidRPr="00A2270A">
        <w:rPr>
          <w:rFonts w:cs="Times New Roman"/>
          <w:bCs/>
          <w:sz w:val="20"/>
          <w:szCs w:val="20"/>
        </w:rPr>
        <w:t>Currow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R. N. and </w:t>
      </w:r>
      <w:proofErr w:type="spellStart"/>
      <w:r w:rsidRPr="00A2270A">
        <w:rPr>
          <w:rFonts w:cs="Times New Roman"/>
          <w:bCs/>
          <w:sz w:val="20"/>
          <w:szCs w:val="20"/>
        </w:rPr>
        <w:t>Harted</w:t>
      </w:r>
      <w:proofErr w:type="spellEnd"/>
      <w:r w:rsidRPr="00A2270A">
        <w:rPr>
          <w:rFonts w:cs="Times New Roman"/>
          <w:bCs/>
          <w:sz w:val="20"/>
          <w:szCs w:val="20"/>
        </w:rPr>
        <w:t>, A. M. (1993):</w:t>
      </w:r>
      <w:r w:rsidRPr="00A2270A">
        <w:rPr>
          <w:rFonts w:cs="Times New Roman"/>
          <w:sz w:val="20"/>
          <w:szCs w:val="20"/>
        </w:rPr>
        <w:t xml:space="preserve"> Statistical Methods in Agricultural Biology. 2</w:t>
      </w:r>
      <w:r w:rsidRPr="00A2270A">
        <w:rPr>
          <w:rFonts w:cs="Times New Roman"/>
          <w:sz w:val="20"/>
          <w:szCs w:val="20"/>
          <w:vertAlign w:val="superscript"/>
        </w:rPr>
        <w:t>nd</w:t>
      </w:r>
      <w:r w:rsidRPr="00A2270A">
        <w:rPr>
          <w:rFonts w:cs="Times New Roman"/>
          <w:sz w:val="20"/>
          <w:szCs w:val="20"/>
        </w:rPr>
        <w:t xml:space="preserve"> Ed. Chapman &amp; Hall, London.pp.50 - 70.</w:t>
      </w:r>
    </w:p>
    <w:p w:rsidR="008F5A64" w:rsidRPr="00A2270A" w:rsidRDefault="008F5A64" w:rsidP="00A2270A">
      <w:pPr>
        <w:pStyle w:val="FR4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270A">
        <w:rPr>
          <w:rFonts w:ascii="Times New Roman" w:hAnsi="Times New Roman" w:cs="Times New Roman"/>
          <w:bCs/>
          <w:sz w:val="20"/>
          <w:szCs w:val="20"/>
        </w:rPr>
        <w:t>Myint</w:t>
      </w:r>
      <w:proofErr w:type="spellEnd"/>
      <w:r w:rsidRPr="00A2270A">
        <w:rPr>
          <w:rFonts w:ascii="Times New Roman" w:hAnsi="Times New Roman" w:cs="Times New Roman"/>
          <w:bCs/>
          <w:sz w:val="20"/>
          <w:szCs w:val="20"/>
        </w:rPr>
        <w:t>, C.C. (1999):</w:t>
      </w:r>
      <w:r w:rsidRPr="00A2270A">
        <w:rPr>
          <w:rFonts w:ascii="Times New Roman" w:hAnsi="Times New Roman" w:cs="Times New Roman"/>
          <w:sz w:val="20"/>
          <w:szCs w:val="20"/>
        </w:rPr>
        <w:t xml:space="preserve"> EM nature forming technology. Res. &amp; Extension Activities in Myanmar 6</w:t>
      </w:r>
      <w:r w:rsidRPr="00A2270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2270A">
        <w:rPr>
          <w:rFonts w:ascii="Times New Roman" w:hAnsi="Times New Roman" w:cs="Times New Roman"/>
          <w:sz w:val="20"/>
          <w:szCs w:val="20"/>
        </w:rPr>
        <w:t xml:space="preserve"> Inter Conf. On </w:t>
      </w:r>
      <w:proofErr w:type="spellStart"/>
      <w:r w:rsidRPr="00A2270A">
        <w:rPr>
          <w:rFonts w:ascii="Times New Roman" w:hAnsi="Times New Roman" w:cs="Times New Roman"/>
          <w:sz w:val="20"/>
          <w:szCs w:val="20"/>
        </w:rPr>
        <w:t>Kyusei</w:t>
      </w:r>
      <w:proofErr w:type="spellEnd"/>
      <w:r w:rsidRPr="00A2270A">
        <w:rPr>
          <w:rFonts w:ascii="Times New Roman" w:hAnsi="Times New Roman" w:cs="Times New Roman"/>
          <w:sz w:val="20"/>
          <w:szCs w:val="20"/>
        </w:rPr>
        <w:t xml:space="preserve"> Nature Farming. Pretoria South Africa, 28-30 Oct., 1999.</w:t>
      </w:r>
    </w:p>
    <w:p w:rsidR="000E361C" w:rsidRPr="00A2270A" w:rsidRDefault="000E361C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Refaai</w:t>
      </w:r>
      <w:proofErr w:type="spellEnd"/>
      <w:r w:rsidRPr="00A2270A">
        <w:rPr>
          <w:rFonts w:cs="Times New Roman"/>
          <w:bCs/>
          <w:sz w:val="20"/>
          <w:szCs w:val="20"/>
        </w:rPr>
        <w:t>, M. M. (2011):</w:t>
      </w:r>
      <w:r w:rsidRPr="00A2270A">
        <w:rPr>
          <w:rFonts w:cs="Times New Roman"/>
          <w:sz w:val="20"/>
          <w:szCs w:val="20"/>
        </w:rPr>
        <w:t xml:space="preserve"> Productive capacity of Thompson seedless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 xml:space="preserve">grapevines in relation to some inorganic, organic and </w:t>
      </w:r>
      <w:proofErr w:type="spellStart"/>
      <w:r w:rsidRPr="00A2270A">
        <w:rPr>
          <w:rFonts w:cs="Times New Roman"/>
          <w:sz w:val="20"/>
          <w:szCs w:val="20"/>
        </w:rPr>
        <w:t>biofertilization</w:t>
      </w:r>
      <w:proofErr w:type="spellEnd"/>
      <w:r w:rsidRPr="00A2270A">
        <w:rPr>
          <w:rFonts w:cs="Times New Roman"/>
          <w:sz w:val="20"/>
          <w:szCs w:val="20"/>
        </w:rPr>
        <w:t xml:space="preserve"> as well as citric acid treatments. Ph. D. Thesis Fac. of Agric. </w:t>
      </w:r>
      <w:proofErr w:type="spellStart"/>
      <w:r w:rsidRPr="00A2270A">
        <w:rPr>
          <w:rFonts w:cs="Times New Roman"/>
          <w:sz w:val="20"/>
          <w:szCs w:val="20"/>
        </w:rPr>
        <w:t>Minia</w:t>
      </w:r>
      <w:proofErr w:type="spellEnd"/>
      <w:r w:rsidRPr="00A2270A">
        <w:rPr>
          <w:rFonts w:cs="Times New Roman"/>
          <w:sz w:val="20"/>
          <w:szCs w:val="20"/>
        </w:rPr>
        <w:t xml:space="preserve"> Univ. Egypt.</w:t>
      </w:r>
    </w:p>
    <w:p w:rsidR="008F5A64" w:rsidRPr="00A2270A" w:rsidRDefault="008F5A64" w:rsidP="00A2270A">
      <w:pPr>
        <w:pStyle w:val="FR1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270A">
        <w:rPr>
          <w:rFonts w:ascii="Times New Roman" w:hAnsi="Times New Roman" w:cs="Times New Roman"/>
          <w:bCs/>
          <w:sz w:val="20"/>
          <w:szCs w:val="20"/>
        </w:rPr>
        <w:t>Sen</w:t>
      </w:r>
      <w:proofErr w:type="spellEnd"/>
      <w:r w:rsidRPr="00A2270A">
        <w:rPr>
          <w:rFonts w:ascii="Times New Roman" w:hAnsi="Times New Roman" w:cs="Times New Roman"/>
          <w:bCs/>
          <w:sz w:val="20"/>
          <w:szCs w:val="20"/>
        </w:rPr>
        <w:t>, N.P. and Donaldson, B. (1978):</w:t>
      </w:r>
      <w:r w:rsidRPr="00A2270A">
        <w:rPr>
          <w:rFonts w:ascii="Times New Roman" w:hAnsi="Times New Roman" w:cs="Times New Roman"/>
          <w:sz w:val="20"/>
          <w:szCs w:val="20"/>
        </w:rPr>
        <w:t xml:space="preserve"> Improved </w:t>
      </w:r>
      <w:proofErr w:type="spellStart"/>
      <w:r w:rsidRPr="00A2270A">
        <w:rPr>
          <w:rFonts w:ascii="Times New Roman" w:hAnsi="Times New Roman" w:cs="Times New Roman"/>
          <w:sz w:val="20"/>
          <w:szCs w:val="20"/>
        </w:rPr>
        <w:t>coloimetric</w:t>
      </w:r>
      <w:proofErr w:type="spellEnd"/>
      <w:r w:rsidRPr="00A2270A">
        <w:rPr>
          <w:rFonts w:ascii="Times New Roman" w:hAnsi="Times New Roman" w:cs="Times New Roman"/>
          <w:sz w:val="20"/>
          <w:szCs w:val="20"/>
        </w:rPr>
        <w:t xml:space="preserve"> method for determining nitrate and nitrite. Food J. Assoc. of Anal. Chem. 16(6): 1389-1395.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proofErr w:type="spellStart"/>
      <w:r w:rsidRPr="00A2270A">
        <w:rPr>
          <w:rFonts w:cs="Times New Roman"/>
          <w:bCs/>
          <w:sz w:val="20"/>
          <w:szCs w:val="20"/>
        </w:rPr>
        <w:t>Shawky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I.; El- </w:t>
      </w:r>
      <w:proofErr w:type="spellStart"/>
      <w:r w:rsidRPr="00A2270A">
        <w:rPr>
          <w:rFonts w:cs="Times New Roman"/>
          <w:bCs/>
          <w:sz w:val="20"/>
          <w:szCs w:val="20"/>
        </w:rPr>
        <w:t>Shazly</w:t>
      </w:r>
      <w:proofErr w:type="spellEnd"/>
      <w:r w:rsidRPr="00A2270A">
        <w:rPr>
          <w:rFonts w:cs="Times New Roman"/>
          <w:bCs/>
          <w:sz w:val="20"/>
          <w:szCs w:val="20"/>
        </w:rPr>
        <w:t>,</w:t>
      </w:r>
      <w:r w:rsidRPr="00A2270A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bCs/>
          <w:sz w:val="20"/>
          <w:szCs w:val="20"/>
        </w:rPr>
        <w:t xml:space="preserve">S.; El- </w:t>
      </w:r>
      <w:proofErr w:type="spellStart"/>
      <w:r w:rsidRPr="00A2270A">
        <w:rPr>
          <w:rFonts w:cs="Times New Roman"/>
          <w:bCs/>
          <w:sz w:val="20"/>
          <w:szCs w:val="20"/>
        </w:rPr>
        <w:t>Gazzar</w:t>
      </w:r>
      <w:proofErr w:type="spellEnd"/>
      <w:r w:rsidRPr="00A2270A">
        <w:rPr>
          <w:rFonts w:cs="Times New Roman"/>
          <w:bCs/>
          <w:sz w:val="20"/>
          <w:szCs w:val="20"/>
        </w:rPr>
        <w:t xml:space="preserve">, A.; </w:t>
      </w:r>
      <w:proofErr w:type="spellStart"/>
      <w:r w:rsidRPr="00A2270A">
        <w:rPr>
          <w:rFonts w:cs="Times New Roman"/>
          <w:bCs/>
          <w:sz w:val="20"/>
          <w:szCs w:val="20"/>
        </w:rPr>
        <w:t>S</w:t>
      </w:r>
      <w:r w:rsidR="00F42B4A" w:rsidRPr="00A2270A">
        <w:rPr>
          <w:rFonts w:cs="Times New Roman"/>
          <w:bCs/>
          <w:sz w:val="20"/>
          <w:szCs w:val="20"/>
        </w:rPr>
        <w:t>elim</w:t>
      </w:r>
      <w:proofErr w:type="spellEnd"/>
      <w:r w:rsidR="00F42B4A" w:rsidRPr="00A2270A">
        <w:rPr>
          <w:rFonts w:cs="Times New Roman"/>
          <w:bCs/>
          <w:sz w:val="20"/>
          <w:szCs w:val="20"/>
        </w:rPr>
        <w:t xml:space="preserve">, S. and </w:t>
      </w:r>
      <w:proofErr w:type="spellStart"/>
      <w:r w:rsidR="00F42B4A" w:rsidRPr="00A2270A">
        <w:rPr>
          <w:rFonts w:cs="Times New Roman"/>
          <w:bCs/>
          <w:sz w:val="20"/>
          <w:szCs w:val="20"/>
        </w:rPr>
        <w:t>Mansour</w:t>
      </w:r>
      <w:proofErr w:type="spellEnd"/>
      <w:r w:rsidR="00F42B4A" w:rsidRPr="00A2270A">
        <w:rPr>
          <w:rFonts w:cs="Times New Roman"/>
          <w:bCs/>
          <w:sz w:val="20"/>
          <w:szCs w:val="20"/>
        </w:rPr>
        <w:t>, N. (2004</w:t>
      </w:r>
      <w:r w:rsidRPr="00A2270A">
        <w:rPr>
          <w:rFonts w:cs="Times New Roman"/>
          <w:bCs/>
          <w:sz w:val="20"/>
          <w:szCs w:val="20"/>
        </w:rPr>
        <w:t>):</w:t>
      </w:r>
      <w:r w:rsidRPr="00A2270A">
        <w:rPr>
          <w:rFonts w:cs="Times New Roman"/>
          <w:sz w:val="20"/>
          <w:szCs w:val="20"/>
        </w:rPr>
        <w:t xml:space="preserve"> Effect of mineral and biological nitrogen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fertilization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on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Thompson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seedless</w:t>
      </w:r>
      <w:r w:rsidR="005C64E9">
        <w:rPr>
          <w:rFonts w:cs="Times New Roman"/>
          <w:sz w:val="20"/>
          <w:szCs w:val="20"/>
        </w:rPr>
        <w:t xml:space="preserve"> </w:t>
      </w:r>
      <w:r w:rsidRPr="00A2270A">
        <w:rPr>
          <w:rFonts w:cs="Times New Roman"/>
          <w:sz w:val="20"/>
          <w:szCs w:val="20"/>
        </w:rPr>
        <w:t>grape transplants. I-Effect on vegetative growth</w:t>
      </w:r>
      <w:r w:rsidRPr="00A2270A">
        <w:rPr>
          <w:rFonts w:cs="Times New Roman"/>
          <w:i/>
          <w:iCs/>
          <w:sz w:val="20"/>
          <w:szCs w:val="20"/>
        </w:rPr>
        <w:t>.</w:t>
      </w:r>
      <w:r w:rsidRPr="00A2270A">
        <w:rPr>
          <w:rFonts w:cs="Times New Roman"/>
          <w:sz w:val="20"/>
          <w:szCs w:val="20"/>
        </w:rPr>
        <w:t xml:space="preserve"> Annals of Agricultural Science. </w:t>
      </w:r>
      <w:proofErr w:type="spellStart"/>
      <w:r w:rsidRPr="00A2270A">
        <w:rPr>
          <w:rFonts w:cs="Times New Roman"/>
          <w:sz w:val="20"/>
          <w:szCs w:val="20"/>
        </w:rPr>
        <w:t>Moshtohnr</w:t>
      </w:r>
      <w:proofErr w:type="spellEnd"/>
      <w:r w:rsidRPr="00A2270A">
        <w:rPr>
          <w:rFonts w:cs="Times New Roman"/>
          <w:sz w:val="20"/>
          <w:szCs w:val="20"/>
        </w:rPr>
        <w:t>. 42-3- 1329- 1345.</w:t>
      </w:r>
    </w:p>
    <w:p w:rsidR="008F5A64" w:rsidRPr="00A2270A" w:rsidRDefault="008F5A64" w:rsidP="00A2270A">
      <w:pPr>
        <w:numPr>
          <w:ilvl w:val="0"/>
          <w:numId w:val="3"/>
        </w:numPr>
        <w:bidi w:val="0"/>
        <w:snapToGrid w:val="0"/>
        <w:jc w:val="both"/>
        <w:rPr>
          <w:rFonts w:cs="Times New Roman"/>
          <w:sz w:val="20"/>
          <w:szCs w:val="20"/>
        </w:rPr>
      </w:pPr>
      <w:r w:rsidRPr="00A2270A">
        <w:rPr>
          <w:rFonts w:cs="Times New Roman"/>
          <w:bCs/>
          <w:sz w:val="20"/>
          <w:szCs w:val="20"/>
        </w:rPr>
        <w:t>Von-</w:t>
      </w:r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bCs/>
          <w:sz w:val="20"/>
          <w:szCs w:val="20"/>
        </w:rPr>
        <w:t>Wettstein</w:t>
      </w:r>
      <w:proofErr w:type="spellEnd"/>
      <w:r w:rsidRPr="00A2270A">
        <w:rPr>
          <w:rFonts w:cs="Times New Roman"/>
          <w:bCs/>
          <w:sz w:val="20"/>
          <w:szCs w:val="20"/>
        </w:rPr>
        <w:t>, D. V. C. (1957):</w:t>
      </w:r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Clatale</w:t>
      </w:r>
      <w:proofErr w:type="spellEnd"/>
      <w:r w:rsidRPr="00A2270A">
        <w:rPr>
          <w:rFonts w:cs="Times New Roman"/>
          <w:sz w:val="20"/>
          <w:szCs w:val="20"/>
        </w:rPr>
        <w:t xml:space="preserve"> und </w:t>
      </w:r>
      <w:proofErr w:type="spellStart"/>
      <w:r w:rsidRPr="00A2270A">
        <w:rPr>
          <w:rFonts w:cs="Times New Roman"/>
          <w:sz w:val="20"/>
          <w:szCs w:val="20"/>
        </w:rPr>
        <w:t>der</w:t>
      </w:r>
      <w:proofErr w:type="spellEnd"/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Sumbmikro</w:t>
      </w:r>
      <w:proofErr w:type="spellEnd"/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Skopisne</w:t>
      </w:r>
      <w:proofErr w:type="spellEnd"/>
      <w:r w:rsidRPr="00A2270A">
        <w:rPr>
          <w:rFonts w:cs="Times New Roman"/>
          <w:sz w:val="20"/>
          <w:szCs w:val="20"/>
        </w:rPr>
        <w:t xml:space="preserve"> </w:t>
      </w:r>
      <w:proofErr w:type="spellStart"/>
      <w:r w:rsidRPr="00A2270A">
        <w:rPr>
          <w:rFonts w:cs="Times New Roman"/>
          <w:sz w:val="20"/>
          <w:szCs w:val="20"/>
        </w:rPr>
        <w:t>Formwechsel</w:t>
      </w:r>
      <w:proofErr w:type="spellEnd"/>
      <w:r w:rsidRPr="00A2270A">
        <w:rPr>
          <w:rFonts w:cs="Times New Roman"/>
          <w:sz w:val="20"/>
          <w:szCs w:val="20"/>
        </w:rPr>
        <w:t xml:space="preserve"> de Plastids. Experimental Cell Research, 12 -427.</w:t>
      </w:r>
    </w:p>
    <w:p w:rsidR="008F5A64" w:rsidRPr="005C64E9" w:rsidRDefault="008F5A64" w:rsidP="004E7B74">
      <w:pPr>
        <w:pStyle w:val="FR1"/>
        <w:numPr>
          <w:ilvl w:val="0"/>
          <w:numId w:val="3"/>
        </w:numPr>
        <w:snapToGrid w:val="0"/>
        <w:ind w:left="425" w:hanging="425"/>
        <w:jc w:val="both"/>
        <w:rPr>
          <w:rFonts w:cs="Times New Roman"/>
          <w:sz w:val="20"/>
          <w:szCs w:val="20"/>
          <w:lang w:bidi="ar-EG"/>
        </w:rPr>
      </w:pPr>
      <w:r w:rsidRPr="005C64E9">
        <w:rPr>
          <w:rFonts w:ascii="Times New Roman" w:hAnsi="Times New Roman" w:cs="Times New Roman"/>
          <w:bCs/>
          <w:sz w:val="20"/>
          <w:szCs w:val="20"/>
        </w:rPr>
        <w:t>Wilde, S. A.; Corey, R. B.; Layer, J. G. and Voigt, G. K. (1985):</w:t>
      </w:r>
      <w:r w:rsidRPr="005C64E9">
        <w:rPr>
          <w:rFonts w:ascii="Times New Roman" w:hAnsi="Times New Roman" w:cs="Times New Roman"/>
          <w:sz w:val="20"/>
          <w:szCs w:val="20"/>
        </w:rPr>
        <w:t xml:space="preserve"> Soils and Plant Analysis for Tree Culture. Oxford and IBH publishing Co., New Delhi, India.</w:t>
      </w:r>
      <w:r w:rsidR="005C64E9" w:rsidRPr="005C64E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777E30" w:rsidRDefault="00777E30" w:rsidP="004E7B74">
      <w:pPr>
        <w:bidi w:val="0"/>
        <w:snapToGrid w:val="0"/>
        <w:ind w:left="425" w:hanging="425"/>
        <w:jc w:val="both"/>
        <w:rPr>
          <w:rFonts w:cs="Times New Roman"/>
          <w:sz w:val="20"/>
          <w:szCs w:val="20"/>
          <w:lang w:bidi="ar-EG"/>
        </w:rPr>
        <w:sectPr w:rsidR="00777E30" w:rsidSect="005C64E9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F779B8" w:rsidRDefault="00F779B8" w:rsidP="004E7B74">
      <w:pPr>
        <w:bidi w:val="0"/>
        <w:snapToGrid w:val="0"/>
        <w:ind w:left="425" w:hanging="425"/>
        <w:jc w:val="both"/>
        <w:rPr>
          <w:rFonts w:cs="Times New Roman"/>
          <w:sz w:val="20"/>
          <w:szCs w:val="20"/>
          <w:lang w:eastAsia="zh-CN" w:bidi="ar-EG"/>
        </w:rPr>
      </w:pPr>
    </w:p>
    <w:p w:rsidR="00777E30" w:rsidRPr="004E7B74" w:rsidRDefault="00777E30" w:rsidP="00777E30">
      <w:pPr>
        <w:bidi w:val="0"/>
        <w:snapToGrid w:val="0"/>
        <w:ind w:left="425" w:hanging="425"/>
        <w:jc w:val="both"/>
        <w:rPr>
          <w:rFonts w:cs="Times New Roman"/>
          <w:sz w:val="20"/>
          <w:szCs w:val="20"/>
          <w:lang w:eastAsia="zh-CN" w:bidi="ar-EG"/>
        </w:rPr>
      </w:pPr>
    </w:p>
    <w:p w:rsidR="004E7B74" w:rsidRPr="004E7B74" w:rsidRDefault="004E7B74" w:rsidP="004E7B74">
      <w:pPr>
        <w:bidi w:val="0"/>
        <w:snapToGrid w:val="0"/>
        <w:ind w:left="425" w:hanging="425"/>
        <w:jc w:val="both"/>
        <w:rPr>
          <w:rFonts w:cs="Times New Roman"/>
          <w:sz w:val="20"/>
          <w:szCs w:val="20"/>
          <w:lang w:bidi="ar-EG"/>
        </w:rPr>
      </w:pPr>
    </w:p>
    <w:p w:rsidR="00F779B8" w:rsidRPr="004E7B74" w:rsidRDefault="004E7B74" w:rsidP="004E7B74">
      <w:pPr>
        <w:bidi w:val="0"/>
        <w:snapToGrid w:val="0"/>
        <w:ind w:left="425" w:hanging="425"/>
        <w:jc w:val="both"/>
        <w:rPr>
          <w:rFonts w:cs="Times New Roman"/>
          <w:sz w:val="20"/>
          <w:szCs w:val="20"/>
          <w:lang w:bidi="ar-EG"/>
        </w:rPr>
      </w:pPr>
      <w:r w:rsidRPr="004E7B74">
        <w:rPr>
          <w:rFonts w:cs="Times New Roman"/>
          <w:sz w:val="20"/>
          <w:szCs w:val="20"/>
          <w:lang w:bidi="ar-EG"/>
        </w:rPr>
        <w:t>8/12/2015</w:t>
      </w:r>
    </w:p>
    <w:sectPr w:rsidR="00F779B8" w:rsidRPr="004E7B74" w:rsidSect="00B76511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1E" w:rsidRDefault="00035A1E">
      <w:r>
        <w:separator/>
      </w:r>
    </w:p>
  </w:endnote>
  <w:endnote w:type="continuationSeparator" w:id="0">
    <w:p w:rsidR="00035A1E" w:rsidRDefault="0003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74" w:rsidRDefault="00DA5A86" w:rsidP="00E649E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E7B7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E7B74" w:rsidRDefault="004E7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74" w:rsidRPr="004E7B74" w:rsidRDefault="00DA5A86" w:rsidP="004E7B74">
    <w:pPr>
      <w:bidi w:val="0"/>
      <w:jc w:val="center"/>
      <w:rPr>
        <w:rFonts w:cs="Times New Roman"/>
        <w:sz w:val="20"/>
      </w:rPr>
    </w:pPr>
    <w:r w:rsidRPr="004E7B74">
      <w:rPr>
        <w:rFonts w:cs="Times New Roman"/>
        <w:sz w:val="20"/>
      </w:rPr>
      <w:fldChar w:fldCharType="begin"/>
    </w:r>
    <w:r w:rsidR="004E7B74" w:rsidRPr="004E7B74">
      <w:rPr>
        <w:rFonts w:cs="Times New Roman"/>
        <w:sz w:val="20"/>
      </w:rPr>
      <w:instrText xml:space="preserve"> page </w:instrText>
    </w:r>
    <w:r w:rsidRPr="004E7B74">
      <w:rPr>
        <w:rFonts w:cs="Times New Roman"/>
        <w:sz w:val="20"/>
      </w:rPr>
      <w:fldChar w:fldCharType="separate"/>
    </w:r>
    <w:r w:rsidR="005C64E9">
      <w:rPr>
        <w:rFonts w:cs="Times New Roman"/>
        <w:noProof/>
        <w:sz w:val="20"/>
      </w:rPr>
      <w:t>84</w:t>
    </w:r>
    <w:r w:rsidRPr="004E7B74">
      <w:rPr>
        <w:rFonts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1E" w:rsidRDefault="00035A1E">
      <w:r>
        <w:separator/>
      </w:r>
    </w:p>
  </w:footnote>
  <w:footnote w:type="continuationSeparator" w:id="0">
    <w:p w:rsidR="00035A1E" w:rsidRDefault="00035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74" w:rsidRPr="004E7B74" w:rsidRDefault="004E7B74" w:rsidP="004E7B74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rFonts w:cs="Times New Roman"/>
        <w:iCs/>
        <w:sz w:val="20"/>
      </w:rPr>
    </w:pPr>
    <w:r w:rsidRPr="004E7B74">
      <w:rPr>
        <w:rFonts w:cs="Times New Roman" w:hint="eastAsia"/>
        <w:sz w:val="20"/>
        <w:szCs w:val="20"/>
      </w:rPr>
      <w:tab/>
    </w:r>
    <w:r w:rsidRPr="004E7B74">
      <w:rPr>
        <w:rFonts w:cs="Times New Roman"/>
        <w:sz w:val="20"/>
        <w:szCs w:val="20"/>
      </w:rPr>
      <w:t>World Rural Observations 201</w:t>
    </w:r>
    <w:r w:rsidRPr="004E7B74">
      <w:rPr>
        <w:rFonts w:cs="Times New Roman" w:hint="eastAsia"/>
        <w:sz w:val="20"/>
        <w:szCs w:val="20"/>
      </w:rPr>
      <w:t>5</w:t>
    </w:r>
    <w:proofErr w:type="gramStart"/>
    <w:r w:rsidRPr="004E7B74">
      <w:rPr>
        <w:rFonts w:cs="Times New Roman"/>
        <w:sz w:val="20"/>
        <w:szCs w:val="20"/>
      </w:rPr>
      <w:t>;</w:t>
    </w:r>
    <w:r w:rsidRPr="004E7B74">
      <w:rPr>
        <w:rFonts w:cs="Times New Roman" w:hint="eastAsia"/>
        <w:sz w:val="20"/>
        <w:szCs w:val="20"/>
      </w:rPr>
      <w:t>7</w:t>
    </w:r>
    <w:proofErr w:type="gramEnd"/>
    <w:r w:rsidRPr="004E7B74">
      <w:rPr>
        <w:rFonts w:cs="Times New Roman"/>
        <w:sz w:val="20"/>
        <w:szCs w:val="20"/>
      </w:rPr>
      <w:t>(</w:t>
    </w:r>
    <w:r w:rsidRPr="004E7B74">
      <w:rPr>
        <w:rFonts w:cs="Times New Roman" w:hint="eastAsia"/>
        <w:sz w:val="20"/>
        <w:szCs w:val="20"/>
      </w:rPr>
      <w:t>3</w:t>
    </w:r>
    <w:r w:rsidRPr="004E7B74">
      <w:rPr>
        <w:rFonts w:cs="Times New Roman"/>
        <w:sz w:val="20"/>
        <w:szCs w:val="20"/>
      </w:rPr>
      <w:t xml:space="preserve">)      </w:t>
    </w:r>
    <w:r w:rsidRPr="004E7B74">
      <w:rPr>
        <w:rFonts w:cs="Times New Roman" w:hint="eastAsia"/>
        <w:sz w:val="20"/>
        <w:szCs w:val="20"/>
      </w:rPr>
      <w:tab/>
    </w:r>
    <w:r w:rsidRPr="004E7B74">
      <w:rPr>
        <w:rFonts w:cs="Times New Roman"/>
        <w:sz w:val="20"/>
        <w:szCs w:val="20"/>
      </w:rPr>
      <w:t xml:space="preserve">       </w:t>
    </w:r>
    <w:hyperlink r:id="rId1" w:history="1">
      <w:r w:rsidRPr="004E7B74">
        <w:rPr>
          <w:rStyle w:val="Hyperlink"/>
          <w:rFonts w:cs="Times New Roman"/>
          <w:sz w:val="20"/>
          <w:szCs w:val="20"/>
        </w:rPr>
        <w:t>http://www.sciencepub.net/rural</w:t>
      </w:r>
    </w:hyperlink>
  </w:p>
  <w:p w:rsidR="004E7B74" w:rsidRPr="004E7B74" w:rsidRDefault="004E7B74" w:rsidP="004E7B74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13"/>
    <w:multiLevelType w:val="hybridMultilevel"/>
    <w:tmpl w:val="95EE4BEC"/>
    <w:lvl w:ilvl="0" w:tplc="004E3250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D4E47"/>
    <w:multiLevelType w:val="hybridMultilevel"/>
    <w:tmpl w:val="7304E410"/>
    <w:lvl w:ilvl="0" w:tplc="8D020F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3653F9"/>
    <w:multiLevelType w:val="hybridMultilevel"/>
    <w:tmpl w:val="7E96C892"/>
    <w:lvl w:ilvl="0" w:tplc="8D06C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6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BC8"/>
    <w:rsid w:val="00006BFB"/>
    <w:rsid w:val="0000728A"/>
    <w:rsid w:val="00011821"/>
    <w:rsid w:val="00035A1E"/>
    <w:rsid w:val="0003729A"/>
    <w:rsid w:val="00062F37"/>
    <w:rsid w:val="00092B35"/>
    <w:rsid w:val="000A0528"/>
    <w:rsid w:val="000B60F2"/>
    <w:rsid w:val="000C3454"/>
    <w:rsid w:val="000D065A"/>
    <w:rsid w:val="000D22ED"/>
    <w:rsid w:val="000E19AB"/>
    <w:rsid w:val="000E361C"/>
    <w:rsid w:val="000E527D"/>
    <w:rsid w:val="000E7199"/>
    <w:rsid w:val="000E7AC6"/>
    <w:rsid w:val="00100502"/>
    <w:rsid w:val="00147EBD"/>
    <w:rsid w:val="0015475F"/>
    <w:rsid w:val="0015625A"/>
    <w:rsid w:val="00182C5B"/>
    <w:rsid w:val="001A7398"/>
    <w:rsid w:val="001C7EA4"/>
    <w:rsid w:val="001D681B"/>
    <w:rsid w:val="002014EE"/>
    <w:rsid w:val="002016C3"/>
    <w:rsid w:val="002318A5"/>
    <w:rsid w:val="002332B5"/>
    <w:rsid w:val="002432AD"/>
    <w:rsid w:val="002613E2"/>
    <w:rsid w:val="00262DC3"/>
    <w:rsid w:val="00276DAF"/>
    <w:rsid w:val="002804D3"/>
    <w:rsid w:val="002920D2"/>
    <w:rsid w:val="002A6F8F"/>
    <w:rsid w:val="002B751A"/>
    <w:rsid w:val="002D3705"/>
    <w:rsid w:val="002E1821"/>
    <w:rsid w:val="002E32DF"/>
    <w:rsid w:val="002F5D2D"/>
    <w:rsid w:val="00313009"/>
    <w:rsid w:val="00324378"/>
    <w:rsid w:val="0032719A"/>
    <w:rsid w:val="00331162"/>
    <w:rsid w:val="0035229F"/>
    <w:rsid w:val="00354828"/>
    <w:rsid w:val="00364980"/>
    <w:rsid w:val="003E6423"/>
    <w:rsid w:val="0040106B"/>
    <w:rsid w:val="004106D1"/>
    <w:rsid w:val="00411A29"/>
    <w:rsid w:val="00427D11"/>
    <w:rsid w:val="00430D7A"/>
    <w:rsid w:val="0047323C"/>
    <w:rsid w:val="00475435"/>
    <w:rsid w:val="004A33A5"/>
    <w:rsid w:val="004A7BA1"/>
    <w:rsid w:val="004B62D3"/>
    <w:rsid w:val="004E08DD"/>
    <w:rsid w:val="004E7B74"/>
    <w:rsid w:val="004F0B5A"/>
    <w:rsid w:val="004F4DDD"/>
    <w:rsid w:val="00523EFB"/>
    <w:rsid w:val="005347D6"/>
    <w:rsid w:val="00572F1E"/>
    <w:rsid w:val="005735DA"/>
    <w:rsid w:val="00585453"/>
    <w:rsid w:val="0059610C"/>
    <w:rsid w:val="00597137"/>
    <w:rsid w:val="005C64E9"/>
    <w:rsid w:val="005D0060"/>
    <w:rsid w:val="005F1D11"/>
    <w:rsid w:val="006046F8"/>
    <w:rsid w:val="0063377E"/>
    <w:rsid w:val="00651145"/>
    <w:rsid w:val="00657106"/>
    <w:rsid w:val="00686ED2"/>
    <w:rsid w:val="006A4477"/>
    <w:rsid w:val="006A6E47"/>
    <w:rsid w:val="006C1EC0"/>
    <w:rsid w:val="006C65E7"/>
    <w:rsid w:val="006E2558"/>
    <w:rsid w:val="006F2664"/>
    <w:rsid w:val="006F3373"/>
    <w:rsid w:val="006F3490"/>
    <w:rsid w:val="006F500A"/>
    <w:rsid w:val="00705462"/>
    <w:rsid w:val="0071114F"/>
    <w:rsid w:val="00714CE9"/>
    <w:rsid w:val="00717545"/>
    <w:rsid w:val="00747FD0"/>
    <w:rsid w:val="00763020"/>
    <w:rsid w:val="0076522B"/>
    <w:rsid w:val="00777E30"/>
    <w:rsid w:val="007974A6"/>
    <w:rsid w:val="007A7B63"/>
    <w:rsid w:val="007B35FE"/>
    <w:rsid w:val="007C71DD"/>
    <w:rsid w:val="007D1243"/>
    <w:rsid w:val="007F127F"/>
    <w:rsid w:val="007F3F9F"/>
    <w:rsid w:val="008113FD"/>
    <w:rsid w:val="00846488"/>
    <w:rsid w:val="00887B5A"/>
    <w:rsid w:val="00896734"/>
    <w:rsid w:val="008B6C9D"/>
    <w:rsid w:val="008C6F06"/>
    <w:rsid w:val="008E5420"/>
    <w:rsid w:val="008E6A2C"/>
    <w:rsid w:val="008F43E5"/>
    <w:rsid w:val="008F5A64"/>
    <w:rsid w:val="009003B9"/>
    <w:rsid w:val="00921184"/>
    <w:rsid w:val="00932DC2"/>
    <w:rsid w:val="00957FD6"/>
    <w:rsid w:val="00960804"/>
    <w:rsid w:val="009611F2"/>
    <w:rsid w:val="0097068F"/>
    <w:rsid w:val="009709BB"/>
    <w:rsid w:val="0098219D"/>
    <w:rsid w:val="009924AE"/>
    <w:rsid w:val="009C2DDA"/>
    <w:rsid w:val="009E0AF1"/>
    <w:rsid w:val="00A2270A"/>
    <w:rsid w:val="00A72C92"/>
    <w:rsid w:val="00A90E50"/>
    <w:rsid w:val="00AA3D7E"/>
    <w:rsid w:val="00AC00E4"/>
    <w:rsid w:val="00AC0723"/>
    <w:rsid w:val="00AC58BD"/>
    <w:rsid w:val="00AC69D9"/>
    <w:rsid w:val="00AF213F"/>
    <w:rsid w:val="00B10BD7"/>
    <w:rsid w:val="00B14F80"/>
    <w:rsid w:val="00B23BC8"/>
    <w:rsid w:val="00B30E94"/>
    <w:rsid w:val="00B507A0"/>
    <w:rsid w:val="00B53CDE"/>
    <w:rsid w:val="00B66A06"/>
    <w:rsid w:val="00B74678"/>
    <w:rsid w:val="00B76511"/>
    <w:rsid w:val="00B83D89"/>
    <w:rsid w:val="00B95FB2"/>
    <w:rsid w:val="00BA33E5"/>
    <w:rsid w:val="00BA34FD"/>
    <w:rsid w:val="00BB0A06"/>
    <w:rsid w:val="00BB73C1"/>
    <w:rsid w:val="00BB790B"/>
    <w:rsid w:val="00BD0FE6"/>
    <w:rsid w:val="00BD3F6E"/>
    <w:rsid w:val="00BE36C5"/>
    <w:rsid w:val="00BE7C79"/>
    <w:rsid w:val="00BF36EA"/>
    <w:rsid w:val="00C15D61"/>
    <w:rsid w:val="00C36173"/>
    <w:rsid w:val="00C962A3"/>
    <w:rsid w:val="00CA7528"/>
    <w:rsid w:val="00CB09C6"/>
    <w:rsid w:val="00CB5650"/>
    <w:rsid w:val="00CC5DEE"/>
    <w:rsid w:val="00CD00F8"/>
    <w:rsid w:val="00CD3584"/>
    <w:rsid w:val="00CD4804"/>
    <w:rsid w:val="00CF1C59"/>
    <w:rsid w:val="00D21091"/>
    <w:rsid w:val="00D36455"/>
    <w:rsid w:val="00D36D72"/>
    <w:rsid w:val="00D443AC"/>
    <w:rsid w:val="00D63302"/>
    <w:rsid w:val="00D805C8"/>
    <w:rsid w:val="00DA0F47"/>
    <w:rsid w:val="00DA33BF"/>
    <w:rsid w:val="00DA5A86"/>
    <w:rsid w:val="00DB2DBE"/>
    <w:rsid w:val="00DC6ACA"/>
    <w:rsid w:val="00DD5694"/>
    <w:rsid w:val="00E261FE"/>
    <w:rsid w:val="00E26E55"/>
    <w:rsid w:val="00E41D1D"/>
    <w:rsid w:val="00E60D72"/>
    <w:rsid w:val="00E649EA"/>
    <w:rsid w:val="00EC2D83"/>
    <w:rsid w:val="00EE324A"/>
    <w:rsid w:val="00EF2B23"/>
    <w:rsid w:val="00F42B4A"/>
    <w:rsid w:val="00F42DE2"/>
    <w:rsid w:val="00F5510A"/>
    <w:rsid w:val="00F72310"/>
    <w:rsid w:val="00F77802"/>
    <w:rsid w:val="00F779B8"/>
    <w:rsid w:val="00F97DA5"/>
    <w:rsid w:val="00F97E81"/>
    <w:rsid w:val="00FC0831"/>
    <w:rsid w:val="00FC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A29"/>
    <w:pPr>
      <w:bidi/>
    </w:pPr>
    <w:rPr>
      <w:rFonts w:cs="Simplified Arabic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1272"/>
    <w:rPr>
      <w:color w:val="0000FF"/>
      <w:u w:val="single"/>
    </w:rPr>
  </w:style>
  <w:style w:type="table" w:styleId="TableGrid">
    <w:name w:val="Table Grid"/>
    <w:basedOn w:val="TableNormal"/>
    <w:rsid w:val="00AC072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F5A64"/>
    <w:pPr>
      <w:widowControl w:val="0"/>
      <w:autoSpaceDE w:val="0"/>
      <w:autoSpaceDN w:val="0"/>
      <w:adjustRightInd w:val="0"/>
    </w:pPr>
    <w:rPr>
      <w:rFonts w:ascii="Arial" w:hAnsi="Arial" w:cs="Arial"/>
      <w:sz w:val="48"/>
      <w:szCs w:val="48"/>
      <w:lang w:eastAsia="en-US"/>
    </w:rPr>
  </w:style>
  <w:style w:type="paragraph" w:customStyle="1" w:styleId="FR4">
    <w:name w:val="FR4"/>
    <w:rsid w:val="008F5A64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  <w:lang w:eastAsia="en-US"/>
    </w:rPr>
  </w:style>
  <w:style w:type="paragraph" w:styleId="Footer">
    <w:name w:val="footer"/>
    <w:basedOn w:val="Normal"/>
    <w:rsid w:val="005961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610C"/>
  </w:style>
  <w:style w:type="paragraph" w:styleId="Header">
    <w:name w:val="header"/>
    <w:basedOn w:val="Normal"/>
    <w:rsid w:val="0059610C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4F4D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DD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F4DDD"/>
    <w:rPr>
      <w:rFonts w:cs="Simplified Arabic"/>
    </w:rPr>
  </w:style>
  <w:style w:type="paragraph" w:styleId="CommentSubject">
    <w:name w:val="annotation subject"/>
    <w:basedOn w:val="CommentText"/>
    <w:next w:val="CommentText"/>
    <w:link w:val="CommentSubjectChar"/>
    <w:rsid w:val="004F4DDD"/>
    <w:rPr>
      <w:b/>
      <w:bCs/>
    </w:rPr>
  </w:style>
  <w:style w:type="character" w:customStyle="1" w:styleId="CommentSubjectChar">
    <w:name w:val="Comment Subject Char"/>
    <w:link w:val="CommentSubject"/>
    <w:rsid w:val="004F4DDD"/>
    <w:rPr>
      <w:rFonts w:cs="Simplified Arabic"/>
      <w:b/>
      <w:bCs/>
    </w:rPr>
  </w:style>
  <w:style w:type="paragraph" w:styleId="BalloonText">
    <w:name w:val="Balloon Text"/>
    <w:basedOn w:val="Normal"/>
    <w:link w:val="BalloonTextChar"/>
    <w:rsid w:val="004F4DD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F4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B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issalfadel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5959</Words>
  <Characters>26206</Characters>
  <Application>Microsoft Office Word</Application>
  <DocSecurity>0</DocSecurity>
  <Lines>218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Using </vt:lpstr>
    </vt:vector>
  </TitlesOfParts>
  <Company>HOME</Company>
  <LinksUpToDate>false</LinksUpToDate>
  <CharactersWithSpaces>32101</CharactersWithSpaces>
  <SharedDoc>false</SharedDoc>
  <HLinks>
    <vt:vector size="12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mailto:Faissalfadel@yahoo.com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</dc:title>
  <dc:creator>User</dc:creator>
  <cp:lastModifiedBy>Administrator</cp:lastModifiedBy>
  <cp:revision>4</cp:revision>
  <cp:lastPrinted>2015-08-13T00:59:00Z</cp:lastPrinted>
  <dcterms:created xsi:type="dcterms:W3CDTF">2015-08-13T07:20:00Z</dcterms:created>
  <dcterms:modified xsi:type="dcterms:W3CDTF">2015-08-13T01:53:00Z</dcterms:modified>
</cp:coreProperties>
</file>