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24" w:rsidRPr="00CF01FB" w:rsidRDefault="00A24224" w:rsidP="00CF01FB">
      <w:pPr>
        <w:snapToGrid w:val="0"/>
        <w:spacing w:after="0" w:line="240" w:lineRule="auto"/>
        <w:jc w:val="center"/>
        <w:rPr>
          <w:rFonts w:ascii="Times New Roman" w:hAnsi="Times New Roman" w:cs="Times New Roman" w:hint="eastAsia"/>
          <w:b/>
          <w:sz w:val="20"/>
          <w:szCs w:val="20"/>
          <w:lang w:eastAsia="zh-CN"/>
        </w:rPr>
      </w:pPr>
      <w:r w:rsidRPr="00CF01FB">
        <w:rPr>
          <w:rFonts w:ascii="Times New Roman" w:hAnsi="Times New Roman" w:cs="Times New Roman"/>
          <w:b/>
          <w:sz w:val="20"/>
          <w:szCs w:val="20"/>
        </w:rPr>
        <w:t>Enrollment, infrastructure and qualification of teachers at higher secondary l</w:t>
      </w:r>
      <w:r w:rsidR="00324504">
        <w:rPr>
          <w:rFonts w:ascii="Times New Roman" w:hAnsi="Times New Roman" w:cs="Times New Roman"/>
          <w:b/>
          <w:sz w:val="20"/>
          <w:szCs w:val="20"/>
        </w:rPr>
        <w:t>evel in Education Zone Anantnag</w:t>
      </w:r>
    </w:p>
    <w:p w:rsidR="00E43D69" w:rsidRPr="00CF01FB" w:rsidRDefault="00E43D69" w:rsidP="00CF01FB">
      <w:pPr>
        <w:tabs>
          <w:tab w:val="left" w:pos="3675"/>
        </w:tabs>
        <w:autoSpaceDE w:val="0"/>
        <w:autoSpaceDN w:val="0"/>
        <w:adjustRightInd w:val="0"/>
        <w:snapToGrid w:val="0"/>
        <w:spacing w:after="0" w:line="240" w:lineRule="auto"/>
        <w:jc w:val="center"/>
        <w:rPr>
          <w:rFonts w:ascii="Times New Roman" w:hAnsi="Times New Roman" w:cs="Times New Roman"/>
          <w:b/>
          <w:sz w:val="20"/>
          <w:szCs w:val="20"/>
          <w:u w:val="single"/>
        </w:rPr>
      </w:pPr>
    </w:p>
    <w:p w:rsidR="00A94AF1" w:rsidRPr="00CF01FB" w:rsidRDefault="00013FAB" w:rsidP="00CF01FB">
      <w:pPr>
        <w:snapToGrid w:val="0"/>
        <w:spacing w:after="0" w:line="240" w:lineRule="auto"/>
        <w:jc w:val="center"/>
        <w:rPr>
          <w:rFonts w:ascii="Times New Roman" w:hAnsi="Times New Roman" w:cs="Times New Roman"/>
          <w:sz w:val="20"/>
          <w:szCs w:val="20"/>
          <w:vertAlign w:val="superscript"/>
        </w:rPr>
      </w:pPr>
      <w:r w:rsidRPr="00CF01FB">
        <w:rPr>
          <w:rFonts w:ascii="Times New Roman" w:hAnsi="Times New Roman" w:cs="Times New Roman"/>
          <w:sz w:val="20"/>
          <w:szCs w:val="20"/>
        </w:rPr>
        <w:t xml:space="preserve">Hafiz Mudasir </w:t>
      </w:r>
      <w:r w:rsidR="00A94AF1" w:rsidRPr="00CF01FB">
        <w:rPr>
          <w:rFonts w:ascii="Times New Roman" w:hAnsi="Times New Roman" w:cs="Times New Roman"/>
          <w:sz w:val="20"/>
          <w:szCs w:val="20"/>
          <w:vertAlign w:val="superscript"/>
        </w:rPr>
        <w:t>1</w:t>
      </w:r>
      <w:r w:rsidR="00A94AF1" w:rsidRPr="00CF01FB">
        <w:rPr>
          <w:rFonts w:ascii="Times New Roman" w:hAnsi="Times New Roman" w:cs="Times New Roman"/>
          <w:sz w:val="20"/>
          <w:szCs w:val="20"/>
        </w:rPr>
        <w:t>,</w:t>
      </w:r>
      <w:r w:rsidRPr="00CF01FB">
        <w:rPr>
          <w:rFonts w:ascii="Times New Roman" w:hAnsi="Times New Roman" w:cs="Times New Roman"/>
          <w:sz w:val="20"/>
          <w:szCs w:val="20"/>
        </w:rPr>
        <w:t xml:space="preserve"> Dr. M.Y. Ganaie</w:t>
      </w:r>
      <w:r w:rsidR="00A94AF1" w:rsidRPr="00CF01FB">
        <w:rPr>
          <w:rFonts w:ascii="Times New Roman" w:hAnsi="Times New Roman" w:cs="Times New Roman"/>
          <w:sz w:val="20"/>
          <w:szCs w:val="20"/>
        </w:rPr>
        <w:t xml:space="preserve"> </w:t>
      </w:r>
      <w:r w:rsidR="00A94AF1" w:rsidRPr="00CF01FB">
        <w:rPr>
          <w:rFonts w:ascii="Times New Roman" w:hAnsi="Times New Roman" w:cs="Times New Roman"/>
          <w:sz w:val="20"/>
          <w:szCs w:val="20"/>
          <w:vertAlign w:val="superscript"/>
        </w:rPr>
        <w:t>2</w:t>
      </w:r>
      <w:r w:rsidR="00A94AF1" w:rsidRPr="00CF01FB">
        <w:rPr>
          <w:rFonts w:ascii="Times New Roman" w:hAnsi="Times New Roman" w:cs="Times New Roman"/>
          <w:sz w:val="20"/>
          <w:szCs w:val="20"/>
        </w:rPr>
        <w:t xml:space="preserve">, </w:t>
      </w:r>
      <w:r w:rsidR="004B3B2E" w:rsidRPr="00CF01FB">
        <w:rPr>
          <w:rFonts w:ascii="Times New Roman" w:hAnsi="Times New Roman" w:cs="Times New Roman"/>
          <w:sz w:val="20"/>
          <w:szCs w:val="28"/>
        </w:rPr>
        <w:t>Assifa Rahman</w:t>
      </w:r>
      <w:r w:rsidR="004B3B2E" w:rsidRPr="00CF01FB">
        <w:rPr>
          <w:rFonts w:ascii="Times New Roman" w:hAnsi="Times New Roman" w:cs="Times New Roman"/>
          <w:sz w:val="20"/>
          <w:szCs w:val="20"/>
        </w:rPr>
        <w:t xml:space="preserve"> </w:t>
      </w:r>
      <w:r w:rsidR="00A94AF1" w:rsidRPr="00CF01FB">
        <w:rPr>
          <w:rFonts w:ascii="Times New Roman" w:hAnsi="Times New Roman" w:cs="Times New Roman"/>
          <w:sz w:val="20"/>
          <w:szCs w:val="20"/>
          <w:vertAlign w:val="superscript"/>
        </w:rPr>
        <w:t>3</w:t>
      </w:r>
    </w:p>
    <w:p w:rsidR="007A065B" w:rsidRPr="00CF01FB" w:rsidRDefault="007A065B" w:rsidP="00CF01FB">
      <w:pPr>
        <w:snapToGrid w:val="0"/>
        <w:spacing w:after="0" w:line="240" w:lineRule="auto"/>
        <w:jc w:val="center"/>
        <w:rPr>
          <w:rFonts w:ascii="Times New Roman" w:hAnsi="Times New Roman" w:cs="Times New Roman"/>
          <w:b/>
          <w:sz w:val="20"/>
          <w:szCs w:val="20"/>
        </w:rPr>
      </w:pPr>
    </w:p>
    <w:p w:rsidR="00A94AF1" w:rsidRPr="00CF01FB" w:rsidRDefault="00A94AF1" w:rsidP="00CF01FB">
      <w:pPr>
        <w:snapToGrid w:val="0"/>
        <w:spacing w:after="0" w:line="240" w:lineRule="auto"/>
        <w:jc w:val="center"/>
        <w:rPr>
          <w:rFonts w:ascii="Times New Roman" w:hAnsi="Times New Roman" w:cs="Times New Roman"/>
          <w:sz w:val="20"/>
          <w:szCs w:val="20"/>
        </w:rPr>
      </w:pPr>
      <w:r w:rsidRPr="00CF01FB">
        <w:rPr>
          <w:rFonts w:ascii="Times New Roman" w:hAnsi="Times New Roman" w:cs="Times New Roman"/>
          <w:sz w:val="20"/>
          <w:szCs w:val="20"/>
          <w:vertAlign w:val="superscript"/>
        </w:rPr>
        <w:t>1.</w:t>
      </w:r>
      <w:r w:rsidR="008834DE" w:rsidRPr="00CF01FB">
        <w:rPr>
          <w:rFonts w:ascii="Times New Roman" w:hAnsi="Times New Roman" w:cs="Times New Roman"/>
          <w:sz w:val="20"/>
          <w:szCs w:val="20"/>
        </w:rPr>
        <w:t xml:space="preserve"> Research Scholar, Deptt. o</w:t>
      </w:r>
      <w:r w:rsidRPr="00CF01FB">
        <w:rPr>
          <w:rFonts w:ascii="Times New Roman" w:hAnsi="Times New Roman" w:cs="Times New Roman"/>
          <w:sz w:val="20"/>
          <w:szCs w:val="20"/>
        </w:rPr>
        <w:t>f Education, Dr. C.</w:t>
      </w:r>
      <w:r w:rsidR="00566AB8" w:rsidRPr="00CF01FB">
        <w:rPr>
          <w:rFonts w:ascii="Times New Roman" w:hAnsi="Times New Roman" w:cs="Times New Roman"/>
          <w:sz w:val="20"/>
          <w:szCs w:val="20"/>
        </w:rPr>
        <w:t>V Raman University, India</w:t>
      </w:r>
    </w:p>
    <w:p w:rsidR="00C71A71" w:rsidRPr="00CF01FB" w:rsidRDefault="00C71A71" w:rsidP="00CF01FB">
      <w:pPr>
        <w:snapToGrid w:val="0"/>
        <w:spacing w:after="0" w:line="240" w:lineRule="auto"/>
        <w:jc w:val="center"/>
        <w:rPr>
          <w:rFonts w:ascii="Times New Roman" w:hAnsi="Times New Roman" w:cs="Times New Roman"/>
          <w:sz w:val="20"/>
          <w:szCs w:val="20"/>
        </w:rPr>
      </w:pPr>
      <w:r w:rsidRPr="00CF01FB">
        <w:rPr>
          <w:rFonts w:ascii="Times New Roman" w:hAnsi="Times New Roman" w:cs="Times New Roman"/>
          <w:sz w:val="20"/>
          <w:szCs w:val="20"/>
          <w:vertAlign w:val="superscript"/>
        </w:rPr>
        <w:t xml:space="preserve">2. </w:t>
      </w:r>
      <w:r w:rsidR="008834DE" w:rsidRPr="00CF01FB">
        <w:rPr>
          <w:rFonts w:ascii="Times New Roman" w:hAnsi="Times New Roman" w:cs="Times New Roman"/>
          <w:sz w:val="20"/>
          <w:szCs w:val="20"/>
        </w:rPr>
        <w:t>Associate Professor, Deptt. o</w:t>
      </w:r>
      <w:r w:rsidRPr="00CF01FB">
        <w:rPr>
          <w:rFonts w:ascii="Times New Roman" w:hAnsi="Times New Roman" w:cs="Times New Roman"/>
          <w:sz w:val="20"/>
          <w:szCs w:val="20"/>
        </w:rPr>
        <w:t>f Education, Kashmir University</w:t>
      </w:r>
    </w:p>
    <w:p w:rsidR="00A94AF1" w:rsidRPr="00CF01FB" w:rsidRDefault="00A94AF1" w:rsidP="00CF01FB">
      <w:pPr>
        <w:snapToGrid w:val="0"/>
        <w:spacing w:after="0" w:line="240" w:lineRule="auto"/>
        <w:jc w:val="center"/>
        <w:rPr>
          <w:rFonts w:ascii="Times New Roman" w:hAnsi="Times New Roman" w:cs="Times New Roman"/>
          <w:sz w:val="20"/>
          <w:szCs w:val="20"/>
        </w:rPr>
      </w:pPr>
      <w:r w:rsidRPr="00CF01FB">
        <w:rPr>
          <w:rFonts w:ascii="Times New Roman" w:hAnsi="Times New Roman" w:cs="Times New Roman"/>
          <w:sz w:val="20"/>
          <w:szCs w:val="20"/>
          <w:vertAlign w:val="superscript"/>
        </w:rPr>
        <w:t xml:space="preserve">3. </w:t>
      </w:r>
      <w:r w:rsidR="00DC44CB" w:rsidRPr="00CF01FB">
        <w:rPr>
          <w:rFonts w:ascii="Times New Roman" w:hAnsi="Times New Roman" w:cs="Times New Roman"/>
          <w:sz w:val="20"/>
          <w:szCs w:val="20"/>
        </w:rPr>
        <w:t>M.</w:t>
      </w:r>
      <w:r w:rsidR="00061F21">
        <w:rPr>
          <w:rFonts w:ascii="Times New Roman" w:hAnsi="Times New Roman" w:cs="Times New Roman" w:hint="eastAsia"/>
          <w:sz w:val="20"/>
          <w:szCs w:val="20"/>
          <w:lang w:eastAsia="zh-CN"/>
        </w:rPr>
        <w:t xml:space="preserve"> </w:t>
      </w:r>
      <w:r w:rsidR="00DC44CB" w:rsidRPr="00CF01FB">
        <w:rPr>
          <w:rFonts w:ascii="Times New Roman" w:hAnsi="Times New Roman" w:cs="Times New Roman"/>
          <w:sz w:val="20"/>
          <w:szCs w:val="20"/>
        </w:rPr>
        <w:t>Ed Student, School of Education, IGNOU</w:t>
      </w:r>
    </w:p>
    <w:p w:rsidR="00A94AF1" w:rsidRPr="00CF01FB" w:rsidRDefault="00AD0F26" w:rsidP="00CF01FB">
      <w:pPr>
        <w:snapToGrid w:val="0"/>
        <w:spacing w:after="0" w:line="240" w:lineRule="auto"/>
        <w:jc w:val="center"/>
        <w:rPr>
          <w:rFonts w:ascii="Times New Roman" w:hAnsi="Times New Roman" w:cs="Times New Roman"/>
          <w:sz w:val="20"/>
          <w:szCs w:val="20"/>
        </w:rPr>
      </w:pPr>
      <w:hyperlink r:id="rId9" w:history="1">
        <w:r w:rsidR="00A94AF1" w:rsidRPr="00CF01FB">
          <w:rPr>
            <w:rStyle w:val="Hyperlink"/>
            <w:rFonts w:ascii="Times New Roman" w:hAnsi="Times New Roman" w:cs="Times New Roman"/>
            <w:sz w:val="20"/>
            <w:szCs w:val="20"/>
          </w:rPr>
          <w:t>hafizmudasir@rediffmail.com</w:t>
        </w:r>
      </w:hyperlink>
    </w:p>
    <w:p w:rsidR="00D1726C" w:rsidRPr="00CF01FB" w:rsidRDefault="00D1726C" w:rsidP="00CF01FB">
      <w:pPr>
        <w:snapToGrid w:val="0"/>
        <w:spacing w:after="0" w:line="240" w:lineRule="auto"/>
        <w:jc w:val="center"/>
        <w:rPr>
          <w:rFonts w:ascii="Times New Roman" w:hAnsi="Times New Roman" w:cs="Times New Roman"/>
          <w:sz w:val="20"/>
          <w:szCs w:val="20"/>
        </w:rPr>
      </w:pPr>
    </w:p>
    <w:p w:rsidR="003C30AC" w:rsidRPr="00CF01FB" w:rsidRDefault="00A94AF1" w:rsidP="00CF01FB">
      <w:pPr>
        <w:autoSpaceDE w:val="0"/>
        <w:autoSpaceDN w:val="0"/>
        <w:adjustRightInd w:val="0"/>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 xml:space="preserve">Abstract: </w:t>
      </w:r>
      <w:r w:rsidR="00F3480A" w:rsidRPr="00CF01FB">
        <w:rPr>
          <w:rFonts w:ascii="Times New Roman" w:hAnsi="Times New Roman" w:cs="Times New Roman"/>
          <w:sz w:val="20"/>
          <w:szCs w:val="20"/>
        </w:rPr>
        <w:t xml:space="preserve">The </w:t>
      </w:r>
      <w:r w:rsidR="00042C9E" w:rsidRPr="00CF01FB">
        <w:rPr>
          <w:rFonts w:ascii="Times New Roman" w:hAnsi="Times New Roman" w:cs="Times New Roman"/>
          <w:sz w:val="20"/>
          <w:szCs w:val="20"/>
        </w:rPr>
        <w:t>present study was conducted with a view to study the enrollment, infrastructure and qualification of teachers at higher secondary level in Education Zone Anantnag</w:t>
      </w:r>
      <w:r w:rsidR="006C0937" w:rsidRPr="00CF01FB">
        <w:rPr>
          <w:rFonts w:ascii="Times New Roman" w:hAnsi="Times New Roman" w:cs="Times New Roman"/>
          <w:sz w:val="20"/>
          <w:szCs w:val="20"/>
        </w:rPr>
        <w:t xml:space="preserve">. The investigator prepared self constructed information Blanks and Schedules for the collection of data. The study revealed that </w:t>
      </w:r>
      <w:r w:rsidR="00F3480A" w:rsidRPr="00CF01FB">
        <w:rPr>
          <w:rFonts w:ascii="Times New Roman" w:hAnsi="Times New Roman" w:cs="Times New Roman"/>
          <w:sz w:val="20"/>
          <w:szCs w:val="20"/>
        </w:rPr>
        <w:t xml:space="preserve">there are only eight higher secondary schools in education zone Anantnag. Out of these eight higher secondary schools 50% are Govt. and 50% are Private Institutions. </w:t>
      </w:r>
      <w:r w:rsidR="000E50D8" w:rsidRPr="00CF01FB">
        <w:rPr>
          <w:rFonts w:ascii="Times New Roman" w:hAnsi="Times New Roman" w:cs="Times New Roman"/>
          <w:sz w:val="20"/>
          <w:szCs w:val="20"/>
        </w:rPr>
        <w:t>It further reflected that</w:t>
      </w:r>
      <w:r w:rsidR="00F3480A" w:rsidRPr="00CF01FB">
        <w:rPr>
          <w:rFonts w:ascii="Times New Roman" w:hAnsi="Times New Roman" w:cs="Times New Roman"/>
          <w:sz w:val="20"/>
          <w:szCs w:val="20"/>
        </w:rPr>
        <w:t xml:space="preserve"> that there are six thousand one hundred and thirteen students enrolled in eight higher secondary schools of district Anantnag. Out of these three thousand one hundred sixty one are male students and two thousand nine hundred fifty two are female students. The percentage of male students is 52 % and that of female students is 48%. </w:t>
      </w:r>
      <w:r w:rsidR="003C30AC" w:rsidRPr="00CF01FB">
        <w:rPr>
          <w:rFonts w:ascii="Times New Roman" w:hAnsi="Times New Roman" w:cs="Times New Roman"/>
          <w:sz w:val="20"/>
          <w:szCs w:val="20"/>
        </w:rPr>
        <w:t xml:space="preserve">The </w:t>
      </w:r>
      <w:r w:rsidR="00880F4A" w:rsidRPr="00CF01FB">
        <w:rPr>
          <w:rFonts w:ascii="Times New Roman" w:hAnsi="Times New Roman" w:cs="Times New Roman"/>
          <w:sz w:val="20"/>
          <w:szCs w:val="20"/>
        </w:rPr>
        <w:t>study further revealed</w:t>
      </w:r>
      <w:r w:rsidR="003C30AC" w:rsidRPr="00CF01FB">
        <w:rPr>
          <w:rFonts w:ascii="Times New Roman" w:hAnsi="Times New Roman" w:cs="Times New Roman"/>
          <w:sz w:val="20"/>
          <w:szCs w:val="20"/>
        </w:rPr>
        <w:t xml:space="preserve"> that </w:t>
      </w:r>
      <w:r w:rsidR="00880F4A" w:rsidRPr="00CF01FB">
        <w:rPr>
          <w:rFonts w:ascii="Times New Roman" w:hAnsi="Times New Roman" w:cs="Times New Roman"/>
          <w:sz w:val="20"/>
          <w:szCs w:val="20"/>
        </w:rPr>
        <w:t xml:space="preserve">there are </w:t>
      </w:r>
      <w:r w:rsidR="003C30AC" w:rsidRPr="00CF01FB">
        <w:rPr>
          <w:rFonts w:ascii="Times New Roman" w:hAnsi="Times New Roman" w:cs="Times New Roman"/>
          <w:sz w:val="20"/>
          <w:szCs w:val="20"/>
        </w:rPr>
        <w:t>249 teachers working in the higher secondary scho</w:t>
      </w:r>
      <w:r w:rsidR="00880F4A" w:rsidRPr="00CF01FB">
        <w:rPr>
          <w:rFonts w:ascii="Times New Roman" w:hAnsi="Times New Roman" w:cs="Times New Roman"/>
          <w:sz w:val="20"/>
          <w:szCs w:val="20"/>
        </w:rPr>
        <w:t xml:space="preserve">ols of education zone Anantnag out of which </w:t>
      </w:r>
      <w:r w:rsidR="003C30AC" w:rsidRPr="00CF01FB">
        <w:rPr>
          <w:rFonts w:ascii="Times New Roman" w:hAnsi="Times New Roman" w:cs="Times New Roman"/>
          <w:sz w:val="20"/>
          <w:szCs w:val="20"/>
        </w:rPr>
        <w:t>55.82% of teachers are working in Government schools and 44.18% of teachers are working in private schools. Out of 3941 students 2063 are boys and 1878 are girls i.e., 52% are boys and 48% are girls. The table further depicts that 2040 students are enrolled in class 11</w:t>
      </w:r>
      <w:r w:rsidR="003C30AC" w:rsidRPr="00CF01FB">
        <w:rPr>
          <w:rFonts w:ascii="Times New Roman" w:hAnsi="Times New Roman" w:cs="Times New Roman"/>
          <w:sz w:val="20"/>
          <w:szCs w:val="20"/>
          <w:vertAlign w:val="superscript"/>
        </w:rPr>
        <w:t>th</w:t>
      </w:r>
      <w:r w:rsidR="003C30AC" w:rsidRPr="00CF01FB">
        <w:rPr>
          <w:rFonts w:ascii="Times New Roman" w:hAnsi="Times New Roman" w:cs="Times New Roman"/>
          <w:sz w:val="20"/>
          <w:szCs w:val="20"/>
        </w:rPr>
        <w:t xml:space="preserve"> and 1901 students are enrolled in class 12</w:t>
      </w:r>
      <w:r w:rsidR="003C30AC" w:rsidRPr="00CF01FB">
        <w:rPr>
          <w:rFonts w:ascii="Times New Roman" w:hAnsi="Times New Roman" w:cs="Times New Roman"/>
          <w:sz w:val="20"/>
          <w:szCs w:val="20"/>
          <w:vertAlign w:val="superscript"/>
        </w:rPr>
        <w:t>th</w:t>
      </w:r>
      <w:r w:rsidR="003C30AC" w:rsidRPr="00CF01FB">
        <w:rPr>
          <w:rFonts w:ascii="Times New Roman" w:hAnsi="Times New Roman" w:cs="Times New Roman"/>
          <w:sz w:val="20"/>
          <w:szCs w:val="20"/>
        </w:rPr>
        <w:t>.</w:t>
      </w:r>
    </w:p>
    <w:p w:rsidR="004643C7" w:rsidRDefault="00A94AF1" w:rsidP="00CF01FB">
      <w:pPr>
        <w:pStyle w:val="Default"/>
        <w:snapToGrid w:val="0"/>
        <w:jc w:val="both"/>
        <w:rPr>
          <w:sz w:val="20"/>
          <w:szCs w:val="20"/>
          <w:lang w:eastAsia="zh-CN"/>
        </w:rPr>
      </w:pPr>
      <w:r w:rsidRPr="00CF01FB">
        <w:rPr>
          <w:sz w:val="20"/>
          <w:szCs w:val="20"/>
        </w:rPr>
        <w:t>[Hafiz Mudasir,</w:t>
      </w:r>
      <w:r w:rsidR="00C71A71" w:rsidRPr="00CF01FB">
        <w:rPr>
          <w:sz w:val="20"/>
          <w:szCs w:val="20"/>
        </w:rPr>
        <w:t xml:space="preserve"> Dr. M.Y. Ganaie,</w:t>
      </w:r>
      <w:r w:rsidRPr="00CF01FB">
        <w:rPr>
          <w:sz w:val="20"/>
          <w:szCs w:val="20"/>
        </w:rPr>
        <w:t xml:space="preserve"> </w:t>
      </w:r>
      <w:r w:rsidR="003F72A4" w:rsidRPr="00CF01FB">
        <w:rPr>
          <w:sz w:val="20"/>
          <w:szCs w:val="20"/>
        </w:rPr>
        <w:t>Assifa Rahman</w:t>
      </w:r>
      <w:r w:rsidRPr="00CF01FB">
        <w:rPr>
          <w:b/>
          <w:sz w:val="20"/>
          <w:szCs w:val="20"/>
        </w:rPr>
        <w:t xml:space="preserve">. </w:t>
      </w:r>
      <w:r w:rsidR="00667463" w:rsidRPr="00CF01FB">
        <w:rPr>
          <w:b/>
          <w:sz w:val="20"/>
          <w:szCs w:val="20"/>
        </w:rPr>
        <w:t>Enrolment, Infrastructure and Qualification of teachers at Higher S</w:t>
      </w:r>
      <w:r w:rsidR="00567748" w:rsidRPr="00CF01FB">
        <w:rPr>
          <w:b/>
          <w:sz w:val="20"/>
          <w:szCs w:val="20"/>
        </w:rPr>
        <w:t>econdary level in Education Zone Anantnag</w:t>
      </w:r>
      <w:r w:rsidR="004643C7" w:rsidRPr="00CF01FB">
        <w:rPr>
          <w:rFonts w:eastAsia="Times New Roman"/>
          <w:b/>
          <w:bCs/>
          <w:sz w:val="20"/>
          <w:szCs w:val="20"/>
          <w:lang w:bidi="fa-IR"/>
        </w:rPr>
        <w:t>.</w:t>
      </w:r>
      <w:r w:rsidR="004643C7" w:rsidRPr="00CF01FB">
        <w:rPr>
          <w:rFonts w:hint="eastAsia"/>
          <w:iCs/>
          <w:sz w:val="20"/>
          <w:szCs w:val="20"/>
        </w:rPr>
        <w:t xml:space="preserve"> </w:t>
      </w:r>
      <w:r w:rsidR="004643C7" w:rsidRPr="00CF01FB">
        <w:rPr>
          <w:rFonts w:eastAsia="Times New Roman"/>
          <w:bCs/>
          <w:i/>
          <w:sz w:val="20"/>
          <w:szCs w:val="20"/>
        </w:rPr>
        <w:t>World Rural Observ</w:t>
      </w:r>
      <w:r w:rsidR="004643C7" w:rsidRPr="00CF01FB">
        <w:rPr>
          <w:rFonts w:eastAsia="Times New Roman"/>
          <w:bCs/>
          <w:sz w:val="20"/>
          <w:szCs w:val="20"/>
        </w:rPr>
        <w:t xml:space="preserve"> </w:t>
      </w:r>
      <w:r w:rsidR="004643C7" w:rsidRPr="00CF01FB">
        <w:rPr>
          <w:sz w:val="20"/>
          <w:szCs w:val="20"/>
        </w:rPr>
        <w:t>201</w:t>
      </w:r>
      <w:r w:rsidR="004643C7" w:rsidRPr="00CF01FB">
        <w:rPr>
          <w:rFonts w:hint="eastAsia"/>
          <w:sz w:val="20"/>
          <w:szCs w:val="20"/>
        </w:rPr>
        <w:t>5</w:t>
      </w:r>
      <w:r w:rsidR="004643C7" w:rsidRPr="00CF01FB">
        <w:rPr>
          <w:sz w:val="20"/>
          <w:szCs w:val="20"/>
        </w:rPr>
        <w:t>;</w:t>
      </w:r>
      <w:r w:rsidR="004643C7" w:rsidRPr="00CF01FB">
        <w:rPr>
          <w:rFonts w:hint="eastAsia"/>
          <w:sz w:val="20"/>
          <w:szCs w:val="20"/>
        </w:rPr>
        <w:t>7</w:t>
      </w:r>
      <w:r w:rsidR="004643C7" w:rsidRPr="00CF01FB">
        <w:rPr>
          <w:sz w:val="20"/>
          <w:szCs w:val="20"/>
        </w:rPr>
        <w:t>(</w:t>
      </w:r>
      <w:r w:rsidR="004643C7" w:rsidRPr="00CF01FB">
        <w:rPr>
          <w:rFonts w:hint="eastAsia"/>
          <w:sz w:val="20"/>
          <w:szCs w:val="20"/>
        </w:rPr>
        <w:t>3</w:t>
      </w:r>
      <w:r w:rsidR="004643C7" w:rsidRPr="00CF01FB">
        <w:rPr>
          <w:sz w:val="20"/>
          <w:szCs w:val="20"/>
        </w:rPr>
        <w:t>):</w:t>
      </w:r>
      <w:r w:rsidR="00C979BD">
        <w:rPr>
          <w:noProof/>
          <w:sz w:val="20"/>
          <w:szCs w:val="20"/>
        </w:rPr>
        <w:t>116</w:t>
      </w:r>
      <w:r w:rsidR="004643C7" w:rsidRPr="00CF01FB">
        <w:rPr>
          <w:sz w:val="20"/>
          <w:szCs w:val="20"/>
        </w:rPr>
        <w:t>-</w:t>
      </w:r>
      <w:r w:rsidR="00C979BD">
        <w:rPr>
          <w:noProof/>
          <w:sz w:val="20"/>
          <w:szCs w:val="20"/>
        </w:rPr>
        <w:t>120</w:t>
      </w:r>
      <w:r w:rsidR="004643C7" w:rsidRPr="00CF01FB">
        <w:rPr>
          <w:sz w:val="20"/>
          <w:szCs w:val="20"/>
        </w:rPr>
        <w:t>]</w:t>
      </w:r>
      <w:r w:rsidR="004643C7" w:rsidRPr="00CF01FB">
        <w:rPr>
          <w:rFonts w:hint="eastAsia"/>
          <w:sz w:val="20"/>
          <w:szCs w:val="20"/>
        </w:rPr>
        <w:t>.</w:t>
      </w:r>
      <w:r w:rsidR="004643C7" w:rsidRPr="00CF01FB">
        <w:rPr>
          <w:sz w:val="20"/>
          <w:szCs w:val="20"/>
        </w:rPr>
        <w:t xml:space="preserve"> ISSN: 1944-6543 (Print); ISSN: 1944-6551 (Online). </w:t>
      </w:r>
      <w:hyperlink r:id="rId10" w:history="1">
        <w:r w:rsidR="004643C7" w:rsidRPr="00CF01FB">
          <w:rPr>
            <w:rStyle w:val="Hyperlink"/>
            <w:sz w:val="20"/>
            <w:szCs w:val="20"/>
          </w:rPr>
          <w:t>http://www.sciencepub.net/rural</w:t>
        </w:r>
      </w:hyperlink>
      <w:r w:rsidR="004643C7" w:rsidRPr="00CF01FB">
        <w:rPr>
          <w:sz w:val="20"/>
          <w:szCs w:val="20"/>
        </w:rPr>
        <w:t>.</w:t>
      </w:r>
      <w:r w:rsidR="004643C7" w:rsidRPr="00CF01FB">
        <w:rPr>
          <w:rFonts w:hint="eastAsia"/>
          <w:sz w:val="20"/>
          <w:szCs w:val="20"/>
        </w:rPr>
        <w:t xml:space="preserve"> </w:t>
      </w:r>
      <w:r w:rsidR="00CF01FB">
        <w:rPr>
          <w:rFonts w:hint="eastAsia"/>
          <w:sz w:val="20"/>
          <w:szCs w:val="20"/>
          <w:lang w:eastAsia="zh-CN"/>
        </w:rPr>
        <w:t>19</w:t>
      </w:r>
    </w:p>
    <w:p w:rsidR="00CF01FB" w:rsidRPr="00CF01FB" w:rsidRDefault="00CF01FB" w:rsidP="00CF01FB">
      <w:pPr>
        <w:pStyle w:val="Default"/>
        <w:snapToGrid w:val="0"/>
        <w:jc w:val="both"/>
        <w:rPr>
          <w:sz w:val="20"/>
          <w:szCs w:val="20"/>
          <w:lang w:eastAsia="zh-CN"/>
        </w:rPr>
      </w:pPr>
    </w:p>
    <w:p w:rsidR="00E43D69" w:rsidRPr="00CF01FB" w:rsidRDefault="00A94AF1"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 xml:space="preserve">Keywords: </w:t>
      </w:r>
      <w:r w:rsidR="004F36F8" w:rsidRPr="00CF01FB">
        <w:rPr>
          <w:rFonts w:ascii="Times New Roman" w:hAnsi="Times New Roman" w:cs="Times New Roman"/>
          <w:sz w:val="20"/>
          <w:szCs w:val="20"/>
        </w:rPr>
        <w:t>Enrolment, Infrastructure</w:t>
      </w:r>
      <w:r w:rsidRPr="00CF01FB">
        <w:rPr>
          <w:rFonts w:ascii="Times New Roman" w:hAnsi="Times New Roman" w:cs="Times New Roman"/>
          <w:sz w:val="20"/>
          <w:szCs w:val="20"/>
        </w:rPr>
        <w:t>, Higher Secondary Students</w:t>
      </w:r>
      <w:r w:rsidR="004F36F8" w:rsidRPr="00CF01FB">
        <w:rPr>
          <w:rFonts w:ascii="Times New Roman" w:hAnsi="Times New Roman" w:cs="Times New Roman"/>
          <w:sz w:val="20"/>
          <w:szCs w:val="20"/>
        </w:rPr>
        <w:t>, ICDS, SSA, NCF.</w:t>
      </w:r>
    </w:p>
    <w:p w:rsidR="00CF01FB" w:rsidRDefault="00CF01FB" w:rsidP="00CF01FB">
      <w:pPr>
        <w:snapToGrid w:val="0"/>
        <w:spacing w:after="0" w:line="240" w:lineRule="auto"/>
        <w:jc w:val="both"/>
        <w:rPr>
          <w:rFonts w:ascii="Times New Roman" w:hAnsi="Times New Roman" w:cs="Times New Roman"/>
          <w:color w:val="000000"/>
          <w:sz w:val="20"/>
          <w:szCs w:val="20"/>
          <w:shd w:val="clear" w:color="auto" w:fill="FFFFFF"/>
        </w:rPr>
      </w:pPr>
    </w:p>
    <w:p w:rsidR="00CF01FB" w:rsidRPr="00CF01FB" w:rsidRDefault="00CF01FB" w:rsidP="00CF01FB">
      <w:pPr>
        <w:snapToGrid w:val="0"/>
        <w:spacing w:after="0" w:line="240" w:lineRule="auto"/>
        <w:jc w:val="both"/>
        <w:rPr>
          <w:rFonts w:ascii="Times New Roman" w:hAnsi="Times New Roman" w:cs="Times New Roman"/>
          <w:color w:val="000000"/>
          <w:sz w:val="20"/>
          <w:szCs w:val="20"/>
          <w:shd w:val="clear" w:color="auto" w:fill="FFFFFF"/>
        </w:rPr>
        <w:sectPr w:rsidR="00CF01FB" w:rsidRPr="00CF01FB" w:rsidSect="00C979BD">
          <w:headerReference w:type="default" r:id="rId11"/>
          <w:footerReference w:type="default" r:id="rId12"/>
          <w:type w:val="continuous"/>
          <w:pgSz w:w="12242" w:h="15842" w:code="1"/>
          <w:pgMar w:top="1440" w:right="1440" w:bottom="1440" w:left="1440" w:header="720" w:footer="720" w:gutter="0"/>
          <w:pgNumType w:start="116"/>
          <w:cols w:space="720"/>
          <w:docGrid w:linePitch="360"/>
        </w:sectPr>
      </w:pPr>
    </w:p>
    <w:p w:rsidR="005F2CCB" w:rsidRPr="00CF01FB" w:rsidRDefault="00011235" w:rsidP="00CF01FB">
      <w:pPr>
        <w:tabs>
          <w:tab w:val="left" w:pos="3675"/>
        </w:tabs>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lastRenderedPageBreak/>
        <w:t>Introduction</w:t>
      </w:r>
    </w:p>
    <w:p w:rsidR="00FA3CAE" w:rsidRPr="00CF01FB" w:rsidRDefault="008E459B" w:rsidP="00CF01FB">
      <w:pPr>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Higher</w:t>
      </w:r>
      <w:r w:rsidR="00FA3CAE" w:rsidRPr="00CF01FB">
        <w:rPr>
          <w:rFonts w:ascii="Times New Roman" w:hAnsi="Times New Roman" w:cs="Times New Roman"/>
          <w:sz w:val="20"/>
          <w:szCs w:val="20"/>
        </w:rPr>
        <w:t xml:space="preserve"> education is informally regarded as the education that children receive during their teenage years. Although the average age of entrance and exit vary considerably among various nations. The higher secondary education being a feeder stage of most of the professional courses in the country has got its own significance. Also this stage is the terminal stage of school education. Keeping in view the importance of the stage, the education commission (1964-66) recommended a uniform pattern of school education in all the states and Union Territories (the 10 + 2 pattern). Presently this structure of 10 + 2 is being followed in all the states and Union Territories</w:t>
      </w:r>
      <w:r w:rsidR="00F03298" w:rsidRPr="00CF01FB">
        <w:rPr>
          <w:rFonts w:ascii="Times New Roman" w:hAnsi="Times New Roman" w:cs="Times New Roman"/>
          <w:sz w:val="20"/>
          <w:szCs w:val="20"/>
        </w:rPr>
        <w:t xml:space="preserve">. </w:t>
      </w:r>
      <w:r w:rsidR="00FA3CAE" w:rsidRPr="00CF01FB">
        <w:rPr>
          <w:rFonts w:ascii="Times New Roman" w:hAnsi="Times New Roman" w:cs="Times New Roman"/>
          <w:sz w:val="20"/>
          <w:szCs w:val="20"/>
        </w:rPr>
        <w:t>These sections are available in four categories.</w:t>
      </w:r>
    </w:p>
    <w:p w:rsidR="00FA3CAE" w:rsidRPr="00CF01FB" w:rsidRDefault="00FA3CAE" w:rsidP="00CF01F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i/>
          <w:sz w:val="20"/>
          <w:szCs w:val="20"/>
        </w:rPr>
        <w:t>Higher secondary only</w:t>
      </w:r>
      <w:r w:rsidRPr="00CF01FB">
        <w:rPr>
          <w:rFonts w:ascii="Times New Roman" w:hAnsi="Times New Roman" w:cs="Times New Roman"/>
          <w:sz w:val="20"/>
          <w:szCs w:val="20"/>
        </w:rPr>
        <w:t>: - These constitute the schools having class XI and XII only.</w:t>
      </w:r>
    </w:p>
    <w:p w:rsidR="00FA3CAE" w:rsidRPr="00CF01FB" w:rsidRDefault="00FA3CAE" w:rsidP="00CF01F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i/>
          <w:sz w:val="20"/>
          <w:szCs w:val="20"/>
        </w:rPr>
        <w:t>Higher Secondary Schools with Secondary Schools</w:t>
      </w:r>
      <w:r w:rsidRPr="00CF01FB">
        <w:rPr>
          <w:rFonts w:ascii="Times New Roman" w:hAnsi="Times New Roman" w:cs="Times New Roman"/>
          <w:sz w:val="20"/>
          <w:szCs w:val="20"/>
        </w:rPr>
        <w:t>: - These constitute the schools with classes IX to XII.</w:t>
      </w:r>
    </w:p>
    <w:p w:rsidR="00FA3CAE" w:rsidRPr="00CF01FB" w:rsidRDefault="00FA3CAE" w:rsidP="00CF01F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i/>
          <w:sz w:val="20"/>
          <w:szCs w:val="20"/>
        </w:rPr>
        <w:t>Higher Secondary Schools with Secondary and Upper Primary Schools</w:t>
      </w:r>
      <w:r w:rsidRPr="00CF01FB">
        <w:rPr>
          <w:rFonts w:ascii="Times New Roman" w:hAnsi="Times New Roman" w:cs="Times New Roman"/>
          <w:sz w:val="20"/>
          <w:szCs w:val="20"/>
        </w:rPr>
        <w:t>: -These institutes have classes VI to XII.</w:t>
      </w:r>
    </w:p>
    <w:p w:rsidR="00FA3CAE" w:rsidRPr="00CF01FB" w:rsidRDefault="00FA3CAE" w:rsidP="00CF01F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i/>
          <w:sz w:val="20"/>
          <w:szCs w:val="20"/>
        </w:rPr>
        <w:t>Higher secondary Schools with Secondary, Upper Primary and Primary Sections</w:t>
      </w:r>
      <w:r w:rsidRPr="00CF01FB">
        <w:rPr>
          <w:rFonts w:ascii="Times New Roman" w:hAnsi="Times New Roman" w:cs="Times New Roman"/>
          <w:sz w:val="20"/>
          <w:szCs w:val="20"/>
        </w:rPr>
        <w:t>: - These are schools</w:t>
      </w:r>
      <w:r w:rsidR="00E05F17" w:rsidRPr="00CF01FB">
        <w:rPr>
          <w:rFonts w:ascii="Times New Roman" w:hAnsi="Times New Roman" w:cs="Times New Roman"/>
          <w:sz w:val="20"/>
          <w:szCs w:val="20"/>
        </w:rPr>
        <w:t xml:space="preserve"> </w:t>
      </w:r>
      <w:r w:rsidRPr="00CF01FB">
        <w:rPr>
          <w:rFonts w:ascii="Times New Roman" w:hAnsi="Times New Roman" w:cs="Times New Roman"/>
          <w:sz w:val="20"/>
          <w:szCs w:val="20"/>
        </w:rPr>
        <w:t>having all the four stages of education with classes I to XII.</w:t>
      </w:r>
    </w:p>
    <w:p w:rsidR="00011AEC" w:rsidRPr="00CF01FB" w:rsidRDefault="00424C5F" w:rsidP="00CF01F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F01FB">
        <w:rPr>
          <w:rFonts w:ascii="Times New Roman" w:hAnsi="Times New Roman" w:cs="Times New Roman"/>
          <w:sz w:val="20"/>
          <w:szCs w:val="20"/>
        </w:rPr>
        <w:lastRenderedPageBreak/>
        <w:t>The research would show the basic facilities provided to our stu</w:t>
      </w:r>
      <w:r w:rsidR="00120B59" w:rsidRPr="00CF01FB">
        <w:rPr>
          <w:rFonts w:ascii="Times New Roman" w:hAnsi="Times New Roman" w:cs="Times New Roman"/>
          <w:sz w:val="20"/>
          <w:szCs w:val="20"/>
        </w:rPr>
        <w:t>dents at higher secondary level</w:t>
      </w:r>
      <w:r w:rsidR="00EA3564" w:rsidRPr="00CF01FB">
        <w:rPr>
          <w:rFonts w:ascii="Times New Roman" w:hAnsi="Times New Roman" w:cs="Times New Roman"/>
          <w:sz w:val="20"/>
          <w:szCs w:val="20"/>
        </w:rPr>
        <w:t xml:space="preserve">. The project reflects the </w:t>
      </w:r>
      <w:r w:rsidR="00EA3564" w:rsidRPr="00CF01FB">
        <w:rPr>
          <w:rFonts w:ascii="Times New Roman" w:hAnsi="Times New Roman" w:cs="Times New Roman"/>
          <w:i/>
          <w:sz w:val="20"/>
          <w:szCs w:val="20"/>
        </w:rPr>
        <w:t>infrastructure, enrollment, and qualification of teachers at higher secondary school level in education zone Anantnag.</w:t>
      </w:r>
      <w:r w:rsidR="00EA3564" w:rsidRPr="00CF01FB">
        <w:rPr>
          <w:rFonts w:ascii="Times New Roman" w:hAnsi="Times New Roman" w:cs="Times New Roman"/>
          <w:sz w:val="20"/>
          <w:szCs w:val="20"/>
        </w:rPr>
        <w:t xml:space="preserve"> These parameters have profound role on the teaching learning process of education. The infrastructure of a school plays an important role for importing the practical/activity based education. Under the heading infrastructure the project will cover the availability of the buildings (in terms of kacha, pacca, rented and own), the availability of teaching and learning materials, laboratory facilities, availability of sports and scientific materials in the higher secondary schools of the education zone Anantnag. The project will assess the qualification of the teachers working in these schools. Under this heading the project would reflect that whether the sufficient and adequate teaching faculty is available in these schools or not.</w:t>
      </w:r>
      <w:r w:rsidR="009E24DD" w:rsidRPr="00CF01FB">
        <w:rPr>
          <w:rFonts w:ascii="Times New Roman" w:hAnsi="Times New Roman" w:cs="Times New Roman"/>
          <w:sz w:val="20"/>
          <w:szCs w:val="20"/>
        </w:rPr>
        <w:t xml:space="preserve"> In this project efforts have been made to assess the educational facilities available in education zone Anantnag. The higher secondary sections are available in higher secondary schools only. </w:t>
      </w:r>
      <w:r w:rsidR="00EA3564" w:rsidRPr="00CF01FB">
        <w:rPr>
          <w:rFonts w:ascii="Times New Roman" w:hAnsi="Times New Roman" w:cs="Times New Roman"/>
          <w:sz w:val="20"/>
          <w:szCs w:val="20"/>
        </w:rPr>
        <w:t xml:space="preserve">  At higher secondary schools there should be specialized teachers for each and every subject. It is crystal clear that the teacher student ratio or the enrollment of the school has a significant effect on the teaching learning process. The same would be reflected under </w:t>
      </w:r>
      <w:r w:rsidR="00EA3564" w:rsidRPr="00CF01FB">
        <w:rPr>
          <w:rFonts w:ascii="Times New Roman" w:hAnsi="Times New Roman" w:cs="Times New Roman"/>
          <w:sz w:val="20"/>
          <w:szCs w:val="20"/>
        </w:rPr>
        <w:lastRenderedPageBreak/>
        <w:t>the separate heading called enrollment.</w:t>
      </w:r>
      <w:r w:rsidR="00011AEC" w:rsidRPr="00CF01FB">
        <w:rPr>
          <w:rFonts w:ascii="Times New Roman" w:hAnsi="Times New Roman" w:cs="Times New Roman"/>
          <w:sz w:val="20"/>
          <w:szCs w:val="20"/>
        </w:rPr>
        <w:t xml:space="preserve"> Different components that constitute education infrastructure are evaluated for their relative importance in the delivery of effective learning. We also examine the current status of education infrastructure in the country </w:t>
      </w:r>
      <w:r w:rsidR="009A7423" w:rsidRPr="00CF01FB">
        <w:rPr>
          <w:rFonts w:ascii="Times New Roman" w:hAnsi="Times New Roman" w:cs="Times New Roman"/>
          <w:sz w:val="20"/>
          <w:szCs w:val="20"/>
        </w:rPr>
        <w:t xml:space="preserve">especially in </w:t>
      </w:r>
      <w:r w:rsidR="00011AEC" w:rsidRPr="00CF01FB">
        <w:rPr>
          <w:rFonts w:ascii="Times New Roman" w:hAnsi="Times New Roman" w:cs="Times New Roman"/>
          <w:sz w:val="20"/>
          <w:szCs w:val="20"/>
        </w:rPr>
        <w:t>District Anantnag (J&amp;K) and gaps in the provisioning. This chapter also includes a discussion of the roles of public and private actors in the education sector, particularly in respect of the Indian an</w:t>
      </w:r>
      <w:r w:rsidR="00A82CA4" w:rsidRPr="00CF01FB">
        <w:rPr>
          <w:rFonts w:ascii="Times New Roman" w:hAnsi="Times New Roman" w:cs="Times New Roman"/>
          <w:sz w:val="20"/>
          <w:szCs w:val="20"/>
        </w:rPr>
        <w:t>d international experiences of Private–Public P</w:t>
      </w:r>
      <w:r w:rsidR="00011AEC" w:rsidRPr="00CF01FB">
        <w:rPr>
          <w:rFonts w:ascii="Times New Roman" w:hAnsi="Times New Roman" w:cs="Times New Roman"/>
          <w:sz w:val="20"/>
          <w:szCs w:val="20"/>
        </w:rPr>
        <w:t>artnership (PPP). We review the regulatory regime for education and consider the various outcomes achieved across states and within states in this context.  And finally, a set out has been developed an agenda for future action including:</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1</w:t>
      </w:r>
      <w:r w:rsidRPr="00CF01FB">
        <w:rPr>
          <w:rFonts w:ascii="Times New Roman" w:hAnsi="Times New Roman" w:cs="Times New Roman"/>
          <w:i/>
          <w:sz w:val="20"/>
          <w:szCs w:val="20"/>
        </w:rPr>
        <w:t>. Integrated Child Development Service (ICDS</w:t>
      </w:r>
      <w:r w:rsidRPr="00CF01FB">
        <w:rPr>
          <w:rFonts w:ascii="Times New Roman" w:hAnsi="Times New Roman" w:cs="Times New Roman"/>
          <w:sz w:val="20"/>
          <w:szCs w:val="20"/>
        </w:rPr>
        <w:t>) and early childhood education (ECE).</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2. </w:t>
      </w:r>
      <w:r w:rsidRPr="00CF01FB">
        <w:rPr>
          <w:rFonts w:ascii="Times New Roman" w:hAnsi="Times New Roman" w:cs="Times New Roman"/>
          <w:i/>
          <w:sz w:val="20"/>
          <w:szCs w:val="20"/>
        </w:rPr>
        <w:t>S</w:t>
      </w:r>
      <w:r w:rsidR="00186AD8" w:rsidRPr="00CF01FB">
        <w:rPr>
          <w:rFonts w:ascii="Times New Roman" w:hAnsi="Times New Roman" w:cs="Times New Roman"/>
          <w:i/>
          <w:sz w:val="20"/>
          <w:szCs w:val="20"/>
        </w:rPr>
        <w:t>a</w:t>
      </w:r>
      <w:r w:rsidRPr="00CF01FB">
        <w:rPr>
          <w:rFonts w:ascii="Times New Roman" w:hAnsi="Times New Roman" w:cs="Times New Roman"/>
          <w:i/>
          <w:sz w:val="20"/>
          <w:szCs w:val="20"/>
        </w:rPr>
        <w:t>rva</w:t>
      </w:r>
      <w:r w:rsidR="002B7D38" w:rsidRPr="00CF01FB">
        <w:rPr>
          <w:rFonts w:ascii="Times New Roman" w:hAnsi="Times New Roman" w:cs="Times New Roman"/>
          <w:i/>
          <w:sz w:val="20"/>
          <w:szCs w:val="20"/>
        </w:rPr>
        <w:t xml:space="preserve"> </w:t>
      </w:r>
      <w:r w:rsidRPr="00CF01FB">
        <w:rPr>
          <w:rFonts w:ascii="Times New Roman" w:hAnsi="Times New Roman" w:cs="Times New Roman"/>
          <w:i/>
          <w:sz w:val="20"/>
          <w:szCs w:val="20"/>
        </w:rPr>
        <w:t>Shiksha</w:t>
      </w:r>
      <w:r w:rsidR="002B7D38" w:rsidRPr="00CF01FB">
        <w:rPr>
          <w:rFonts w:ascii="Times New Roman" w:hAnsi="Times New Roman" w:cs="Times New Roman"/>
          <w:i/>
          <w:sz w:val="20"/>
          <w:szCs w:val="20"/>
        </w:rPr>
        <w:t xml:space="preserve"> </w:t>
      </w:r>
      <w:r w:rsidRPr="00CF01FB">
        <w:rPr>
          <w:rFonts w:ascii="Times New Roman" w:hAnsi="Times New Roman" w:cs="Times New Roman"/>
          <w:i/>
          <w:sz w:val="20"/>
          <w:szCs w:val="20"/>
        </w:rPr>
        <w:t>Abhiyan (SSA</w:t>
      </w:r>
      <w:r w:rsidRPr="00CF01FB">
        <w:rPr>
          <w:rFonts w:ascii="Times New Roman" w:hAnsi="Times New Roman" w:cs="Times New Roman"/>
          <w:sz w:val="20"/>
          <w:szCs w:val="20"/>
        </w:rPr>
        <w:t>), the Government’s flagship programme for the universalization of elementary education.</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3. </w:t>
      </w:r>
      <w:r w:rsidRPr="00CF01FB">
        <w:rPr>
          <w:rFonts w:ascii="Times New Roman" w:hAnsi="Times New Roman" w:cs="Times New Roman"/>
          <w:i/>
          <w:sz w:val="20"/>
          <w:szCs w:val="20"/>
        </w:rPr>
        <w:t>National Curriculum Framework (NCF) 2005</w:t>
      </w:r>
      <w:r w:rsidRPr="00CF01FB">
        <w:rPr>
          <w:rFonts w:ascii="Times New Roman" w:hAnsi="Times New Roman" w:cs="Times New Roman"/>
          <w:sz w:val="20"/>
          <w:szCs w:val="20"/>
        </w:rPr>
        <w:t>.</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CF01FB">
        <w:rPr>
          <w:rFonts w:ascii="Times New Roman" w:hAnsi="Times New Roman" w:cs="Times New Roman"/>
          <w:sz w:val="20"/>
          <w:szCs w:val="20"/>
        </w:rPr>
        <w:t xml:space="preserve">4. </w:t>
      </w:r>
      <w:r w:rsidRPr="00CF01FB">
        <w:rPr>
          <w:rFonts w:ascii="Times New Roman" w:hAnsi="Times New Roman" w:cs="Times New Roman"/>
          <w:i/>
          <w:sz w:val="20"/>
          <w:szCs w:val="20"/>
        </w:rPr>
        <w:t>The planned expansion of secondary education and skills training under the 11th Five Year Plan and</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i/>
          <w:sz w:val="20"/>
          <w:szCs w:val="20"/>
        </w:rPr>
      </w:pPr>
      <w:r w:rsidRPr="00CF01FB">
        <w:rPr>
          <w:rFonts w:ascii="Times New Roman" w:hAnsi="Times New Roman" w:cs="Times New Roman"/>
          <w:sz w:val="20"/>
          <w:szCs w:val="20"/>
        </w:rPr>
        <w:t xml:space="preserve">5. </w:t>
      </w:r>
      <w:r w:rsidRPr="00CF01FB">
        <w:rPr>
          <w:rFonts w:ascii="Times New Roman" w:hAnsi="Times New Roman" w:cs="Times New Roman"/>
          <w:i/>
          <w:sz w:val="20"/>
          <w:szCs w:val="20"/>
        </w:rPr>
        <w:t>Further development of PPP and the need to achieve a literate environment in India.</w:t>
      </w:r>
    </w:p>
    <w:p w:rsidR="00011AEC" w:rsidRPr="00CF01FB" w:rsidRDefault="00011AEC"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The central and the state government of Jammu and Kashmir had made various efforts to extend the higher secondary education in the state. The steps taken in this regard are as follows;</w:t>
      </w:r>
    </w:p>
    <w:p w:rsidR="00011AEC" w:rsidRPr="00CF01FB" w:rsidRDefault="00011AEC" w:rsidP="00CF01FB">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Upgrading the high schools to higher secondary status.</w:t>
      </w:r>
    </w:p>
    <w:p w:rsidR="00011AEC" w:rsidRPr="00CF01FB" w:rsidRDefault="00011AEC" w:rsidP="00CF01FB">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Improving the infrastructure of the higher secondary schools.</w:t>
      </w:r>
    </w:p>
    <w:p w:rsidR="00011AEC" w:rsidRPr="00CF01FB" w:rsidRDefault="00011AEC" w:rsidP="00CF01FB">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Increasing the teaching and non-teaching faculty.</w:t>
      </w:r>
    </w:p>
    <w:p w:rsidR="00011AEC" w:rsidRPr="00CF01FB" w:rsidRDefault="00011AEC" w:rsidP="00CF01FB">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Introducing some job oriented courses/programmes.</w:t>
      </w:r>
    </w:p>
    <w:p w:rsidR="00246EF5" w:rsidRPr="00CF01FB" w:rsidRDefault="00011AEC" w:rsidP="00CF01FB">
      <w:pPr>
        <w:snapToGrid w:val="0"/>
        <w:spacing w:after="0" w:line="240" w:lineRule="auto"/>
        <w:ind w:firstLine="425"/>
        <w:jc w:val="both"/>
        <w:rPr>
          <w:rFonts w:ascii="Times New Roman" w:hAnsi="Times New Roman" w:cs="Times New Roman"/>
          <w:b/>
          <w:sz w:val="20"/>
          <w:szCs w:val="20"/>
        </w:rPr>
      </w:pPr>
      <w:r w:rsidRPr="00CF01FB">
        <w:rPr>
          <w:rFonts w:ascii="Times New Roman" w:hAnsi="Times New Roman" w:cs="Times New Roman"/>
          <w:sz w:val="20"/>
          <w:szCs w:val="20"/>
        </w:rPr>
        <w:t xml:space="preserve">The secondary education in the formal stream, the </w:t>
      </w:r>
      <w:r w:rsidR="004154C3" w:rsidRPr="00CF01FB">
        <w:rPr>
          <w:rFonts w:ascii="Times New Roman" w:hAnsi="Times New Roman" w:cs="Times New Roman"/>
          <w:sz w:val="20"/>
          <w:szCs w:val="20"/>
        </w:rPr>
        <w:t>non-formal</w:t>
      </w:r>
      <w:r w:rsidRPr="00CF01FB">
        <w:rPr>
          <w:rFonts w:ascii="Times New Roman" w:hAnsi="Times New Roman" w:cs="Times New Roman"/>
          <w:sz w:val="20"/>
          <w:szCs w:val="20"/>
        </w:rPr>
        <w:t xml:space="preserve"> education, correspondence education and national literacy mission all have the purpose of creating an awareness of rights, duties and responsibilities among the citizens of democratic India. Significant studies have been made in this direction during the last decade and a survey conducted indicate that nearly 60% of the 8-11 age group of children are attending the schools. Various steps have been made to make </w:t>
      </w:r>
      <w:r w:rsidR="006063ED" w:rsidRPr="00CF01FB">
        <w:rPr>
          <w:rFonts w:ascii="Times New Roman" w:hAnsi="Times New Roman" w:cs="Times New Roman"/>
          <w:sz w:val="20"/>
          <w:szCs w:val="20"/>
        </w:rPr>
        <w:t>universalization</w:t>
      </w:r>
      <w:r w:rsidRPr="00CF01FB">
        <w:rPr>
          <w:rFonts w:ascii="Times New Roman" w:hAnsi="Times New Roman" w:cs="Times New Roman"/>
          <w:sz w:val="20"/>
          <w:szCs w:val="20"/>
        </w:rPr>
        <w:t xml:space="preserve"> of secondary education like recruitment of teachers and provision of providing teaching learning material under the scheme Operation Blackboard, construction of school buildings, experimental and innovative projects in the </w:t>
      </w:r>
      <w:r w:rsidR="004154C3" w:rsidRPr="00CF01FB">
        <w:rPr>
          <w:rFonts w:ascii="Times New Roman" w:hAnsi="Times New Roman" w:cs="Times New Roman"/>
          <w:sz w:val="20"/>
          <w:szCs w:val="20"/>
        </w:rPr>
        <w:t>non-formal</w:t>
      </w:r>
      <w:r w:rsidRPr="00CF01FB">
        <w:rPr>
          <w:rFonts w:ascii="Times New Roman" w:hAnsi="Times New Roman" w:cs="Times New Roman"/>
          <w:sz w:val="20"/>
          <w:szCs w:val="20"/>
        </w:rPr>
        <w:t xml:space="preserve"> education sector for children out of schools.</w:t>
      </w:r>
      <w:r w:rsidR="006063ED" w:rsidRPr="00CF01FB">
        <w:rPr>
          <w:rFonts w:ascii="Times New Roman" w:hAnsi="Times New Roman" w:cs="Times New Roman"/>
          <w:sz w:val="20"/>
          <w:szCs w:val="20"/>
        </w:rPr>
        <w:t xml:space="preserve"> </w:t>
      </w:r>
      <w:r w:rsidRPr="00CF01FB">
        <w:rPr>
          <w:rFonts w:ascii="Times New Roman" w:hAnsi="Times New Roman" w:cs="Times New Roman"/>
          <w:sz w:val="20"/>
          <w:szCs w:val="20"/>
        </w:rPr>
        <w:t xml:space="preserve">Children are the future generation of the nation. They are the beings on </w:t>
      </w:r>
      <w:r w:rsidRPr="00CF01FB">
        <w:rPr>
          <w:rFonts w:ascii="Times New Roman" w:hAnsi="Times New Roman" w:cs="Times New Roman"/>
          <w:sz w:val="20"/>
          <w:szCs w:val="20"/>
        </w:rPr>
        <w:lastRenderedPageBreak/>
        <w:t xml:space="preserve">which the nation puts all its hops. Although in many countries they do not constitute a big portion of the population. Yet in many developing countries including India they constitute more than </w:t>
      </w:r>
      <w:r w:rsidRPr="00CF01FB">
        <w:rPr>
          <w:rFonts w:ascii="Times New Roman" w:hAnsi="Times New Roman" w:cs="Times New Roman"/>
          <w:i/>
          <w:sz w:val="20"/>
          <w:szCs w:val="20"/>
        </w:rPr>
        <w:t>40%</w:t>
      </w:r>
      <w:r w:rsidRPr="00CF01FB">
        <w:rPr>
          <w:rFonts w:ascii="Times New Roman" w:hAnsi="Times New Roman" w:cs="Times New Roman"/>
          <w:sz w:val="20"/>
          <w:szCs w:val="20"/>
        </w:rPr>
        <w:t xml:space="preserve"> of the population up to 11-18 years of age. Total literacy rate of Jammu and Kashmir is </w:t>
      </w:r>
      <w:r w:rsidRPr="00CF01FB">
        <w:rPr>
          <w:rFonts w:ascii="Times New Roman" w:hAnsi="Times New Roman" w:cs="Times New Roman"/>
          <w:i/>
          <w:sz w:val="20"/>
          <w:szCs w:val="20"/>
        </w:rPr>
        <w:t>54.46%</w:t>
      </w:r>
      <w:r w:rsidRPr="00CF01FB">
        <w:rPr>
          <w:rFonts w:ascii="Times New Roman" w:hAnsi="Times New Roman" w:cs="Times New Roman"/>
          <w:sz w:val="20"/>
          <w:szCs w:val="20"/>
        </w:rPr>
        <w:t xml:space="preserve">. In the states of J&amp;K, District Anantnag has total population of 1070144 and out of these figures 562200 are males and 507944 are females.  Literacy percentage among male is 56% and 32%among females. Thus total literacy rate of 44.10%.  The literacy rate of rural areas in District Anantnag is 41.04% and those of urban areas are 61.50%. Thus in District Anantnag especially in Tehsil Anantnag major portion of the people is not in a position to read and write. Besides there are 35 hundreds of children who have no access to secondary education. The children are engaged in various child </w:t>
      </w:r>
      <w:r w:rsidR="00DA6218" w:rsidRPr="00CF01FB">
        <w:rPr>
          <w:rFonts w:ascii="Times New Roman" w:hAnsi="Times New Roman" w:cs="Times New Roman"/>
          <w:sz w:val="20"/>
          <w:szCs w:val="20"/>
        </w:rPr>
        <w:t>labor</w:t>
      </w:r>
      <w:r w:rsidRPr="00CF01FB">
        <w:rPr>
          <w:rFonts w:ascii="Times New Roman" w:hAnsi="Times New Roman" w:cs="Times New Roman"/>
          <w:sz w:val="20"/>
          <w:szCs w:val="20"/>
        </w:rPr>
        <w:t xml:space="preserve"> activities.</w:t>
      </w:r>
      <w:r w:rsidR="00246EF5" w:rsidRPr="00CF01FB">
        <w:rPr>
          <w:rFonts w:ascii="Times New Roman" w:hAnsi="Times New Roman" w:cs="Times New Roman"/>
          <w:sz w:val="20"/>
          <w:szCs w:val="20"/>
        </w:rPr>
        <w:t xml:space="preserve"> Many scholars and educationist gave their different views at different times. Mohammad Imran Rashid (2010) found that factors like teaching, design, work environment, feedback, recognition, decision making participation are the potential factor for satisfying teachers in higher education. Blouch (2009) in his study found that there is a constructive association among promotion and teaching satisfaction. Academicians are motivated and committed perform a teaching and also more satisfied if promotion opportunities are available to them. Shameema</w:t>
      </w:r>
      <w:r w:rsidR="00DA6218" w:rsidRPr="00CF01FB">
        <w:rPr>
          <w:rFonts w:ascii="Times New Roman" w:hAnsi="Times New Roman" w:cs="Times New Roman"/>
          <w:sz w:val="20"/>
          <w:szCs w:val="20"/>
        </w:rPr>
        <w:t xml:space="preserve"> </w:t>
      </w:r>
      <w:r w:rsidR="00246EF5" w:rsidRPr="00CF01FB">
        <w:rPr>
          <w:rFonts w:ascii="Times New Roman" w:hAnsi="Times New Roman" w:cs="Times New Roman"/>
          <w:sz w:val="20"/>
          <w:szCs w:val="20"/>
        </w:rPr>
        <w:t>Tasleem (2006) in a study found that one of the purposes of teaching is to get the payment all salary and it is very natural that a handsome salary will bring teaching satisfaction. Ramkrishnaiah (1980) has found that 93% of the college teachers were highly satisfied with their teaching expressed that they have cordial relationship with their colleagues. Perie and Bakar (1979) in their study concluded that student achievement may be directly connected to teacher’s teaching satisfaction.</w:t>
      </w:r>
    </w:p>
    <w:p w:rsidR="00FA3CAE" w:rsidRPr="00CF01FB" w:rsidRDefault="008E459B"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Statement of the Problem</w:t>
      </w:r>
    </w:p>
    <w:p w:rsidR="003D0B04" w:rsidRPr="00CF01FB" w:rsidRDefault="002847A9" w:rsidP="00CF01FB">
      <w:pPr>
        <w:snapToGrid w:val="0"/>
        <w:spacing w:after="0" w:line="240" w:lineRule="auto"/>
        <w:ind w:firstLine="425"/>
        <w:jc w:val="both"/>
        <w:rPr>
          <w:rFonts w:ascii="Times New Roman" w:hAnsi="Times New Roman" w:cs="Times New Roman"/>
          <w:b/>
          <w:sz w:val="20"/>
          <w:szCs w:val="20"/>
        </w:rPr>
      </w:pPr>
      <w:r w:rsidRPr="00CF01FB">
        <w:rPr>
          <w:rFonts w:ascii="Times New Roman" w:hAnsi="Times New Roman" w:cs="Times New Roman"/>
          <w:sz w:val="20"/>
          <w:szCs w:val="20"/>
        </w:rPr>
        <w:t>The problem selected for the present investigation is as under:</w:t>
      </w:r>
      <w:r w:rsidR="008E4436" w:rsidRPr="00CF01FB">
        <w:rPr>
          <w:rFonts w:ascii="Times New Roman" w:hAnsi="Times New Roman" w:cs="Times New Roman"/>
          <w:sz w:val="20"/>
          <w:szCs w:val="20"/>
        </w:rPr>
        <w:t xml:space="preserve"> </w:t>
      </w:r>
      <w:r w:rsidR="008E4436" w:rsidRPr="00CF01FB">
        <w:rPr>
          <w:rFonts w:ascii="Times New Roman" w:hAnsi="Times New Roman" w:cs="Times New Roman"/>
          <w:b/>
          <w:sz w:val="20"/>
          <w:szCs w:val="20"/>
        </w:rPr>
        <w:t>“</w:t>
      </w:r>
      <w:r w:rsidRPr="00CF01FB">
        <w:rPr>
          <w:rFonts w:ascii="Times New Roman" w:hAnsi="Times New Roman" w:cs="Times New Roman"/>
          <w:b/>
          <w:sz w:val="20"/>
          <w:szCs w:val="20"/>
        </w:rPr>
        <w:t>Enrollment, infrastructure and qualification of teachers</w:t>
      </w:r>
      <w:r w:rsidR="00011AEC" w:rsidRPr="00CF01FB">
        <w:rPr>
          <w:rFonts w:ascii="Times New Roman" w:hAnsi="Times New Roman" w:cs="Times New Roman"/>
          <w:b/>
          <w:sz w:val="20"/>
          <w:szCs w:val="20"/>
        </w:rPr>
        <w:t xml:space="preserve"> at higher secondary l</w:t>
      </w:r>
      <w:r w:rsidR="008E4436" w:rsidRPr="00CF01FB">
        <w:rPr>
          <w:rFonts w:ascii="Times New Roman" w:hAnsi="Times New Roman" w:cs="Times New Roman"/>
          <w:b/>
          <w:sz w:val="20"/>
          <w:szCs w:val="20"/>
        </w:rPr>
        <w:t>evel in education zone Anantnag”</w:t>
      </w:r>
    </w:p>
    <w:p w:rsidR="007D31AC" w:rsidRPr="00CF01FB" w:rsidRDefault="005C60D5" w:rsidP="00CF01FB">
      <w:pPr>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Objectives</w:t>
      </w:r>
    </w:p>
    <w:p w:rsidR="005C60D5" w:rsidRPr="00CF01FB" w:rsidRDefault="005C60D5" w:rsidP="00CF01FB">
      <w:pPr>
        <w:snapToGrid w:val="0"/>
        <w:spacing w:after="0" w:line="240" w:lineRule="auto"/>
        <w:ind w:firstLine="425"/>
        <w:jc w:val="both"/>
        <w:rPr>
          <w:rFonts w:ascii="Times New Roman" w:hAnsi="Times New Roman" w:cs="Times New Roman"/>
          <w:b/>
          <w:sz w:val="20"/>
          <w:szCs w:val="20"/>
        </w:rPr>
      </w:pPr>
      <w:r w:rsidRPr="00CF01FB">
        <w:rPr>
          <w:rFonts w:ascii="Times New Roman" w:hAnsi="Times New Roman" w:cs="Times New Roman"/>
          <w:sz w:val="20"/>
          <w:szCs w:val="20"/>
        </w:rPr>
        <w:t>Following objectives have been formulated for the proposed investigation.</w:t>
      </w:r>
    </w:p>
    <w:p w:rsidR="005C60D5" w:rsidRPr="00CF01FB" w:rsidRDefault="009D4DB4"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The dissertation</w:t>
      </w:r>
      <w:r w:rsidR="005C60D5" w:rsidRPr="00CF01FB">
        <w:rPr>
          <w:rFonts w:ascii="Times New Roman" w:hAnsi="Times New Roman" w:cs="Times New Roman"/>
          <w:sz w:val="20"/>
          <w:szCs w:val="20"/>
        </w:rPr>
        <w:t xml:space="preserve"> would assess the facilities available in the higher secondary schools of the zone Anantnag.</w:t>
      </w:r>
    </w:p>
    <w:p w:rsidR="005C60D5" w:rsidRPr="00CF01FB" w:rsidRDefault="009D4DB4"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The dissertation</w:t>
      </w:r>
      <w:r w:rsidR="005C60D5" w:rsidRPr="00CF01FB">
        <w:rPr>
          <w:rFonts w:ascii="Times New Roman" w:hAnsi="Times New Roman" w:cs="Times New Roman"/>
          <w:sz w:val="20"/>
          <w:szCs w:val="20"/>
        </w:rPr>
        <w:t xml:space="preserve"> would reflect the type of infrastructure in terms of buildings present in the zone.</w:t>
      </w:r>
    </w:p>
    <w:p w:rsidR="005C60D5" w:rsidRPr="00CF01FB" w:rsidRDefault="009D4DB4"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The dissertation</w:t>
      </w:r>
      <w:r w:rsidR="005C60D5" w:rsidRPr="00CF01FB">
        <w:rPr>
          <w:rFonts w:ascii="Times New Roman" w:hAnsi="Times New Roman" w:cs="Times New Roman"/>
          <w:sz w:val="20"/>
          <w:szCs w:val="20"/>
        </w:rPr>
        <w:t xml:space="preserve"> assesses the buildings in terms of rented, government owned, kacha /pacca or mixed.</w:t>
      </w:r>
    </w:p>
    <w:p w:rsidR="005C60D5" w:rsidRPr="00CF01FB" w:rsidRDefault="009D4DB4"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lastRenderedPageBreak/>
        <w:t xml:space="preserve">The dissertation </w:t>
      </w:r>
      <w:r w:rsidR="005C60D5" w:rsidRPr="00CF01FB">
        <w:rPr>
          <w:rFonts w:ascii="Times New Roman" w:hAnsi="Times New Roman" w:cs="Times New Roman"/>
          <w:sz w:val="20"/>
          <w:szCs w:val="20"/>
        </w:rPr>
        <w:t>would show the enrollment and teacher student ratio present in the zone.</w:t>
      </w:r>
    </w:p>
    <w:p w:rsidR="005C60D5" w:rsidRPr="00CF01FB" w:rsidRDefault="005C60D5"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The qualification of the teaching staff both academic and technical w</w:t>
      </w:r>
      <w:r w:rsidR="009D4DB4" w:rsidRPr="00CF01FB">
        <w:rPr>
          <w:rFonts w:ascii="Times New Roman" w:hAnsi="Times New Roman" w:cs="Times New Roman"/>
          <w:sz w:val="20"/>
          <w:szCs w:val="20"/>
        </w:rPr>
        <w:t>ould be reflected in the disserta</w:t>
      </w:r>
      <w:r w:rsidR="00AC215B" w:rsidRPr="00CF01FB">
        <w:rPr>
          <w:rFonts w:ascii="Times New Roman" w:hAnsi="Times New Roman" w:cs="Times New Roman"/>
          <w:sz w:val="20"/>
          <w:szCs w:val="20"/>
        </w:rPr>
        <w:t>t</w:t>
      </w:r>
      <w:r w:rsidR="009D4DB4" w:rsidRPr="00CF01FB">
        <w:rPr>
          <w:rFonts w:ascii="Times New Roman" w:hAnsi="Times New Roman" w:cs="Times New Roman"/>
          <w:sz w:val="20"/>
          <w:szCs w:val="20"/>
        </w:rPr>
        <w:t>ion</w:t>
      </w:r>
      <w:r w:rsidRPr="00CF01FB">
        <w:rPr>
          <w:rFonts w:ascii="Times New Roman" w:hAnsi="Times New Roman" w:cs="Times New Roman"/>
          <w:sz w:val="20"/>
          <w:szCs w:val="20"/>
        </w:rPr>
        <w:t>.</w:t>
      </w:r>
    </w:p>
    <w:p w:rsidR="005C60D5" w:rsidRPr="00CF01FB" w:rsidRDefault="005C60D5"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Facilit</w:t>
      </w:r>
      <w:r w:rsidR="00B619E8" w:rsidRPr="00CF01FB">
        <w:rPr>
          <w:rFonts w:ascii="Times New Roman" w:hAnsi="Times New Roman" w:cs="Times New Roman"/>
          <w:sz w:val="20"/>
          <w:szCs w:val="20"/>
        </w:rPr>
        <w:t>ies like drinking water, toilet and ramps</w:t>
      </w:r>
      <w:r w:rsidRPr="00CF01FB">
        <w:rPr>
          <w:rFonts w:ascii="Times New Roman" w:hAnsi="Times New Roman" w:cs="Times New Roman"/>
          <w:sz w:val="20"/>
          <w:szCs w:val="20"/>
        </w:rPr>
        <w:t xml:space="preserve"> for CWSN, playground, laboratories, games material, </w:t>
      </w:r>
      <w:r w:rsidR="00B619E8" w:rsidRPr="00CF01FB">
        <w:rPr>
          <w:rFonts w:ascii="Times New Roman" w:hAnsi="Times New Roman" w:cs="Times New Roman"/>
          <w:sz w:val="20"/>
          <w:szCs w:val="20"/>
        </w:rPr>
        <w:t>and heating</w:t>
      </w:r>
      <w:r w:rsidRPr="00CF01FB">
        <w:rPr>
          <w:rFonts w:ascii="Times New Roman" w:hAnsi="Times New Roman" w:cs="Times New Roman"/>
          <w:sz w:val="20"/>
          <w:szCs w:val="20"/>
        </w:rPr>
        <w:t xml:space="preserve"> arrangeme</w:t>
      </w:r>
      <w:r w:rsidR="009A4914" w:rsidRPr="00CF01FB">
        <w:rPr>
          <w:rFonts w:ascii="Times New Roman" w:hAnsi="Times New Roman" w:cs="Times New Roman"/>
          <w:sz w:val="20"/>
          <w:szCs w:val="20"/>
        </w:rPr>
        <w:t>nt would be shown in the dissertation</w:t>
      </w:r>
      <w:r w:rsidRPr="00CF01FB">
        <w:rPr>
          <w:rFonts w:ascii="Times New Roman" w:hAnsi="Times New Roman" w:cs="Times New Roman"/>
          <w:sz w:val="20"/>
          <w:szCs w:val="20"/>
        </w:rPr>
        <w:t>.</w:t>
      </w:r>
    </w:p>
    <w:p w:rsidR="005C60D5" w:rsidRPr="00CF01FB" w:rsidRDefault="00B04D0F"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The dissertation</w:t>
      </w:r>
      <w:r w:rsidR="005C60D5" w:rsidRPr="00CF01FB">
        <w:rPr>
          <w:rFonts w:ascii="Times New Roman" w:hAnsi="Times New Roman" w:cs="Times New Roman"/>
          <w:sz w:val="20"/>
          <w:szCs w:val="20"/>
        </w:rPr>
        <w:t xml:space="preserve"> will also compare the educational standard of private and government institutions in education zone Anantnag.</w:t>
      </w:r>
    </w:p>
    <w:p w:rsidR="00466E45" w:rsidRPr="00CF01FB" w:rsidRDefault="005C60D5" w:rsidP="00CF01F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Availability of guidance and counseling centers in the </w:t>
      </w:r>
      <w:r w:rsidR="0063078C" w:rsidRPr="00CF01FB">
        <w:rPr>
          <w:rFonts w:ascii="Times New Roman" w:hAnsi="Times New Roman" w:cs="Times New Roman"/>
          <w:sz w:val="20"/>
          <w:szCs w:val="20"/>
        </w:rPr>
        <w:t>Schools.</w:t>
      </w:r>
    </w:p>
    <w:p w:rsidR="001834A2" w:rsidRPr="00CF01FB" w:rsidRDefault="00DD3A17"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Methodology  and  P</w:t>
      </w:r>
      <w:r w:rsidR="001834A2" w:rsidRPr="00CF01FB">
        <w:rPr>
          <w:rFonts w:ascii="Times New Roman" w:hAnsi="Times New Roman" w:cs="Times New Roman"/>
          <w:b/>
          <w:sz w:val="20"/>
          <w:szCs w:val="20"/>
        </w:rPr>
        <w:t>rocedure</w:t>
      </w:r>
    </w:p>
    <w:p w:rsidR="001265B7" w:rsidRPr="00CF01FB" w:rsidRDefault="001265B7"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Sample</w:t>
      </w:r>
    </w:p>
    <w:p w:rsidR="00616F77" w:rsidRDefault="00EB5E5B" w:rsidP="00CF01FB">
      <w:pPr>
        <w:snapToGrid w:val="0"/>
        <w:spacing w:after="0" w:line="240" w:lineRule="auto"/>
        <w:ind w:firstLine="425"/>
        <w:jc w:val="both"/>
        <w:rPr>
          <w:rFonts w:ascii="Times New Roman" w:hAnsi="Times New Roman" w:cs="Times New Roman"/>
          <w:sz w:val="20"/>
          <w:szCs w:val="20"/>
          <w:lang w:eastAsia="zh-CN"/>
        </w:rPr>
      </w:pPr>
      <w:r w:rsidRPr="00CF01FB">
        <w:rPr>
          <w:rFonts w:ascii="Times New Roman" w:hAnsi="Times New Roman" w:cs="Times New Roman"/>
          <w:sz w:val="20"/>
          <w:szCs w:val="20"/>
        </w:rPr>
        <w:t xml:space="preserve">All the higher secondary schools functioning in educational zone Anantnag are importing education between age group of 17-19 were taken as a sample for the present investigation. Total </w:t>
      </w:r>
      <w:r w:rsidR="00E65C28" w:rsidRPr="00CF01FB">
        <w:rPr>
          <w:rFonts w:ascii="Times New Roman" w:hAnsi="Times New Roman" w:cs="Times New Roman"/>
          <w:sz w:val="20"/>
          <w:szCs w:val="20"/>
        </w:rPr>
        <w:t>numbers of higher secondary schools were</w:t>
      </w:r>
      <w:r w:rsidRPr="00CF01FB">
        <w:rPr>
          <w:rFonts w:ascii="Times New Roman" w:hAnsi="Times New Roman" w:cs="Times New Roman"/>
          <w:sz w:val="20"/>
          <w:szCs w:val="20"/>
        </w:rPr>
        <w:t xml:space="preserve"> eight and their enrollment is</w:t>
      </w:r>
      <w:r w:rsidR="00BD53EF" w:rsidRPr="00CF01FB">
        <w:rPr>
          <w:rFonts w:ascii="Times New Roman" w:hAnsi="Times New Roman" w:cs="Times New Roman"/>
          <w:sz w:val="20"/>
          <w:szCs w:val="20"/>
        </w:rPr>
        <w:t xml:space="preserve"> 6113.</w:t>
      </w:r>
      <w:r w:rsidR="00616F77" w:rsidRPr="00CF01FB">
        <w:rPr>
          <w:rFonts w:ascii="Times New Roman" w:hAnsi="Times New Roman" w:cs="Times New Roman"/>
          <w:sz w:val="20"/>
          <w:szCs w:val="20"/>
        </w:rPr>
        <w:t xml:space="preserve"> The sample for the present study is shown as under</w:t>
      </w:r>
    </w:p>
    <w:p w:rsidR="00CF01FB" w:rsidRPr="00CF01FB" w:rsidRDefault="00CF01FB" w:rsidP="00CF01FB">
      <w:pPr>
        <w:snapToGrid w:val="0"/>
        <w:spacing w:after="0" w:line="240" w:lineRule="auto"/>
        <w:ind w:firstLine="425"/>
        <w:jc w:val="both"/>
        <w:rPr>
          <w:rFonts w:ascii="Times New Roman" w:hAnsi="Times New Roman" w:cs="Times New Roman"/>
          <w:b/>
          <w:i/>
          <w:sz w:val="20"/>
          <w:szCs w:val="20"/>
          <w:u w:val="single"/>
          <w:lang w:eastAsia="zh-CN"/>
        </w:rPr>
      </w:pPr>
    </w:p>
    <w:tbl>
      <w:tblPr>
        <w:tblStyle w:val="TableGrid"/>
        <w:tblW w:w="5000" w:type="pct"/>
        <w:jc w:val="center"/>
        <w:tblLook w:val="04A0"/>
      </w:tblPr>
      <w:tblGrid>
        <w:gridCol w:w="1965"/>
        <w:gridCol w:w="774"/>
        <w:gridCol w:w="998"/>
        <w:gridCol w:w="800"/>
      </w:tblGrid>
      <w:tr w:rsidR="00616F77" w:rsidRPr="00CF01FB" w:rsidTr="00061F21">
        <w:trPr>
          <w:jc w:val="center"/>
        </w:trPr>
        <w:tc>
          <w:tcPr>
            <w:tcW w:w="2165" w:type="pct"/>
            <w:vMerge w:val="restart"/>
            <w:tcBorders>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Number of</w:t>
            </w:r>
          </w:p>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HS School</w:t>
            </w:r>
          </w:p>
        </w:tc>
        <w:tc>
          <w:tcPr>
            <w:tcW w:w="2835" w:type="pct"/>
            <w:gridSpan w:val="3"/>
            <w:tcBorders>
              <w:left w:val="single" w:sz="4" w:space="0" w:color="auto"/>
              <w:bottom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Enrollment</w:t>
            </w:r>
          </w:p>
        </w:tc>
      </w:tr>
      <w:tr w:rsidR="00616F77" w:rsidRPr="00CF01FB" w:rsidTr="00061F21">
        <w:trPr>
          <w:jc w:val="center"/>
        </w:trPr>
        <w:tc>
          <w:tcPr>
            <w:tcW w:w="2165" w:type="pct"/>
            <w:vMerge/>
            <w:tcBorders>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p>
        </w:tc>
        <w:tc>
          <w:tcPr>
            <w:tcW w:w="853" w:type="pct"/>
            <w:tcBorders>
              <w:top w:val="single" w:sz="4" w:space="0" w:color="auto"/>
              <w:left w:val="single" w:sz="4" w:space="0" w:color="auto"/>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Male</w:t>
            </w:r>
          </w:p>
        </w:tc>
        <w:tc>
          <w:tcPr>
            <w:tcW w:w="1100" w:type="pct"/>
            <w:tcBorders>
              <w:top w:val="single" w:sz="4" w:space="0" w:color="auto"/>
              <w:left w:val="single" w:sz="4" w:space="0" w:color="auto"/>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Female</w:t>
            </w:r>
          </w:p>
        </w:tc>
        <w:tc>
          <w:tcPr>
            <w:tcW w:w="882" w:type="pct"/>
            <w:tcBorders>
              <w:top w:val="single" w:sz="4" w:space="0" w:color="auto"/>
              <w:left w:val="single" w:sz="4" w:space="0" w:color="auto"/>
            </w:tcBorders>
            <w:vAlign w:val="center"/>
          </w:tcPr>
          <w:p w:rsidR="00616F77" w:rsidRPr="00CF01FB" w:rsidRDefault="00616F77" w:rsidP="00CF01FB">
            <w:pPr>
              <w:snapToGrid w:val="0"/>
              <w:contextualSpacing/>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w:t>
            </w:r>
          </w:p>
        </w:tc>
      </w:tr>
      <w:tr w:rsidR="00616F77" w:rsidRPr="00CF01FB" w:rsidTr="00061F21">
        <w:trPr>
          <w:jc w:val="center"/>
        </w:trPr>
        <w:tc>
          <w:tcPr>
            <w:tcW w:w="2165" w:type="pct"/>
            <w:tcBorders>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8</w:t>
            </w:r>
          </w:p>
        </w:tc>
        <w:tc>
          <w:tcPr>
            <w:tcW w:w="853" w:type="pct"/>
            <w:tcBorders>
              <w:left w:val="single" w:sz="4" w:space="0" w:color="auto"/>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3161</w:t>
            </w:r>
          </w:p>
        </w:tc>
        <w:tc>
          <w:tcPr>
            <w:tcW w:w="1100" w:type="pct"/>
            <w:tcBorders>
              <w:left w:val="single" w:sz="4" w:space="0" w:color="auto"/>
              <w:right w:val="single" w:sz="4" w:space="0" w:color="auto"/>
            </w:tcBorders>
            <w:vAlign w:val="center"/>
          </w:tcPr>
          <w:p w:rsidR="00616F77" w:rsidRPr="00CF01FB" w:rsidRDefault="00616F77" w:rsidP="00CF01FB">
            <w:pPr>
              <w:snapToGrid w:val="0"/>
              <w:contextualSpacing/>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2952</w:t>
            </w:r>
          </w:p>
        </w:tc>
        <w:tc>
          <w:tcPr>
            <w:tcW w:w="882" w:type="pct"/>
            <w:tcBorders>
              <w:left w:val="single" w:sz="4" w:space="0" w:color="auto"/>
            </w:tcBorders>
            <w:vAlign w:val="center"/>
          </w:tcPr>
          <w:p w:rsidR="00616F77" w:rsidRPr="00CF01FB" w:rsidRDefault="00616F77" w:rsidP="00CF01FB">
            <w:pPr>
              <w:snapToGrid w:val="0"/>
              <w:contextualSpacing/>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6113</w:t>
            </w:r>
          </w:p>
        </w:tc>
      </w:tr>
    </w:tbl>
    <w:p w:rsidR="00FE2CA3" w:rsidRPr="00CF01FB" w:rsidRDefault="00FE2CA3" w:rsidP="00CF01FB">
      <w:pPr>
        <w:snapToGrid w:val="0"/>
        <w:spacing w:after="0" w:line="240" w:lineRule="auto"/>
        <w:ind w:firstLine="425"/>
        <w:jc w:val="both"/>
        <w:rPr>
          <w:rFonts w:ascii="Times New Roman" w:hAnsi="Times New Roman" w:cs="Times New Roman"/>
          <w:sz w:val="20"/>
          <w:szCs w:val="20"/>
        </w:rPr>
      </w:pPr>
    </w:p>
    <w:p w:rsidR="00591C5E" w:rsidRPr="00CF01FB" w:rsidRDefault="0004712D"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Tools</w:t>
      </w:r>
      <w:r w:rsidR="00CB287B" w:rsidRPr="00CF01FB">
        <w:rPr>
          <w:rFonts w:ascii="Times New Roman" w:hAnsi="Times New Roman" w:cs="Times New Roman"/>
          <w:sz w:val="20"/>
          <w:szCs w:val="20"/>
        </w:rPr>
        <w:t xml:space="preserve">: </w:t>
      </w:r>
      <w:r w:rsidR="00755DB6" w:rsidRPr="00CF01FB">
        <w:rPr>
          <w:rFonts w:ascii="Times New Roman" w:hAnsi="Times New Roman" w:cs="Times New Roman"/>
          <w:sz w:val="20"/>
          <w:szCs w:val="20"/>
        </w:rPr>
        <w:t xml:space="preserve">A self-constructed information block has been </w:t>
      </w:r>
      <w:r w:rsidR="00591C5E" w:rsidRPr="00CF01FB">
        <w:rPr>
          <w:rFonts w:ascii="Times New Roman" w:hAnsi="Times New Roman" w:cs="Times New Roman"/>
          <w:sz w:val="20"/>
          <w:szCs w:val="20"/>
        </w:rPr>
        <w:t xml:space="preserve">prepared by </w:t>
      </w:r>
      <w:r w:rsidR="00D34069" w:rsidRPr="00CF01FB">
        <w:rPr>
          <w:rFonts w:ascii="Times New Roman" w:hAnsi="Times New Roman" w:cs="Times New Roman"/>
          <w:sz w:val="20"/>
          <w:szCs w:val="20"/>
        </w:rPr>
        <w:t>the in</w:t>
      </w:r>
      <w:r w:rsidR="00591C5E" w:rsidRPr="00CF01FB">
        <w:rPr>
          <w:rFonts w:ascii="Times New Roman" w:hAnsi="Times New Roman" w:cs="Times New Roman"/>
          <w:sz w:val="20"/>
          <w:szCs w:val="20"/>
        </w:rPr>
        <w:t xml:space="preserve"> order to assess the enrollment, infrastructure and qualification of teachers in education zone Anantnag. Personal</w:t>
      </w:r>
      <w:r w:rsidR="008D4D5E" w:rsidRPr="00CF01FB">
        <w:rPr>
          <w:rFonts w:ascii="Times New Roman" w:hAnsi="Times New Roman" w:cs="Times New Roman"/>
          <w:sz w:val="20"/>
          <w:szCs w:val="20"/>
        </w:rPr>
        <w:t xml:space="preserve"> visits to all higher secondary schools of zone Anantnag and detailed discussions with the teachers and principals </w:t>
      </w:r>
      <w:r w:rsidR="00591C5E" w:rsidRPr="00CF01FB">
        <w:rPr>
          <w:rFonts w:ascii="Times New Roman" w:hAnsi="Times New Roman" w:cs="Times New Roman"/>
          <w:sz w:val="20"/>
          <w:szCs w:val="20"/>
        </w:rPr>
        <w:t>were cond</w:t>
      </w:r>
      <w:r w:rsidR="008D4D5E" w:rsidRPr="00CF01FB">
        <w:rPr>
          <w:rFonts w:ascii="Times New Roman" w:hAnsi="Times New Roman" w:cs="Times New Roman"/>
          <w:sz w:val="20"/>
          <w:szCs w:val="20"/>
        </w:rPr>
        <w:t>ucted</w:t>
      </w:r>
      <w:r w:rsidR="00591C5E" w:rsidRPr="00CF01FB">
        <w:rPr>
          <w:rFonts w:ascii="Times New Roman" w:hAnsi="Times New Roman" w:cs="Times New Roman"/>
          <w:sz w:val="20"/>
          <w:szCs w:val="20"/>
        </w:rPr>
        <w:t xml:space="preserve"> so as to collect information regarding the enrollment, infrastructure &amp; qualification of teachers.</w:t>
      </w:r>
    </w:p>
    <w:p w:rsidR="006A1321" w:rsidRPr="00CF01FB" w:rsidRDefault="00CB4E2E" w:rsidP="00CF01FB">
      <w:pPr>
        <w:snapToGrid w:val="0"/>
        <w:spacing w:after="0" w:line="240" w:lineRule="auto"/>
        <w:jc w:val="both"/>
        <w:rPr>
          <w:rFonts w:ascii="Times New Roman" w:hAnsi="Times New Roman" w:cs="Times New Roman"/>
          <w:sz w:val="20"/>
          <w:szCs w:val="20"/>
        </w:rPr>
      </w:pPr>
      <w:r w:rsidRPr="00CF01FB">
        <w:rPr>
          <w:rFonts w:ascii="Times New Roman" w:hAnsi="Times New Roman" w:cs="Times New Roman"/>
          <w:b/>
          <w:sz w:val="20"/>
          <w:szCs w:val="20"/>
        </w:rPr>
        <w:t>Procedure</w:t>
      </w:r>
      <w:r w:rsidR="00F86DE3" w:rsidRPr="00CF01FB">
        <w:rPr>
          <w:rFonts w:ascii="Times New Roman" w:hAnsi="Times New Roman" w:cs="Times New Roman"/>
          <w:sz w:val="20"/>
          <w:szCs w:val="20"/>
        </w:rPr>
        <w:t xml:space="preserve">: </w:t>
      </w:r>
      <w:r w:rsidR="007B0D43" w:rsidRPr="00CF01FB">
        <w:rPr>
          <w:rFonts w:ascii="Times New Roman" w:hAnsi="Times New Roman" w:cs="Times New Roman"/>
          <w:sz w:val="20"/>
          <w:szCs w:val="20"/>
        </w:rPr>
        <w:t>A</w:t>
      </w:r>
      <w:r w:rsidR="002D3032" w:rsidRPr="00CF01FB">
        <w:rPr>
          <w:rFonts w:ascii="Times New Roman" w:hAnsi="Times New Roman" w:cs="Times New Roman"/>
          <w:sz w:val="20"/>
          <w:szCs w:val="20"/>
        </w:rPr>
        <w:t>n</w:t>
      </w:r>
      <w:r w:rsidR="007B0D43" w:rsidRPr="00CF01FB">
        <w:rPr>
          <w:rFonts w:ascii="Times New Roman" w:hAnsi="Times New Roman" w:cs="Times New Roman"/>
          <w:sz w:val="20"/>
          <w:szCs w:val="20"/>
        </w:rPr>
        <w:t xml:space="preserve"> information schedule was administrated</w:t>
      </w:r>
      <w:r w:rsidR="002D3032" w:rsidRPr="00CF01FB">
        <w:rPr>
          <w:rFonts w:ascii="Times New Roman" w:hAnsi="Times New Roman" w:cs="Times New Roman"/>
          <w:sz w:val="20"/>
          <w:szCs w:val="20"/>
        </w:rPr>
        <w:t xml:space="preserve"> t</w:t>
      </w:r>
      <w:r w:rsidR="007B0D43" w:rsidRPr="00CF01FB">
        <w:rPr>
          <w:rFonts w:ascii="Times New Roman" w:hAnsi="Times New Roman" w:cs="Times New Roman"/>
          <w:sz w:val="20"/>
          <w:szCs w:val="20"/>
        </w:rPr>
        <w:t>o the sample subject in order t</w:t>
      </w:r>
      <w:r w:rsidR="002D3032" w:rsidRPr="00CF01FB">
        <w:rPr>
          <w:rFonts w:ascii="Times New Roman" w:hAnsi="Times New Roman" w:cs="Times New Roman"/>
          <w:sz w:val="20"/>
          <w:szCs w:val="20"/>
        </w:rPr>
        <w:t xml:space="preserve">o find their enrollment. Further the information blank was developed and administrated by the investigator to survey the number of higher secondary schools existing in education zone Anantnag and collect information with regard to school going children between </w:t>
      </w:r>
      <w:r w:rsidR="007B0D43" w:rsidRPr="00CF01FB">
        <w:rPr>
          <w:rFonts w:ascii="Times New Roman" w:hAnsi="Times New Roman" w:cs="Times New Roman"/>
          <w:sz w:val="20"/>
          <w:szCs w:val="20"/>
        </w:rPr>
        <w:t>the age</w:t>
      </w:r>
      <w:r w:rsidR="002D3032" w:rsidRPr="00CF01FB">
        <w:rPr>
          <w:rFonts w:ascii="Times New Roman" w:hAnsi="Times New Roman" w:cs="Times New Roman"/>
          <w:sz w:val="20"/>
          <w:szCs w:val="20"/>
        </w:rPr>
        <w:t xml:space="preserve"> of 17-19 years.</w:t>
      </w:r>
    </w:p>
    <w:p w:rsidR="00CF01FB" w:rsidRDefault="00D34069" w:rsidP="00CF01FB">
      <w:pPr>
        <w:snapToGrid w:val="0"/>
        <w:spacing w:after="0" w:line="240" w:lineRule="auto"/>
        <w:jc w:val="both"/>
        <w:rPr>
          <w:rFonts w:ascii="Times New Roman" w:hAnsi="Times New Roman" w:cs="Times New Roman"/>
          <w:sz w:val="20"/>
          <w:szCs w:val="20"/>
          <w:lang w:eastAsia="zh-CN"/>
        </w:rPr>
      </w:pPr>
      <w:r w:rsidRPr="00CF01FB">
        <w:rPr>
          <w:rFonts w:ascii="Times New Roman" w:hAnsi="Times New Roman" w:cs="Times New Roman"/>
          <w:b/>
          <w:sz w:val="20"/>
          <w:szCs w:val="20"/>
        </w:rPr>
        <w:t>Sta</w:t>
      </w:r>
      <w:r w:rsidR="00D453A0" w:rsidRPr="00CF01FB">
        <w:rPr>
          <w:rFonts w:ascii="Times New Roman" w:hAnsi="Times New Roman" w:cs="Times New Roman"/>
          <w:b/>
          <w:sz w:val="20"/>
          <w:szCs w:val="20"/>
        </w:rPr>
        <w:t>ti</w:t>
      </w:r>
      <w:r w:rsidRPr="00CF01FB">
        <w:rPr>
          <w:rFonts w:ascii="Times New Roman" w:hAnsi="Times New Roman" w:cs="Times New Roman"/>
          <w:b/>
          <w:sz w:val="20"/>
          <w:szCs w:val="20"/>
        </w:rPr>
        <w:t>stical Analysis:</w:t>
      </w:r>
      <w:r w:rsidR="00F3480A" w:rsidRPr="00CF01FB">
        <w:rPr>
          <w:rFonts w:ascii="Times New Roman" w:hAnsi="Times New Roman" w:cs="Times New Roman"/>
          <w:sz w:val="20"/>
          <w:szCs w:val="20"/>
        </w:rPr>
        <w:t xml:space="preserve"> </w:t>
      </w:r>
    </w:p>
    <w:p w:rsidR="00CF01FB" w:rsidRPr="00CF01FB" w:rsidRDefault="00CF01FB" w:rsidP="00CF01FB">
      <w:pPr>
        <w:snapToGrid w:val="0"/>
        <w:spacing w:after="0" w:line="240" w:lineRule="auto"/>
        <w:jc w:val="both"/>
        <w:rPr>
          <w:rFonts w:ascii="Times New Roman" w:hAnsi="Times New Roman" w:cs="Times New Roman"/>
          <w:sz w:val="20"/>
          <w:szCs w:val="20"/>
          <w:lang w:eastAsia="zh-CN"/>
        </w:rPr>
      </w:pPr>
    </w:p>
    <w:p w:rsidR="006C40EC" w:rsidRPr="00CF01FB" w:rsidRDefault="00510246"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 xml:space="preserve">Table 1: </w:t>
      </w:r>
      <w:r w:rsidR="006C40EC" w:rsidRPr="00CF01FB">
        <w:rPr>
          <w:rFonts w:ascii="Times New Roman" w:hAnsi="Times New Roman" w:cs="Times New Roman"/>
          <w:b/>
          <w:sz w:val="20"/>
          <w:szCs w:val="20"/>
        </w:rPr>
        <w:t>Showing the total number and percentage of govt. and private Higher Secondary Schools of education zone Anantnag.</w:t>
      </w:r>
    </w:p>
    <w:tbl>
      <w:tblPr>
        <w:tblStyle w:val="TableGrid"/>
        <w:tblW w:w="0" w:type="auto"/>
        <w:jc w:val="center"/>
        <w:tblLook w:val="04A0"/>
      </w:tblPr>
      <w:tblGrid>
        <w:gridCol w:w="1570"/>
        <w:gridCol w:w="1450"/>
        <w:gridCol w:w="1517"/>
      </w:tblGrid>
      <w:tr w:rsidR="0017707B" w:rsidRPr="00CF01FB" w:rsidTr="00CF01FB">
        <w:trPr>
          <w:jc w:val="center"/>
        </w:trPr>
        <w:tc>
          <w:tcPr>
            <w:tcW w:w="0" w:type="auto"/>
            <w:vAlign w:val="center"/>
          </w:tcPr>
          <w:p w:rsidR="0017707B" w:rsidRPr="00CF01FB" w:rsidRDefault="000837D1"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N</w:t>
            </w:r>
            <w:r w:rsidR="0017707B" w:rsidRPr="00CF01FB">
              <w:rPr>
                <w:rFonts w:ascii="Times New Roman" w:hAnsi="Times New Roman" w:cs="Times New Roman"/>
                <w:b/>
                <w:color w:val="000000"/>
                <w:sz w:val="20"/>
                <w:szCs w:val="20"/>
              </w:rPr>
              <w:t>umber of HSS</w:t>
            </w:r>
          </w:p>
        </w:tc>
        <w:tc>
          <w:tcPr>
            <w:tcW w:w="0" w:type="auto"/>
            <w:vAlign w:val="center"/>
          </w:tcPr>
          <w:p w:rsidR="0017707B" w:rsidRPr="00CF01FB" w:rsidRDefault="000837D1"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Number of G</w:t>
            </w:r>
            <w:r w:rsidR="0017707B" w:rsidRPr="00CF01FB">
              <w:rPr>
                <w:rFonts w:ascii="Times New Roman" w:hAnsi="Times New Roman" w:cs="Times New Roman"/>
                <w:b/>
                <w:color w:val="000000"/>
                <w:sz w:val="20"/>
                <w:szCs w:val="20"/>
              </w:rPr>
              <w:t>ovt</w:t>
            </w:r>
            <w:r w:rsidRPr="00CF01FB">
              <w:rPr>
                <w:rFonts w:ascii="Times New Roman" w:hAnsi="Times New Roman" w:cs="Times New Roman"/>
                <w:b/>
                <w:color w:val="000000"/>
                <w:sz w:val="20"/>
                <w:szCs w:val="20"/>
              </w:rPr>
              <w:t>.</w:t>
            </w:r>
            <w:r w:rsidR="0017707B" w:rsidRPr="00CF01FB">
              <w:rPr>
                <w:rFonts w:ascii="Times New Roman" w:hAnsi="Times New Roman" w:cs="Times New Roman"/>
                <w:b/>
                <w:color w:val="000000"/>
                <w:sz w:val="20"/>
                <w:szCs w:val="20"/>
              </w:rPr>
              <w:t xml:space="preserve"> HSS</w:t>
            </w:r>
          </w:p>
        </w:tc>
        <w:tc>
          <w:tcPr>
            <w:tcW w:w="0" w:type="auto"/>
            <w:vAlign w:val="center"/>
          </w:tcPr>
          <w:p w:rsidR="0017707B" w:rsidRPr="00CF01FB" w:rsidRDefault="000837D1"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Number of P</w:t>
            </w:r>
            <w:r w:rsidR="0017707B" w:rsidRPr="00CF01FB">
              <w:rPr>
                <w:rFonts w:ascii="Times New Roman" w:hAnsi="Times New Roman" w:cs="Times New Roman"/>
                <w:b/>
                <w:color w:val="000000"/>
                <w:sz w:val="20"/>
                <w:szCs w:val="20"/>
              </w:rPr>
              <w:t>rivate HSS</w:t>
            </w:r>
          </w:p>
        </w:tc>
      </w:tr>
      <w:tr w:rsidR="0017707B" w:rsidRPr="00CF01FB" w:rsidTr="00CF01FB">
        <w:trPr>
          <w:jc w:val="center"/>
        </w:trPr>
        <w:tc>
          <w:tcPr>
            <w:tcW w:w="0" w:type="auto"/>
            <w:vAlign w:val="center"/>
          </w:tcPr>
          <w:p w:rsidR="0017707B" w:rsidRPr="00CF01FB" w:rsidRDefault="0017707B"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08</w:t>
            </w:r>
          </w:p>
        </w:tc>
        <w:tc>
          <w:tcPr>
            <w:tcW w:w="0" w:type="auto"/>
            <w:vAlign w:val="center"/>
          </w:tcPr>
          <w:p w:rsidR="0017707B" w:rsidRPr="00CF01FB" w:rsidRDefault="0017707B"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04</w:t>
            </w:r>
          </w:p>
        </w:tc>
        <w:tc>
          <w:tcPr>
            <w:tcW w:w="0" w:type="auto"/>
            <w:vAlign w:val="center"/>
          </w:tcPr>
          <w:p w:rsidR="0017707B" w:rsidRPr="00CF01FB" w:rsidRDefault="0017707B"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04</w:t>
            </w:r>
          </w:p>
        </w:tc>
      </w:tr>
      <w:tr w:rsidR="0017707B" w:rsidRPr="00CF01FB" w:rsidTr="00CF01FB">
        <w:trPr>
          <w:jc w:val="center"/>
        </w:trPr>
        <w:tc>
          <w:tcPr>
            <w:tcW w:w="0" w:type="auto"/>
            <w:shd w:val="clear" w:color="auto" w:fill="F2F2F2" w:themeFill="background1" w:themeFillShade="F2"/>
            <w:vAlign w:val="center"/>
          </w:tcPr>
          <w:p w:rsidR="0017707B" w:rsidRPr="00CF01FB" w:rsidRDefault="00A80777"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P</w:t>
            </w:r>
            <w:r w:rsidR="0017707B" w:rsidRPr="00CF01FB">
              <w:rPr>
                <w:rFonts w:ascii="Times New Roman" w:hAnsi="Times New Roman" w:cs="Times New Roman"/>
                <w:b/>
                <w:color w:val="000000"/>
                <w:sz w:val="20"/>
                <w:szCs w:val="20"/>
              </w:rPr>
              <w:t>ercentage</w:t>
            </w:r>
          </w:p>
        </w:tc>
        <w:tc>
          <w:tcPr>
            <w:tcW w:w="0" w:type="auto"/>
            <w:shd w:val="clear" w:color="auto" w:fill="F2F2F2" w:themeFill="background1" w:themeFillShade="F2"/>
            <w:vAlign w:val="center"/>
          </w:tcPr>
          <w:p w:rsidR="0017707B" w:rsidRPr="00CF01FB" w:rsidRDefault="0017707B"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50%</w:t>
            </w:r>
          </w:p>
        </w:tc>
        <w:tc>
          <w:tcPr>
            <w:tcW w:w="0" w:type="auto"/>
            <w:shd w:val="clear" w:color="auto" w:fill="F2F2F2" w:themeFill="background1" w:themeFillShade="F2"/>
            <w:vAlign w:val="center"/>
          </w:tcPr>
          <w:p w:rsidR="0017707B" w:rsidRPr="00CF01FB" w:rsidRDefault="0017707B"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50%</w:t>
            </w:r>
          </w:p>
        </w:tc>
      </w:tr>
    </w:tbl>
    <w:p w:rsidR="002B541B" w:rsidRDefault="002B541B" w:rsidP="00CF01F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CF01FB" w:rsidRDefault="00CF01FB" w:rsidP="00CF01FB">
      <w:pPr>
        <w:snapToGrid w:val="0"/>
        <w:spacing w:after="0" w:line="240" w:lineRule="auto"/>
        <w:ind w:firstLine="425"/>
        <w:jc w:val="both"/>
        <w:rPr>
          <w:rFonts w:ascii="Times New Roman" w:hAnsi="Times New Roman" w:cs="Times New Roman"/>
          <w:sz w:val="20"/>
          <w:szCs w:val="20"/>
          <w:lang w:eastAsia="zh-CN"/>
        </w:rPr>
      </w:pPr>
      <w:r w:rsidRPr="00CF01FB">
        <w:rPr>
          <w:rFonts w:ascii="Times New Roman" w:hAnsi="Times New Roman" w:cs="Times New Roman"/>
          <w:sz w:val="20"/>
          <w:szCs w:val="20"/>
        </w:rPr>
        <w:t xml:space="preserve">The data has been analyzed by applying percentage statistics. The data has been tabulated and </w:t>
      </w:r>
      <w:r w:rsidRPr="00CF01FB">
        <w:rPr>
          <w:rFonts w:ascii="Times New Roman" w:hAnsi="Times New Roman" w:cs="Times New Roman"/>
          <w:sz w:val="20"/>
          <w:szCs w:val="20"/>
        </w:rPr>
        <w:lastRenderedPageBreak/>
        <w:t>inferences have been drawn from the analysis of data. Simple statistical tools like mean and percentage statistics were used to analyze the data.</w:t>
      </w:r>
    </w:p>
    <w:p w:rsidR="00224108" w:rsidRPr="00CF01FB" w:rsidRDefault="006D2FF4"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The above table shows that there are only eight higher secondary schools in education zone Anantnag. Out of these eight higher secondary schools 50% are Govt. and 50% are Private Institutions.</w:t>
      </w:r>
    </w:p>
    <w:p w:rsidR="002B541B" w:rsidRPr="00CF01FB" w:rsidRDefault="002B541B" w:rsidP="00CF01FB">
      <w:pPr>
        <w:autoSpaceDE w:val="0"/>
        <w:autoSpaceDN w:val="0"/>
        <w:adjustRightInd w:val="0"/>
        <w:snapToGrid w:val="0"/>
        <w:spacing w:after="0" w:line="240" w:lineRule="auto"/>
        <w:jc w:val="center"/>
        <w:rPr>
          <w:rFonts w:ascii="Times New Roman" w:hAnsi="Times New Roman" w:cs="Times New Roman"/>
          <w:sz w:val="20"/>
          <w:szCs w:val="20"/>
        </w:rPr>
      </w:pPr>
    </w:p>
    <w:p w:rsidR="006C40EC" w:rsidRPr="00CF01FB" w:rsidRDefault="007B5247"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Table 2:</w:t>
      </w:r>
      <w:r w:rsidR="006A1321" w:rsidRPr="00CF01FB">
        <w:rPr>
          <w:rFonts w:ascii="Times New Roman" w:hAnsi="Times New Roman" w:cs="Times New Roman"/>
          <w:b/>
          <w:sz w:val="20"/>
          <w:szCs w:val="20"/>
        </w:rPr>
        <w:t xml:space="preserve"> </w:t>
      </w:r>
      <w:r w:rsidR="00B92306" w:rsidRPr="00CF01FB">
        <w:rPr>
          <w:rFonts w:ascii="Times New Roman" w:hAnsi="Times New Roman" w:cs="Times New Roman"/>
          <w:b/>
          <w:sz w:val="20"/>
          <w:szCs w:val="20"/>
        </w:rPr>
        <w:t>Showing the number and percentage of children of age group 17-19</w:t>
      </w:r>
      <w:r w:rsidR="005815A5" w:rsidRPr="00CF01FB">
        <w:rPr>
          <w:rFonts w:ascii="Times New Roman" w:hAnsi="Times New Roman" w:cs="Times New Roman"/>
          <w:b/>
          <w:sz w:val="20"/>
          <w:szCs w:val="20"/>
        </w:rPr>
        <w:t xml:space="preserve"> in higher secondary schools in</w:t>
      </w:r>
      <w:r w:rsidR="00092DCE" w:rsidRPr="00CF01FB">
        <w:rPr>
          <w:rFonts w:ascii="Times New Roman" w:hAnsi="Times New Roman" w:cs="Times New Roman"/>
          <w:b/>
          <w:sz w:val="20"/>
          <w:szCs w:val="20"/>
        </w:rPr>
        <w:t xml:space="preserve"> education zone Anantnag.</w:t>
      </w:r>
    </w:p>
    <w:tbl>
      <w:tblPr>
        <w:tblStyle w:val="TableGrid"/>
        <w:tblW w:w="0" w:type="auto"/>
        <w:jc w:val="center"/>
        <w:tblLook w:val="04A0"/>
      </w:tblPr>
      <w:tblGrid>
        <w:gridCol w:w="2933"/>
        <w:gridCol w:w="627"/>
        <w:gridCol w:w="805"/>
      </w:tblGrid>
      <w:tr w:rsidR="00731114" w:rsidRPr="00CF01FB" w:rsidTr="00CF01FB">
        <w:trPr>
          <w:jc w:val="center"/>
        </w:trPr>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Total Number of Children in HSS</w:t>
            </w:r>
          </w:p>
        </w:tc>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Male</w:t>
            </w:r>
          </w:p>
        </w:tc>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Female</w:t>
            </w:r>
          </w:p>
        </w:tc>
      </w:tr>
      <w:tr w:rsidR="00731114" w:rsidRPr="00CF01FB" w:rsidTr="00CF01FB">
        <w:trPr>
          <w:jc w:val="center"/>
        </w:trPr>
        <w:tc>
          <w:tcPr>
            <w:tcW w:w="0" w:type="auto"/>
            <w:shd w:val="clear" w:color="auto" w:fill="F2F2F2" w:themeFill="background1" w:themeFillShade="F2"/>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6113</w:t>
            </w:r>
          </w:p>
        </w:tc>
        <w:tc>
          <w:tcPr>
            <w:tcW w:w="0" w:type="auto"/>
            <w:shd w:val="clear" w:color="auto" w:fill="F2F2F2" w:themeFill="background1" w:themeFillShade="F2"/>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3161</w:t>
            </w:r>
          </w:p>
        </w:tc>
        <w:tc>
          <w:tcPr>
            <w:tcW w:w="0" w:type="auto"/>
            <w:shd w:val="clear" w:color="auto" w:fill="F2F2F2" w:themeFill="background1" w:themeFillShade="F2"/>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2952</w:t>
            </w:r>
          </w:p>
        </w:tc>
      </w:tr>
      <w:tr w:rsidR="00731114" w:rsidRPr="00CF01FB" w:rsidTr="00CF01FB">
        <w:trPr>
          <w:jc w:val="center"/>
        </w:trPr>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Percentage</w:t>
            </w:r>
          </w:p>
        </w:tc>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52%</w:t>
            </w:r>
          </w:p>
        </w:tc>
        <w:tc>
          <w:tcPr>
            <w:tcW w:w="0" w:type="auto"/>
            <w:vAlign w:val="center"/>
          </w:tcPr>
          <w:p w:rsidR="00731114" w:rsidRPr="00CF01FB" w:rsidRDefault="00731114"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48%</w:t>
            </w:r>
          </w:p>
        </w:tc>
      </w:tr>
    </w:tbl>
    <w:p w:rsidR="00736E8D" w:rsidRPr="00CF01FB" w:rsidRDefault="00736E8D"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C40EC" w:rsidRPr="00CF01FB" w:rsidRDefault="006D2FF4"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The above table reflects that there are six thousand one hundred and thirteen students enrolled in eight higher secondary schools of district Anantnag. </w:t>
      </w:r>
      <w:r w:rsidR="00A84B73" w:rsidRPr="00CF01FB">
        <w:rPr>
          <w:rFonts w:ascii="Times New Roman" w:hAnsi="Times New Roman" w:cs="Times New Roman"/>
          <w:sz w:val="20"/>
          <w:szCs w:val="20"/>
        </w:rPr>
        <w:t>Out</w:t>
      </w:r>
      <w:r w:rsidRPr="00CF01FB">
        <w:rPr>
          <w:rFonts w:ascii="Times New Roman" w:hAnsi="Times New Roman" w:cs="Times New Roman"/>
          <w:sz w:val="20"/>
          <w:szCs w:val="20"/>
        </w:rPr>
        <w:t xml:space="preserve"> of these three thousand one hundred sixty one are male students and two thousand nine hundred fifty two are female students. The perce</w:t>
      </w:r>
      <w:r w:rsidR="00A84B73" w:rsidRPr="00CF01FB">
        <w:rPr>
          <w:rFonts w:ascii="Times New Roman" w:hAnsi="Times New Roman" w:cs="Times New Roman"/>
          <w:sz w:val="20"/>
          <w:szCs w:val="20"/>
        </w:rPr>
        <w:t xml:space="preserve">ntage of male students is 52 % </w:t>
      </w:r>
      <w:r w:rsidRPr="00CF01FB">
        <w:rPr>
          <w:rFonts w:ascii="Times New Roman" w:hAnsi="Times New Roman" w:cs="Times New Roman"/>
          <w:sz w:val="20"/>
          <w:szCs w:val="20"/>
        </w:rPr>
        <w:t xml:space="preserve">and </w:t>
      </w:r>
      <w:r w:rsidR="00A84B73" w:rsidRPr="00CF01FB">
        <w:rPr>
          <w:rFonts w:ascii="Times New Roman" w:hAnsi="Times New Roman" w:cs="Times New Roman"/>
          <w:sz w:val="20"/>
          <w:szCs w:val="20"/>
        </w:rPr>
        <w:t>that of female students is 48%.</w:t>
      </w:r>
    </w:p>
    <w:p w:rsidR="00FE7883" w:rsidRPr="00CF01FB" w:rsidRDefault="00FE7883" w:rsidP="00CF01FB">
      <w:pPr>
        <w:autoSpaceDE w:val="0"/>
        <w:autoSpaceDN w:val="0"/>
        <w:adjustRightInd w:val="0"/>
        <w:snapToGrid w:val="0"/>
        <w:spacing w:after="0" w:line="240" w:lineRule="auto"/>
        <w:jc w:val="center"/>
        <w:rPr>
          <w:rFonts w:ascii="Times New Roman" w:hAnsi="Times New Roman" w:cs="Times New Roman"/>
          <w:sz w:val="20"/>
          <w:szCs w:val="20"/>
        </w:rPr>
      </w:pPr>
    </w:p>
    <w:p w:rsidR="00863408" w:rsidRPr="00CF01FB" w:rsidRDefault="00C160B9"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Table 3:</w:t>
      </w:r>
      <w:r w:rsidR="006A1321" w:rsidRPr="00CF01FB">
        <w:rPr>
          <w:rFonts w:ascii="Times New Roman" w:hAnsi="Times New Roman" w:cs="Times New Roman"/>
          <w:b/>
          <w:sz w:val="20"/>
          <w:szCs w:val="20"/>
        </w:rPr>
        <w:t xml:space="preserve"> </w:t>
      </w:r>
      <w:r w:rsidR="005815A5" w:rsidRPr="00CF01FB">
        <w:rPr>
          <w:rFonts w:ascii="Times New Roman" w:hAnsi="Times New Roman" w:cs="Times New Roman"/>
          <w:b/>
          <w:sz w:val="20"/>
          <w:szCs w:val="20"/>
        </w:rPr>
        <w:t>Showing the</w:t>
      </w:r>
      <w:r w:rsidR="00B871C1" w:rsidRPr="00CF01FB">
        <w:rPr>
          <w:rFonts w:ascii="Times New Roman" w:hAnsi="Times New Roman" w:cs="Times New Roman"/>
          <w:b/>
          <w:sz w:val="20"/>
          <w:szCs w:val="20"/>
        </w:rPr>
        <w:t xml:space="preserve"> number</w:t>
      </w:r>
      <w:r w:rsidR="005815A5" w:rsidRPr="00CF01FB">
        <w:rPr>
          <w:rFonts w:ascii="Times New Roman" w:hAnsi="Times New Roman" w:cs="Times New Roman"/>
          <w:b/>
          <w:sz w:val="20"/>
          <w:szCs w:val="20"/>
        </w:rPr>
        <w:t xml:space="preserve"> of the higher secondary schools existing</w:t>
      </w:r>
      <w:r w:rsidR="002F24BA" w:rsidRPr="00CF01FB">
        <w:rPr>
          <w:rFonts w:ascii="Times New Roman" w:hAnsi="Times New Roman" w:cs="Times New Roman"/>
          <w:b/>
          <w:sz w:val="20"/>
          <w:szCs w:val="20"/>
        </w:rPr>
        <w:t xml:space="preserve"> in education zone Anantn</w:t>
      </w:r>
      <w:r w:rsidR="00092DCE" w:rsidRPr="00CF01FB">
        <w:rPr>
          <w:rFonts w:ascii="Times New Roman" w:hAnsi="Times New Roman" w:cs="Times New Roman"/>
          <w:b/>
          <w:sz w:val="20"/>
          <w:szCs w:val="20"/>
        </w:rPr>
        <w:t>ag in terms of position of school Building</w:t>
      </w:r>
      <w:r w:rsidR="00863408" w:rsidRPr="00CF01FB">
        <w:rPr>
          <w:rFonts w:ascii="Times New Roman" w:hAnsi="Times New Roman" w:cs="Times New Roman"/>
          <w:b/>
          <w:sz w:val="20"/>
          <w:szCs w:val="20"/>
        </w:rPr>
        <w:t>.</w:t>
      </w:r>
    </w:p>
    <w:tbl>
      <w:tblPr>
        <w:tblStyle w:val="TableGrid"/>
        <w:tblW w:w="5000" w:type="pct"/>
        <w:jc w:val="center"/>
        <w:tblLook w:val="04A0"/>
      </w:tblPr>
      <w:tblGrid>
        <w:gridCol w:w="2187"/>
        <w:gridCol w:w="807"/>
        <w:gridCol w:w="748"/>
        <w:gridCol w:w="795"/>
      </w:tblGrid>
      <w:tr w:rsidR="00FE2CA3" w:rsidRPr="00CF01FB" w:rsidTr="00061F21">
        <w:trPr>
          <w:jc w:val="center"/>
        </w:trPr>
        <w:tc>
          <w:tcPr>
            <w:tcW w:w="2411" w:type="pct"/>
            <w:vMerge w:val="restart"/>
            <w:tcBorders>
              <w:bottom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number of  HSS</w:t>
            </w:r>
          </w:p>
        </w:tc>
        <w:tc>
          <w:tcPr>
            <w:tcW w:w="2589" w:type="pct"/>
            <w:gridSpan w:val="3"/>
            <w:tcBorders>
              <w:bottom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Type of school building</w:t>
            </w:r>
          </w:p>
        </w:tc>
      </w:tr>
      <w:tr w:rsidR="00FE2CA3" w:rsidRPr="00CF01FB" w:rsidTr="00061F21">
        <w:trPr>
          <w:jc w:val="center"/>
        </w:trPr>
        <w:tc>
          <w:tcPr>
            <w:tcW w:w="2411" w:type="pct"/>
            <w:vMerge/>
            <w:tcBorders>
              <w:top w:val="single" w:sz="4" w:space="0" w:color="000000" w:themeColor="text1"/>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p>
        </w:tc>
        <w:tc>
          <w:tcPr>
            <w:tcW w:w="889"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Kacha</w:t>
            </w:r>
          </w:p>
        </w:tc>
        <w:tc>
          <w:tcPr>
            <w:tcW w:w="824"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Pacca</w:t>
            </w:r>
          </w:p>
        </w:tc>
        <w:tc>
          <w:tcPr>
            <w:tcW w:w="876" w:type="pct"/>
            <w:tcBorders>
              <w:top w:val="single" w:sz="4" w:space="0" w:color="000000" w:themeColor="text1"/>
              <w:left w:val="single" w:sz="4" w:space="0" w:color="000000" w:themeColor="text1"/>
            </w:tcBorders>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Mixed</w:t>
            </w:r>
          </w:p>
        </w:tc>
      </w:tr>
      <w:tr w:rsidR="00FE7883" w:rsidRPr="00CF01FB" w:rsidTr="00061F21">
        <w:trPr>
          <w:jc w:val="center"/>
        </w:trPr>
        <w:tc>
          <w:tcPr>
            <w:tcW w:w="2411" w:type="pct"/>
            <w:tcBorders>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08</w:t>
            </w:r>
          </w:p>
        </w:tc>
        <w:tc>
          <w:tcPr>
            <w:tcW w:w="889" w:type="pct"/>
            <w:tcBorders>
              <w:left w:val="single" w:sz="4" w:space="0" w:color="000000" w:themeColor="text1"/>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Nil</w:t>
            </w:r>
          </w:p>
        </w:tc>
        <w:tc>
          <w:tcPr>
            <w:tcW w:w="824" w:type="pct"/>
            <w:tcBorders>
              <w:left w:val="single" w:sz="4" w:space="0" w:color="000000" w:themeColor="text1"/>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08</w:t>
            </w:r>
          </w:p>
        </w:tc>
        <w:tc>
          <w:tcPr>
            <w:tcW w:w="876" w:type="pct"/>
            <w:tcBorders>
              <w:lef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Nil</w:t>
            </w:r>
          </w:p>
        </w:tc>
      </w:tr>
      <w:tr w:rsidR="00FE7883" w:rsidRPr="00CF01FB" w:rsidTr="00061F21">
        <w:trPr>
          <w:jc w:val="center"/>
        </w:trPr>
        <w:tc>
          <w:tcPr>
            <w:tcW w:w="2411" w:type="pct"/>
            <w:tcBorders>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Percentage</w:t>
            </w:r>
          </w:p>
        </w:tc>
        <w:tc>
          <w:tcPr>
            <w:tcW w:w="889" w:type="pct"/>
            <w:tcBorders>
              <w:left w:val="single" w:sz="4" w:space="0" w:color="000000" w:themeColor="text1"/>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w:t>
            </w:r>
          </w:p>
        </w:tc>
        <w:tc>
          <w:tcPr>
            <w:tcW w:w="824" w:type="pct"/>
            <w:tcBorders>
              <w:left w:val="single" w:sz="4" w:space="0" w:color="000000" w:themeColor="text1"/>
              <w:righ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100%</w:t>
            </w:r>
          </w:p>
        </w:tc>
        <w:tc>
          <w:tcPr>
            <w:tcW w:w="876" w:type="pct"/>
            <w:tcBorders>
              <w:left w:val="single" w:sz="4" w:space="0" w:color="000000" w:themeColor="text1"/>
            </w:tcBorders>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w:t>
            </w:r>
          </w:p>
        </w:tc>
      </w:tr>
    </w:tbl>
    <w:p w:rsidR="002B541B" w:rsidRPr="00CF01FB" w:rsidRDefault="002B541B" w:rsidP="00CF01FB">
      <w:pPr>
        <w:autoSpaceDE w:val="0"/>
        <w:autoSpaceDN w:val="0"/>
        <w:adjustRightInd w:val="0"/>
        <w:snapToGrid w:val="0"/>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1355"/>
        <w:gridCol w:w="1577"/>
        <w:gridCol w:w="1605"/>
      </w:tblGrid>
      <w:tr w:rsidR="00AF5CA8" w:rsidRPr="00CF01FB" w:rsidTr="00CF01FB">
        <w:trPr>
          <w:jc w:val="center"/>
        </w:trPr>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Number of  HSS</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No. of HSS having their own Building</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No. of HSS having their rented building</w:t>
            </w:r>
          </w:p>
        </w:tc>
      </w:tr>
      <w:tr w:rsidR="00AF5CA8" w:rsidRPr="00CF01FB" w:rsidTr="00CF01FB">
        <w:trPr>
          <w:jc w:val="center"/>
        </w:trPr>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08</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08</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Nil</w:t>
            </w:r>
          </w:p>
        </w:tc>
      </w:tr>
      <w:tr w:rsidR="00AF5CA8" w:rsidRPr="00CF01FB" w:rsidTr="00CF01FB">
        <w:trPr>
          <w:jc w:val="center"/>
        </w:trPr>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Percentage</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100%</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Nil</w:t>
            </w:r>
          </w:p>
        </w:tc>
      </w:tr>
    </w:tbl>
    <w:p w:rsidR="00CF01FB" w:rsidRDefault="00CF01FB" w:rsidP="00CF01F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863408" w:rsidRPr="00CF01FB" w:rsidRDefault="00863408"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These tables indicate that all higher secondary schools have their </w:t>
      </w:r>
      <w:r w:rsidR="00B871C1" w:rsidRPr="00CF01FB">
        <w:rPr>
          <w:rFonts w:ascii="Times New Roman" w:hAnsi="Times New Roman" w:cs="Times New Roman"/>
          <w:sz w:val="20"/>
          <w:szCs w:val="20"/>
        </w:rPr>
        <w:t>own buildings</w:t>
      </w:r>
      <w:r w:rsidRPr="00CF01FB">
        <w:rPr>
          <w:rFonts w:ascii="Times New Roman" w:hAnsi="Times New Roman" w:cs="Times New Roman"/>
          <w:sz w:val="20"/>
          <w:szCs w:val="20"/>
        </w:rPr>
        <w:t>. All buildings are of pacca type.</w:t>
      </w:r>
    </w:p>
    <w:p w:rsidR="00FE7883" w:rsidRPr="00CF01FB" w:rsidRDefault="00FE7883" w:rsidP="00CF01FB">
      <w:pPr>
        <w:autoSpaceDE w:val="0"/>
        <w:autoSpaceDN w:val="0"/>
        <w:adjustRightInd w:val="0"/>
        <w:snapToGrid w:val="0"/>
        <w:spacing w:after="0" w:line="240" w:lineRule="auto"/>
        <w:jc w:val="center"/>
        <w:rPr>
          <w:rFonts w:ascii="Times New Roman" w:hAnsi="Times New Roman" w:cs="Times New Roman"/>
          <w:b/>
          <w:sz w:val="20"/>
          <w:szCs w:val="20"/>
        </w:rPr>
      </w:pPr>
    </w:p>
    <w:p w:rsidR="006C40EC" w:rsidRPr="00CF01FB" w:rsidRDefault="00092DCE"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Table 4.</w:t>
      </w:r>
      <w:r w:rsidR="0002691E" w:rsidRPr="00CF01FB">
        <w:rPr>
          <w:rFonts w:ascii="Times New Roman" w:hAnsi="Times New Roman" w:cs="Times New Roman"/>
          <w:b/>
          <w:sz w:val="20"/>
          <w:szCs w:val="20"/>
        </w:rPr>
        <w:t xml:space="preserve"> </w:t>
      </w:r>
      <w:r w:rsidR="00F959B1" w:rsidRPr="00CF01FB">
        <w:rPr>
          <w:rFonts w:ascii="Times New Roman" w:hAnsi="Times New Roman" w:cs="Times New Roman"/>
          <w:b/>
          <w:sz w:val="20"/>
          <w:szCs w:val="20"/>
        </w:rPr>
        <w:t>Showing the number and percentage of t</w:t>
      </w:r>
      <w:r w:rsidR="00DF7979" w:rsidRPr="00CF01FB">
        <w:rPr>
          <w:rFonts w:ascii="Times New Roman" w:hAnsi="Times New Roman" w:cs="Times New Roman"/>
          <w:b/>
          <w:sz w:val="20"/>
          <w:szCs w:val="20"/>
        </w:rPr>
        <w:t>eachers working in Private and Govt. Higher Secondary Schools</w:t>
      </w:r>
      <w:r w:rsidR="00F959B1" w:rsidRPr="00CF01FB">
        <w:rPr>
          <w:rFonts w:ascii="Times New Roman" w:hAnsi="Times New Roman" w:cs="Times New Roman"/>
          <w:b/>
          <w:sz w:val="20"/>
          <w:szCs w:val="20"/>
        </w:rPr>
        <w:t xml:space="preserve"> in education zone Anantnag.</w:t>
      </w:r>
    </w:p>
    <w:tbl>
      <w:tblPr>
        <w:tblStyle w:val="TableGrid"/>
        <w:tblW w:w="0" w:type="auto"/>
        <w:jc w:val="center"/>
        <w:tblLook w:val="04A0"/>
      </w:tblPr>
      <w:tblGrid>
        <w:gridCol w:w="1508"/>
        <w:gridCol w:w="1493"/>
        <w:gridCol w:w="1536"/>
      </w:tblGrid>
      <w:tr w:rsidR="00DF7979" w:rsidRPr="00CF01FB" w:rsidTr="00CF01FB">
        <w:trPr>
          <w:jc w:val="center"/>
        </w:trPr>
        <w:tc>
          <w:tcPr>
            <w:tcW w:w="0" w:type="auto"/>
            <w:vAlign w:val="center"/>
          </w:tcPr>
          <w:p w:rsidR="00DF7979" w:rsidRPr="00CF01FB" w:rsidRDefault="00DF7979"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Total Number of  Teachers</w:t>
            </w:r>
          </w:p>
        </w:tc>
        <w:tc>
          <w:tcPr>
            <w:tcW w:w="0" w:type="auto"/>
            <w:vAlign w:val="center"/>
          </w:tcPr>
          <w:p w:rsidR="00DF7979" w:rsidRPr="00CF01FB" w:rsidRDefault="00DF7979"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No. of Teachers in Govt. HSS</w:t>
            </w:r>
          </w:p>
        </w:tc>
        <w:tc>
          <w:tcPr>
            <w:tcW w:w="0" w:type="auto"/>
            <w:vAlign w:val="center"/>
          </w:tcPr>
          <w:p w:rsidR="00DF7979" w:rsidRPr="00CF01FB" w:rsidRDefault="00DF7979" w:rsidP="00CF01FB">
            <w:pPr>
              <w:autoSpaceDE w:val="0"/>
              <w:autoSpaceDN w:val="0"/>
              <w:adjustRightInd w:val="0"/>
              <w:snapToGrid w:val="0"/>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No. of Teachers in Private HSS</w:t>
            </w:r>
          </w:p>
        </w:tc>
      </w:tr>
      <w:tr w:rsidR="00DF7979" w:rsidRPr="00CF01FB" w:rsidTr="00CF01FB">
        <w:trPr>
          <w:jc w:val="center"/>
        </w:trPr>
        <w:tc>
          <w:tcPr>
            <w:tcW w:w="0" w:type="auto"/>
            <w:vAlign w:val="center"/>
          </w:tcPr>
          <w:p w:rsidR="00DF7979" w:rsidRPr="00CF01FB" w:rsidRDefault="00670F5B"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249</w:t>
            </w:r>
          </w:p>
        </w:tc>
        <w:tc>
          <w:tcPr>
            <w:tcW w:w="0" w:type="auto"/>
            <w:vAlign w:val="center"/>
          </w:tcPr>
          <w:p w:rsidR="00DF7979" w:rsidRPr="00CF01FB" w:rsidRDefault="00220057"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139</w:t>
            </w:r>
          </w:p>
        </w:tc>
        <w:tc>
          <w:tcPr>
            <w:tcW w:w="0" w:type="auto"/>
            <w:vAlign w:val="center"/>
          </w:tcPr>
          <w:p w:rsidR="00DF7979" w:rsidRPr="00CF01FB" w:rsidRDefault="00220057"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110</w:t>
            </w:r>
          </w:p>
        </w:tc>
      </w:tr>
      <w:tr w:rsidR="00DF7979" w:rsidRPr="00CF01FB" w:rsidTr="00CF01FB">
        <w:trPr>
          <w:jc w:val="center"/>
        </w:trPr>
        <w:tc>
          <w:tcPr>
            <w:tcW w:w="0" w:type="auto"/>
            <w:shd w:val="clear" w:color="auto" w:fill="F2F2F2" w:themeFill="background1" w:themeFillShade="F2"/>
            <w:vAlign w:val="center"/>
          </w:tcPr>
          <w:p w:rsidR="00DF7979" w:rsidRPr="00CF01FB" w:rsidRDefault="00670F5B"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P</w:t>
            </w:r>
            <w:r w:rsidR="00DF7979" w:rsidRPr="00CF01FB">
              <w:rPr>
                <w:rFonts w:ascii="Times New Roman" w:hAnsi="Times New Roman" w:cs="Times New Roman"/>
                <w:color w:val="000000"/>
                <w:sz w:val="20"/>
                <w:szCs w:val="20"/>
              </w:rPr>
              <w:t>ercentage</w:t>
            </w:r>
          </w:p>
        </w:tc>
        <w:tc>
          <w:tcPr>
            <w:tcW w:w="0" w:type="auto"/>
            <w:shd w:val="clear" w:color="auto" w:fill="F2F2F2" w:themeFill="background1" w:themeFillShade="F2"/>
            <w:vAlign w:val="center"/>
          </w:tcPr>
          <w:p w:rsidR="00DF7979" w:rsidRPr="00CF01FB" w:rsidRDefault="00220057"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55.82%</w:t>
            </w:r>
          </w:p>
        </w:tc>
        <w:tc>
          <w:tcPr>
            <w:tcW w:w="0" w:type="auto"/>
            <w:shd w:val="clear" w:color="auto" w:fill="F2F2F2" w:themeFill="background1" w:themeFillShade="F2"/>
            <w:vAlign w:val="center"/>
          </w:tcPr>
          <w:p w:rsidR="00DF7979" w:rsidRPr="00CF01FB" w:rsidRDefault="00220057" w:rsidP="00CF01FB">
            <w:pPr>
              <w:autoSpaceDE w:val="0"/>
              <w:autoSpaceDN w:val="0"/>
              <w:adjustRightInd w:val="0"/>
              <w:snapToGrid w:val="0"/>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44.18%</w:t>
            </w:r>
          </w:p>
        </w:tc>
      </w:tr>
    </w:tbl>
    <w:p w:rsidR="00FE7883" w:rsidRPr="00CF01FB" w:rsidRDefault="00FE7883"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C40EC" w:rsidRPr="00CF01FB" w:rsidRDefault="00220057"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 xml:space="preserve">The table shows that 249 teachers working in the higher secondary schools of education zone Anantnag. The table further predicts that 55.82% of </w:t>
      </w:r>
      <w:r w:rsidRPr="00CF01FB">
        <w:rPr>
          <w:rFonts w:ascii="Times New Roman" w:hAnsi="Times New Roman" w:cs="Times New Roman"/>
          <w:sz w:val="20"/>
          <w:szCs w:val="20"/>
        </w:rPr>
        <w:lastRenderedPageBreak/>
        <w:t>teachers are working in Government schools and 44.18% of teachers are working in private schools.</w:t>
      </w:r>
    </w:p>
    <w:p w:rsidR="00FE7883" w:rsidRPr="00CF01FB" w:rsidRDefault="00FE7883" w:rsidP="00CF01FB">
      <w:pPr>
        <w:autoSpaceDE w:val="0"/>
        <w:autoSpaceDN w:val="0"/>
        <w:adjustRightInd w:val="0"/>
        <w:snapToGrid w:val="0"/>
        <w:spacing w:after="0" w:line="240" w:lineRule="auto"/>
        <w:jc w:val="center"/>
        <w:rPr>
          <w:rFonts w:ascii="Times New Roman" w:hAnsi="Times New Roman" w:cs="Times New Roman"/>
          <w:b/>
          <w:sz w:val="20"/>
          <w:szCs w:val="20"/>
        </w:rPr>
      </w:pPr>
    </w:p>
    <w:p w:rsidR="006412C7" w:rsidRPr="00CF01FB" w:rsidRDefault="006412C7"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Table 5</w:t>
      </w:r>
      <w:r w:rsidR="00603408" w:rsidRPr="00CF01FB">
        <w:rPr>
          <w:rFonts w:ascii="Times New Roman" w:hAnsi="Times New Roman" w:cs="Times New Roman"/>
          <w:b/>
          <w:sz w:val="20"/>
          <w:szCs w:val="20"/>
        </w:rPr>
        <w:t>.</w:t>
      </w:r>
      <w:r w:rsidR="00E43D69" w:rsidRPr="00CF01FB">
        <w:rPr>
          <w:rFonts w:ascii="Times New Roman" w:hAnsi="Times New Roman" w:cs="Times New Roman"/>
          <w:b/>
          <w:sz w:val="20"/>
          <w:szCs w:val="20"/>
        </w:rPr>
        <w:t xml:space="preserve"> </w:t>
      </w:r>
      <w:r w:rsidRPr="00CF01FB">
        <w:rPr>
          <w:rFonts w:ascii="Times New Roman" w:hAnsi="Times New Roman" w:cs="Times New Roman"/>
          <w:b/>
          <w:sz w:val="20"/>
          <w:szCs w:val="20"/>
        </w:rPr>
        <w:t>Showing the qualification of teache</w:t>
      </w:r>
      <w:r w:rsidR="00533A2D" w:rsidRPr="00CF01FB">
        <w:rPr>
          <w:rFonts w:ascii="Times New Roman" w:hAnsi="Times New Roman" w:cs="Times New Roman"/>
          <w:b/>
          <w:sz w:val="20"/>
          <w:szCs w:val="20"/>
        </w:rPr>
        <w:t>rs working in education zone Anantnag.</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
        <w:gridCol w:w="976"/>
        <w:gridCol w:w="1156"/>
        <w:gridCol w:w="937"/>
        <w:gridCol w:w="495"/>
      </w:tblGrid>
      <w:tr w:rsidR="006728F0" w:rsidRPr="00CF01FB" w:rsidTr="00CF01FB">
        <w:trPr>
          <w:jc w:val="center"/>
        </w:trPr>
        <w:tc>
          <w:tcPr>
            <w:tcW w:w="0" w:type="auto"/>
            <w:gridSpan w:val="5"/>
            <w:shd w:val="clear" w:color="auto" w:fill="F2F2F2" w:themeFill="background1" w:themeFillShade="F2"/>
            <w:vAlign w:val="center"/>
          </w:tcPr>
          <w:p w:rsidR="006728F0" w:rsidRPr="00CF01FB" w:rsidRDefault="006728F0"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Qualification</w:t>
            </w:r>
          </w:p>
        </w:tc>
      </w:tr>
      <w:tr w:rsidR="00616F77" w:rsidRPr="00CF01FB" w:rsidTr="00CF01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0" w:type="auto"/>
            <w:vAlign w:val="center"/>
          </w:tcPr>
          <w:p w:rsidR="006412C7" w:rsidRPr="00CF01FB" w:rsidRDefault="00D56331"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Total Number of  T</w:t>
            </w:r>
            <w:r w:rsidR="006412C7" w:rsidRPr="00CF01FB">
              <w:rPr>
                <w:rFonts w:ascii="Times New Roman" w:hAnsi="Times New Roman" w:cs="Times New Roman"/>
                <w:b/>
                <w:color w:val="000000"/>
                <w:sz w:val="18"/>
                <w:szCs w:val="18"/>
              </w:rPr>
              <w:t>eachers</w:t>
            </w:r>
          </w:p>
        </w:tc>
        <w:tc>
          <w:tcPr>
            <w:tcW w:w="0" w:type="auto"/>
            <w:vAlign w:val="center"/>
          </w:tcPr>
          <w:p w:rsidR="006412C7" w:rsidRPr="00CF01FB" w:rsidRDefault="00533A2D"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Academic</w:t>
            </w:r>
          </w:p>
        </w:tc>
        <w:tc>
          <w:tcPr>
            <w:tcW w:w="0" w:type="auto"/>
            <w:vAlign w:val="center"/>
          </w:tcPr>
          <w:p w:rsidR="006412C7" w:rsidRPr="00CF01FB" w:rsidRDefault="00283BB5"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P</w:t>
            </w:r>
            <w:r w:rsidR="006412C7" w:rsidRPr="00CF01FB">
              <w:rPr>
                <w:rFonts w:ascii="Times New Roman" w:hAnsi="Times New Roman" w:cs="Times New Roman"/>
                <w:b/>
                <w:color w:val="000000"/>
                <w:sz w:val="18"/>
                <w:szCs w:val="18"/>
              </w:rPr>
              <w:t>rofessional</w:t>
            </w:r>
          </w:p>
        </w:tc>
        <w:tc>
          <w:tcPr>
            <w:tcW w:w="0" w:type="auto"/>
            <w:vAlign w:val="center"/>
          </w:tcPr>
          <w:p w:rsidR="006412C7" w:rsidRPr="00CF01FB" w:rsidRDefault="00283BB5"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No. of T</w:t>
            </w:r>
            <w:r w:rsidR="006412C7" w:rsidRPr="00CF01FB">
              <w:rPr>
                <w:rFonts w:ascii="Times New Roman" w:hAnsi="Times New Roman" w:cs="Times New Roman"/>
                <w:b/>
                <w:color w:val="000000"/>
                <w:sz w:val="18"/>
                <w:szCs w:val="18"/>
              </w:rPr>
              <w:t>eachers</w:t>
            </w:r>
          </w:p>
        </w:tc>
        <w:tc>
          <w:tcPr>
            <w:tcW w:w="0" w:type="auto"/>
            <w:vAlign w:val="center"/>
          </w:tcPr>
          <w:p w:rsidR="006412C7" w:rsidRPr="00CF01FB" w:rsidRDefault="00E42EF2" w:rsidP="00CF01FB">
            <w:pPr>
              <w:autoSpaceDE w:val="0"/>
              <w:autoSpaceDN w:val="0"/>
              <w:adjustRightInd w:val="0"/>
              <w:snapToGrid w:val="0"/>
              <w:jc w:val="both"/>
              <w:rPr>
                <w:rFonts w:ascii="Times New Roman" w:hAnsi="Times New Roman" w:cs="Times New Roman"/>
                <w:b/>
                <w:color w:val="000000"/>
                <w:sz w:val="18"/>
                <w:szCs w:val="18"/>
              </w:rPr>
            </w:pPr>
            <w:r w:rsidRPr="00CF01FB">
              <w:rPr>
                <w:rFonts w:ascii="Times New Roman" w:hAnsi="Times New Roman" w:cs="Times New Roman"/>
                <w:b/>
                <w:color w:val="000000"/>
                <w:sz w:val="18"/>
                <w:szCs w:val="18"/>
              </w:rPr>
              <w:t>% age</w:t>
            </w:r>
          </w:p>
        </w:tc>
      </w:tr>
      <w:tr w:rsidR="00616F77" w:rsidRPr="00CF01FB" w:rsidTr="00CF01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0" w:type="auto"/>
            <w:vMerge w:val="restart"/>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249</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10 +2</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Nil</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0</w:t>
            </w:r>
          </w:p>
        </w:tc>
      </w:tr>
      <w:tr w:rsidR="00616F77" w:rsidRPr="00CF01FB" w:rsidTr="00CF01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0" w:type="auto"/>
            <w:vMerge/>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BA, BSc.</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B.Ed.</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Nil</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0</w:t>
            </w:r>
          </w:p>
        </w:tc>
      </w:tr>
      <w:tr w:rsidR="00616F77" w:rsidRPr="00CF01FB" w:rsidTr="00CF01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0" w:type="auto"/>
            <w:vMerge/>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MA,MSc.</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M. Ed.</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249</w:t>
            </w:r>
          </w:p>
        </w:tc>
        <w:tc>
          <w:tcPr>
            <w:tcW w:w="0" w:type="auto"/>
            <w:vAlign w:val="center"/>
          </w:tcPr>
          <w:p w:rsidR="00F90F41" w:rsidRPr="00CF01FB" w:rsidRDefault="00F90F41" w:rsidP="00CF01FB">
            <w:pPr>
              <w:autoSpaceDE w:val="0"/>
              <w:autoSpaceDN w:val="0"/>
              <w:adjustRightInd w:val="0"/>
              <w:snapToGrid w:val="0"/>
              <w:jc w:val="both"/>
              <w:rPr>
                <w:rFonts w:ascii="Times New Roman" w:hAnsi="Times New Roman" w:cs="Times New Roman"/>
                <w:color w:val="000000"/>
                <w:sz w:val="18"/>
                <w:szCs w:val="18"/>
              </w:rPr>
            </w:pPr>
            <w:r w:rsidRPr="00CF01FB">
              <w:rPr>
                <w:rFonts w:ascii="Times New Roman" w:hAnsi="Times New Roman" w:cs="Times New Roman"/>
                <w:color w:val="000000"/>
                <w:sz w:val="18"/>
                <w:szCs w:val="18"/>
              </w:rPr>
              <w:t>100</w:t>
            </w:r>
          </w:p>
        </w:tc>
      </w:tr>
    </w:tbl>
    <w:p w:rsidR="00E43D69" w:rsidRPr="00CF01FB" w:rsidRDefault="00E43D69"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603408" w:rsidRPr="00CF01FB" w:rsidRDefault="00535941"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The table shows the qualification possessed by the teachers working in t</w:t>
      </w:r>
      <w:r w:rsidR="00004F93" w:rsidRPr="00CF01FB">
        <w:rPr>
          <w:rFonts w:ascii="Times New Roman" w:hAnsi="Times New Roman" w:cs="Times New Roman"/>
          <w:sz w:val="20"/>
          <w:szCs w:val="20"/>
        </w:rPr>
        <w:t xml:space="preserve">he higher secondary schools of </w:t>
      </w:r>
      <w:r w:rsidR="006240D3" w:rsidRPr="00CF01FB">
        <w:rPr>
          <w:rFonts w:ascii="Times New Roman" w:hAnsi="Times New Roman" w:cs="Times New Roman"/>
          <w:sz w:val="20"/>
          <w:szCs w:val="20"/>
        </w:rPr>
        <w:t>education zone Anantnag. Th</w:t>
      </w:r>
      <w:r w:rsidRPr="00CF01FB">
        <w:rPr>
          <w:rFonts w:ascii="Times New Roman" w:hAnsi="Times New Roman" w:cs="Times New Roman"/>
          <w:sz w:val="20"/>
          <w:szCs w:val="20"/>
        </w:rPr>
        <w:t>e table reflects that al</w:t>
      </w:r>
      <w:r w:rsidR="006240D3" w:rsidRPr="00CF01FB">
        <w:rPr>
          <w:rFonts w:ascii="Times New Roman" w:hAnsi="Times New Roman" w:cs="Times New Roman"/>
          <w:sz w:val="20"/>
          <w:szCs w:val="20"/>
        </w:rPr>
        <w:t>l</w:t>
      </w:r>
      <w:r w:rsidRPr="00CF01FB">
        <w:rPr>
          <w:rFonts w:ascii="Times New Roman" w:hAnsi="Times New Roman" w:cs="Times New Roman"/>
          <w:sz w:val="20"/>
          <w:szCs w:val="20"/>
        </w:rPr>
        <w:t xml:space="preserve"> teachers are highly qualified having masters degrees in different subjects. The teachers have professional degrees in addition of academic degrees.</w:t>
      </w:r>
    </w:p>
    <w:p w:rsidR="00832777" w:rsidRPr="00CF01FB" w:rsidRDefault="000D138E" w:rsidP="00CF01FB">
      <w:pPr>
        <w:autoSpaceDE w:val="0"/>
        <w:autoSpaceDN w:val="0"/>
        <w:adjustRightInd w:val="0"/>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lastRenderedPageBreak/>
        <w:t>Table</w:t>
      </w:r>
      <w:r w:rsidR="00DF3A78" w:rsidRPr="00CF01FB">
        <w:rPr>
          <w:rFonts w:ascii="Times New Roman" w:hAnsi="Times New Roman" w:cs="Times New Roman"/>
          <w:b/>
          <w:sz w:val="20"/>
          <w:szCs w:val="20"/>
        </w:rPr>
        <w:t xml:space="preserve"> </w:t>
      </w:r>
      <w:r w:rsidRPr="00CF01FB">
        <w:rPr>
          <w:rFonts w:ascii="Times New Roman" w:hAnsi="Times New Roman" w:cs="Times New Roman"/>
          <w:b/>
          <w:sz w:val="20"/>
          <w:szCs w:val="20"/>
        </w:rPr>
        <w:t>6.</w:t>
      </w:r>
      <w:r w:rsidR="00E43D69" w:rsidRPr="00CF01FB">
        <w:rPr>
          <w:rFonts w:ascii="Times New Roman" w:hAnsi="Times New Roman" w:cs="Times New Roman"/>
          <w:b/>
          <w:sz w:val="20"/>
          <w:szCs w:val="20"/>
        </w:rPr>
        <w:t xml:space="preserve"> </w:t>
      </w:r>
      <w:r w:rsidR="00832777" w:rsidRPr="00CF01FB">
        <w:rPr>
          <w:rFonts w:ascii="Times New Roman" w:hAnsi="Times New Roman" w:cs="Times New Roman"/>
          <w:b/>
          <w:sz w:val="20"/>
          <w:szCs w:val="20"/>
        </w:rPr>
        <w:t xml:space="preserve">Showing the number </w:t>
      </w:r>
      <w:r w:rsidR="00062A00" w:rsidRPr="00CF01FB">
        <w:rPr>
          <w:rFonts w:ascii="Times New Roman" w:hAnsi="Times New Roman" w:cs="Times New Roman"/>
          <w:b/>
          <w:sz w:val="20"/>
          <w:szCs w:val="20"/>
        </w:rPr>
        <w:t>of higher secondary schools</w:t>
      </w:r>
      <w:r w:rsidR="00832777" w:rsidRPr="00CF01FB">
        <w:rPr>
          <w:rFonts w:ascii="Times New Roman" w:hAnsi="Times New Roman" w:cs="Times New Roman"/>
          <w:b/>
          <w:sz w:val="20"/>
          <w:szCs w:val="20"/>
        </w:rPr>
        <w:t xml:space="preserve"> and their </w:t>
      </w:r>
      <w:r w:rsidR="0010200A" w:rsidRPr="00CF01FB">
        <w:rPr>
          <w:rFonts w:ascii="Times New Roman" w:hAnsi="Times New Roman" w:cs="Times New Roman"/>
          <w:b/>
          <w:sz w:val="20"/>
          <w:szCs w:val="20"/>
        </w:rPr>
        <w:t>enrollment in education zone Anantnag</w:t>
      </w:r>
      <w:r w:rsidR="00837545" w:rsidRPr="00CF01FB">
        <w:rPr>
          <w:rFonts w:ascii="Times New Roman" w:hAnsi="Times New Roman" w:cs="Times New Roman"/>
          <w:b/>
          <w:sz w:val="20"/>
          <w:szCs w:val="20"/>
        </w:rPr>
        <w:t>.</w:t>
      </w:r>
    </w:p>
    <w:tbl>
      <w:tblPr>
        <w:tblStyle w:val="TableGrid"/>
        <w:tblW w:w="0" w:type="auto"/>
        <w:jc w:val="center"/>
        <w:tblLook w:val="04A0"/>
      </w:tblPr>
      <w:tblGrid>
        <w:gridCol w:w="1107"/>
        <w:gridCol w:w="1113"/>
        <w:gridCol w:w="834"/>
        <w:gridCol w:w="834"/>
        <w:gridCol w:w="649"/>
      </w:tblGrid>
      <w:tr w:rsidR="001B42BF" w:rsidRPr="00CF01FB" w:rsidTr="00CF01FB">
        <w:trPr>
          <w:jc w:val="center"/>
        </w:trPr>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Number of HSS</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Classes</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Boys</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Girls</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Total</w:t>
            </w:r>
          </w:p>
        </w:tc>
      </w:tr>
      <w:tr w:rsidR="00FE2CA3" w:rsidRPr="00CF01FB" w:rsidTr="00CF01FB">
        <w:trPr>
          <w:jc w:val="center"/>
        </w:trPr>
        <w:tc>
          <w:tcPr>
            <w:tcW w:w="0" w:type="auto"/>
            <w:vMerge w:val="restart"/>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08</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11</w:t>
            </w:r>
            <w:r w:rsidRPr="00CF01FB">
              <w:rPr>
                <w:rFonts w:ascii="Times New Roman" w:hAnsi="Times New Roman" w:cs="Times New Roman"/>
                <w:b/>
                <w:color w:val="000000"/>
                <w:sz w:val="19"/>
                <w:szCs w:val="19"/>
                <w:vertAlign w:val="superscript"/>
              </w:rPr>
              <w:t>th</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1062</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978</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2040</w:t>
            </w:r>
          </w:p>
        </w:tc>
      </w:tr>
      <w:tr w:rsidR="00FE2CA3" w:rsidRPr="00CF01FB" w:rsidTr="00CF01FB">
        <w:trPr>
          <w:jc w:val="center"/>
        </w:trPr>
        <w:tc>
          <w:tcPr>
            <w:tcW w:w="0" w:type="auto"/>
            <w:vMerge/>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12</w:t>
            </w:r>
            <w:r w:rsidRPr="00CF01FB">
              <w:rPr>
                <w:rFonts w:ascii="Times New Roman" w:hAnsi="Times New Roman" w:cs="Times New Roman"/>
                <w:b/>
                <w:color w:val="000000"/>
                <w:sz w:val="19"/>
                <w:szCs w:val="19"/>
                <w:vertAlign w:val="superscript"/>
              </w:rPr>
              <w:t>th</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1001</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900</w:t>
            </w:r>
          </w:p>
        </w:tc>
        <w:tc>
          <w:tcPr>
            <w:tcW w:w="0" w:type="auto"/>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1901</w:t>
            </w:r>
          </w:p>
        </w:tc>
      </w:tr>
      <w:tr w:rsidR="001B42BF" w:rsidRPr="00CF01FB" w:rsidTr="00CF01FB">
        <w:trPr>
          <w:jc w:val="center"/>
        </w:trPr>
        <w:tc>
          <w:tcPr>
            <w:tcW w:w="0" w:type="auto"/>
            <w:vMerge/>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p>
        </w:tc>
        <w:tc>
          <w:tcPr>
            <w:tcW w:w="0" w:type="auto"/>
            <w:shd w:val="clear" w:color="auto" w:fill="FFFFFF" w:themeFill="background1"/>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Total</w:t>
            </w:r>
          </w:p>
        </w:tc>
        <w:tc>
          <w:tcPr>
            <w:tcW w:w="0" w:type="auto"/>
            <w:shd w:val="clear" w:color="auto" w:fill="FFFFFF" w:themeFill="background1"/>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2063</w:t>
            </w:r>
          </w:p>
        </w:tc>
        <w:tc>
          <w:tcPr>
            <w:tcW w:w="0" w:type="auto"/>
            <w:shd w:val="clear" w:color="auto" w:fill="FFFFFF" w:themeFill="background1"/>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1878</w:t>
            </w:r>
          </w:p>
        </w:tc>
        <w:tc>
          <w:tcPr>
            <w:tcW w:w="0" w:type="auto"/>
            <w:shd w:val="clear" w:color="auto" w:fill="FFFFFF" w:themeFill="background1"/>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3941</w:t>
            </w:r>
          </w:p>
        </w:tc>
      </w:tr>
      <w:tr w:rsidR="001B42BF" w:rsidRPr="00CF01FB" w:rsidTr="00CF01FB">
        <w:trPr>
          <w:jc w:val="center"/>
        </w:trPr>
        <w:tc>
          <w:tcPr>
            <w:tcW w:w="0" w:type="auto"/>
            <w:vMerge/>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Percentage</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52.34%</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47.65%</w:t>
            </w:r>
          </w:p>
        </w:tc>
        <w:tc>
          <w:tcPr>
            <w:tcW w:w="0" w:type="auto"/>
            <w:shd w:val="clear" w:color="auto" w:fill="F2F2F2" w:themeFill="background1" w:themeFillShade="F2"/>
            <w:vAlign w:val="center"/>
          </w:tcPr>
          <w:p w:rsidR="001B42BF" w:rsidRPr="00CF01FB" w:rsidRDefault="001B42BF" w:rsidP="00CF01FB">
            <w:pPr>
              <w:autoSpaceDE w:val="0"/>
              <w:autoSpaceDN w:val="0"/>
              <w:adjustRightInd w:val="0"/>
              <w:snapToGrid w:val="0"/>
              <w:jc w:val="both"/>
              <w:rPr>
                <w:rFonts w:ascii="Times New Roman" w:hAnsi="Times New Roman" w:cs="Times New Roman"/>
                <w:b/>
                <w:color w:val="000000"/>
                <w:sz w:val="19"/>
                <w:szCs w:val="19"/>
              </w:rPr>
            </w:pPr>
          </w:p>
        </w:tc>
      </w:tr>
    </w:tbl>
    <w:p w:rsidR="001B42BF" w:rsidRPr="00CF01FB" w:rsidRDefault="001B42BF"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B1691" w:rsidRPr="00CF01FB" w:rsidRDefault="003F1DBF" w:rsidP="00CF01F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F01FB">
        <w:rPr>
          <w:rFonts w:ascii="Times New Roman" w:hAnsi="Times New Roman" w:cs="Times New Roman"/>
          <w:sz w:val="20"/>
          <w:szCs w:val="20"/>
        </w:rPr>
        <w:t>The table</w:t>
      </w:r>
      <w:r w:rsidR="00A80777" w:rsidRPr="00CF01FB">
        <w:rPr>
          <w:rFonts w:ascii="Times New Roman" w:hAnsi="Times New Roman" w:cs="Times New Roman"/>
          <w:sz w:val="20"/>
          <w:szCs w:val="20"/>
        </w:rPr>
        <w:t xml:space="preserve"> reflects that there are 3941students enrolled in higher secondary schools of education zone Anantnag. Out of 3941 students 2063 are boys and 1878 are girls </w:t>
      </w:r>
      <w:r w:rsidR="001E4013" w:rsidRPr="00CF01FB">
        <w:rPr>
          <w:rFonts w:ascii="Times New Roman" w:hAnsi="Times New Roman" w:cs="Times New Roman"/>
          <w:sz w:val="20"/>
          <w:szCs w:val="20"/>
        </w:rPr>
        <w:t>i.e.</w:t>
      </w:r>
      <w:r w:rsidR="008A728D" w:rsidRPr="00CF01FB">
        <w:rPr>
          <w:rFonts w:ascii="Times New Roman" w:hAnsi="Times New Roman" w:cs="Times New Roman"/>
          <w:sz w:val="20"/>
          <w:szCs w:val="20"/>
        </w:rPr>
        <w:t>, 52% are boys and 48% are girls. The table further depicts that 2040 students are enrolled in class 11</w:t>
      </w:r>
      <w:r w:rsidR="008A728D" w:rsidRPr="00CF01FB">
        <w:rPr>
          <w:rFonts w:ascii="Times New Roman" w:hAnsi="Times New Roman" w:cs="Times New Roman"/>
          <w:sz w:val="20"/>
          <w:szCs w:val="20"/>
          <w:vertAlign w:val="superscript"/>
        </w:rPr>
        <w:t>th</w:t>
      </w:r>
      <w:r w:rsidR="008A728D" w:rsidRPr="00CF01FB">
        <w:rPr>
          <w:rFonts w:ascii="Times New Roman" w:hAnsi="Times New Roman" w:cs="Times New Roman"/>
          <w:sz w:val="20"/>
          <w:szCs w:val="20"/>
        </w:rPr>
        <w:t xml:space="preserve"> and 1901 students are enrolled in class </w:t>
      </w:r>
      <w:r w:rsidR="003A32B6" w:rsidRPr="00CF01FB">
        <w:rPr>
          <w:rFonts w:ascii="Times New Roman" w:hAnsi="Times New Roman" w:cs="Times New Roman"/>
          <w:sz w:val="20"/>
          <w:szCs w:val="20"/>
        </w:rPr>
        <w:t>12</w:t>
      </w:r>
      <w:r w:rsidR="003A32B6" w:rsidRPr="00CF01FB">
        <w:rPr>
          <w:rFonts w:ascii="Times New Roman" w:hAnsi="Times New Roman" w:cs="Times New Roman"/>
          <w:sz w:val="20"/>
          <w:szCs w:val="20"/>
          <w:vertAlign w:val="superscript"/>
        </w:rPr>
        <w:t>th</w:t>
      </w:r>
      <w:r w:rsidR="003A32B6" w:rsidRPr="00CF01FB">
        <w:rPr>
          <w:rFonts w:ascii="Times New Roman" w:hAnsi="Times New Roman" w:cs="Times New Roman"/>
          <w:sz w:val="20"/>
          <w:szCs w:val="20"/>
        </w:rPr>
        <w:t>.</w:t>
      </w:r>
    </w:p>
    <w:p w:rsidR="00CF01FB" w:rsidRPr="00CF01FB" w:rsidRDefault="00CF01FB" w:rsidP="00CF01FB">
      <w:pPr>
        <w:autoSpaceDE w:val="0"/>
        <w:autoSpaceDN w:val="0"/>
        <w:adjustRightInd w:val="0"/>
        <w:snapToGrid w:val="0"/>
        <w:spacing w:after="0" w:line="240" w:lineRule="auto"/>
        <w:ind w:firstLine="425"/>
        <w:jc w:val="both"/>
        <w:rPr>
          <w:rFonts w:ascii="Times New Roman" w:hAnsi="Times New Roman" w:cs="Times New Roman"/>
          <w:sz w:val="20"/>
          <w:szCs w:val="20"/>
        </w:rPr>
        <w:sectPr w:rsidR="00CF01FB" w:rsidRPr="00CF01FB" w:rsidSect="00482A3D">
          <w:headerReference w:type="default" r:id="rId13"/>
          <w:footerReference w:type="default" r:id="rId14"/>
          <w:type w:val="continuous"/>
          <w:pgSz w:w="12242" w:h="15842" w:code="1"/>
          <w:pgMar w:top="1440" w:right="1440" w:bottom="1440" w:left="1440" w:header="720" w:footer="720" w:gutter="0"/>
          <w:cols w:num="2" w:space="720"/>
          <w:docGrid w:linePitch="360"/>
        </w:sectPr>
      </w:pPr>
    </w:p>
    <w:p w:rsidR="002A22C5" w:rsidRPr="00CF01FB" w:rsidRDefault="002A22C5" w:rsidP="00CF01FB">
      <w:pPr>
        <w:autoSpaceDE w:val="0"/>
        <w:autoSpaceDN w:val="0"/>
        <w:adjustRightInd w:val="0"/>
        <w:snapToGrid w:val="0"/>
        <w:spacing w:after="0" w:line="240" w:lineRule="auto"/>
        <w:jc w:val="center"/>
        <w:rPr>
          <w:rFonts w:ascii="Times New Roman" w:hAnsi="Times New Roman" w:cs="Times New Roman"/>
          <w:b/>
          <w:color w:val="000000"/>
          <w:sz w:val="20"/>
          <w:szCs w:val="20"/>
        </w:rPr>
      </w:pPr>
    </w:p>
    <w:p w:rsidR="00957C63" w:rsidRPr="00CF01FB" w:rsidRDefault="00957C63" w:rsidP="00CF01FB">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Table 7</w:t>
      </w:r>
      <w:r w:rsidR="00C63A07" w:rsidRPr="00CF01FB">
        <w:rPr>
          <w:rFonts w:ascii="Times New Roman" w:hAnsi="Times New Roman" w:cs="Times New Roman"/>
          <w:b/>
          <w:color w:val="000000"/>
          <w:sz w:val="20"/>
          <w:szCs w:val="20"/>
        </w:rPr>
        <w:t>:</w:t>
      </w:r>
      <w:r w:rsidR="001B42BF" w:rsidRPr="00CF01FB">
        <w:rPr>
          <w:rFonts w:ascii="Times New Roman" w:hAnsi="Times New Roman" w:cs="Times New Roman"/>
          <w:b/>
          <w:color w:val="000000"/>
          <w:sz w:val="20"/>
          <w:szCs w:val="20"/>
        </w:rPr>
        <w:t xml:space="preserve"> </w:t>
      </w:r>
      <w:r w:rsidRPr="00CF01FB">
        <w:rPr>
          <w:rFonts w:ascii="Times New Roman" w:hAnsi="Times New Roman" w:cs="Times New Roman"/>
          <w:b/>
          <w:color w:val="000000"/>
          <w:sz w:val="20"/>
          <w:szCs w:val="20"/>
        </w:rPr>
        <w:t>Showing the infrastructure available for teaching learning process at Higher Secondary level in zone Anantnag.</w:t>
      </w:r>
    </w:p>
    <w:tbl>
      <w:tblPr>
        <w:tblStyle w:val="TableGrid"/>
        <w:tblW w:w="0" w:type="auto"/>
        <w:jc w:val="center"/>
        <w:tblLook w:val="04A0"/>
      </w:tblPr>
      <w:tblGrid>
        <w:gridCol w:w="570"/>
        <w:gridCol w:w="2302"/>
        <w:gridCol w:w="1466"/>
        <w:gridCol w:w="2150"/>
        <w:gridCol w:w="1328"/>
        <w:gridCol w:w="1762"/>
      </w:tblGrid>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S.no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Name of the higher secondary</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No.</w:t>
            </w:r>
            <w:r w:rsidR="00061F21">
              <w:rPr>
                <w:rFonts w:ascii="Times New Roman" w:hAnsi="Times New Roman" w:cs="Times New Roman" w:hint="eastAsia"/>
                <w:b/>
                <w:color w:val="000000"/>
                <w:sz w:val="19"/>
                <w:szCs w:val="19"/>
                <w:lang w:eastAsia="zh-CN"/>
              </w:rPr>
              <w:t xml:space="preserve"> </w:t>
            </w:r>
            <w:r w:rsidRPr="00CF01FB">
              <w:rPr>
                <w:rFonts w:ascii="Times New Roman" w:hAnsi="Times New Roman" w:cs="Times New Roman"/>
                <w:b/>
                <w:color w:val="000000"/>
                <w:sz w:val="19"/>
                <w:szCs w:val="19"/>
              </w:rPr>
              <w:t>of class rooms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Availability of kitchen shed</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Boundary wall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Availability of ramps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IMSSI</w:t>
            </w:r>
          </w:p>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Mominabad</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08</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Partial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Girls Hr. Sec.</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School Kadipora</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10</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03</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EFF EMM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Sec.</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School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29</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Islamia Hanifia institute</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15</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05</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Girls Higher sec. School Ang</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20</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06</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Hista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School Ang</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17</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07</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Boys Hr. Sec. School Ang</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20</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08</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Govt.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School Wanpoh</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15</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Partial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09</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Total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134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r>
    </w:tbl>
    <w:p w:rsidR="00957C63" w:rsidRPr="00CF01FB" w:rsidRDefault="00957C63" w:rsidP="00CF01F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957C63" w:rsidRPr="00CF01FB" w:rsidRDefault="00957C63" w:rsidP="00CF01F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t>The table reflects that about 64% schools have boundary walls. The average schools have 16 permanent class rooms. 65% are in good condition. 24% are in need of minor repair and 11% are in need of major repair.</w:t>
      </w:r>
    </w:p>
    <w:p w:rsidR="00957C63" w:rsidRPr="00CF01FB" w:rsidRDefault="00957C63" w:rsidP="00CF01FB">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957C63" w:rsidRPr="00CF01FB" w:rsidRDefault="00957C63" w:rsidP="00CF01FB">
      <w:pPr>
        <w:autoSpaceDE w:val="0"/>
        <w:autoSpaceDN w:val="0"/>
        <w:adjustRightInd w:val="0"/>
        <w:snapToGrid w:val="0"/>
        <w:spacing w:after="0" w:line="240" w:lineRule="auto"/>
        <w:jc w:val="center"/>
        <w:rPr>
          <w:rFonts w:ascii="Times New Roman" w:hAnsi="Times New Roman" w:cs="Times New Roman"/>
          <w:b/>
          <w:color w:val="000000"/>
          <w:sz w:val="20"/>
          <w:szCs w:val="20"/>
        </w:rPr>
      </w:pPr>
      <w:r w:rsidRPr="00CF01FB">
        <w:rPr>
          <w:rFonts w:ascii="Times New Roman" w:hAnsi="Times New Roman" w:cs="Times New Roman"/>
          <w:b/>
          <w:color w:val="000000"/>
          <w:sz w:val="20"/>
          <w:szCs w:val="20"/>
        </w:rPr>
        <w:t>Table 8 Facilities Available for students at Higher secondary Level in zone Anantnag</w:t>
      </w:r>
    </w:p>
    <w:tbl>
      <w:tblPr>
        <w:tblStyle w:val="TableGrid"/>
        <w:tblW w:w="0" w:type="auto"/>
        <w:jc w:val="center"/>
        <w:tblLook w:val="04A0"/>
      </w:tblPr>
      <w:tblGrid>
        <w:gridCol w:w="544"/>
        <w:gridCol w:w="2234"/>
        <w:gridCol w:w="845"/>
        <w:gridCol w:w="866"/>
        <w:gridCol w:w="586"/>
        <w:gridCol w:w="1747"/>
        <w:gridCol w:w="1168"/>
        <w:gridCol w:w="1588"/>
      </w:tblGrid>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s/no</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Name of the Higher Secondary</w:t>
            </w:r>
          </w:p>
        </w:tc>
        <w:tc>
          <w:tcPr>
            <w:tcW w:w="0" w:type="auto"/>
            <w:gridSpan w:val="3"/>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Toilet facility</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No of toilets functional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Water facility</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Playground facility</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For Boys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For Girls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total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IMSSI Mominabad</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09</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09</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Girls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Sec School Kadipora</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05</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03</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EFF EMM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Sec. School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08</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03</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11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Islamia Hanifia institute</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05</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Girls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Sec School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No</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06</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Hista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School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03</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04</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07</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Boys Hr.</w:t>
            </w:r>
            <w:r w:rsidR="00061F21">
              <w:rPr>
                <w:rFonts w:ascii="Times New Roman" w:hAnsi="Times New Roman" w:cs="Times New Roman" w:hint="eastAsia"/>
                <w:color w:val="000000"/>
                <w:sz w:val="19"/>
                <w:szCs w:val="19"/>
                <w:lang w:eastAsia="zh-CN"/>
              </w:rPr>
              <w:t xml:space="preserve"> </w:t>
            </w:r>
            <w:r w:rsidRPr="00CF01FB">
              <w:rPr>
                <w:rFonts w:ascii="Times New Roman" w:hAnsi="Times New Roman" w:cs="Times New Roman"/>
                <w:color w:val="000000"/>
                <w:sz w:val="19"/>
                <w:szCs w:val="19"/>
              </w:rPr>
              <w:t>Sec. School</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r w:rsidR="00957C63" w:rsidRPr="00CF01FB" w:rsidTr="00CF01FB">
        <w:trPr>
          <w:jc w:val="center"/>
        </w:trPr>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b/>
                <w:color w:val="000000"/>
                <w:sz w:val="19"/>
                <w:szCs w:val="19"/>
              </w:rPr>
            </w:pPr>
            <w:r w:rsidRPr="00CF01FB">
              <w:rPr>
                <w:rFonts w:ascii="Times New Roman" w:hAnsi="Times New Roman" w:cs="Times New Roman"/>
                <w:b/>
                <w:color w:val="000000"/>
                <w:sz w:val="19"/>
                <w:szCs w:val="19"/>
              </w:rPr>
              <w:t>08</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Govt. Hr. School Wanpoh</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01</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02</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c>
          <w:tcPr>
            <w:tcW w:w="0" w:type="auto"/>
            <w:vAlign w:val="center"/>
          </w:tcPr>
          <w:p w:rsidR="00957C63" w:rsidRPr="00CF01FB" w:rsidRDefault="00957C63" w:rsidP="00CF01FB">
            <w:pPr>
              <w:autoSpaceDE w:val="0"/>
              <w:autoSpaceDN w:val="0"/>
              <w:adjustRightInd w:val="0"/>
              <w:snapToGrid w:val="0"/>
              <w:jc w:val="both"/>
              <w:rPr>
                <w:rFonts w:ascii="Times New Roman" w:hAnsi="Times New Roman" w:cs="Times New Roman"/>
                <w:color w:val="000000"/>
                <w:sz w:val="19"/>
                <w:szCs w:val="19"/>
              </w:rPr>
            </w:pPr>
            <w:r w:rsidRPr="00CF01FB">
              <w:rPr>
                <w:rFonts w:ascii="Times New Roman" w:hAnsi="Times New Roman" w:cs="Times New Roman"/>
                <w:color w:val="000000"/>
                <w:sz w:val="19"/>
                <w:szCs w:val="19"/>
              </w:rPr>
              <w:t>Yes</w:t>
            </w:r>
          </w:p>
        </w:tc>
      </w:tr>
    </w:tbl>
    <w:p w:rsidR="00CF01FB" w:rsidRDefault="00CF01FB" w:rsidP="00CF01FB">
      <w:pPr>
        <w:snapToGrid w:val="0"/>
        <w:spacing w:after="0" w:line="240" w:lineRule="auto"/>
        <w:jc w:val="both"/>
        <w:rPr>
          <w:rFonts w:ascii="Times New Roman" w:hAnsi="Times New Roman" w:cs="Times New Roman"/>
          <w:b/>
          <w:sz w:val="20"/>
          <w:szCs w:val="20"/>
          <w:u w:val="single"/>
        </w:rPr>
      </w:pPr>
    </w:p>
    <w:p w:rsidR="00CF01FB" w:rsidRPr="00CF01FB" w:rsidRDefault="00CF01FB" w:rsidP="00CF01FB">
      <w:pPr>
        <w:snapToGrid w:val="0"/>
        <w:spacing w:after="0" w:line="240" w:lineRule="auto"/>
        <w:jc w:val="both"/>
        <w:rPr>
          <w:rFonts w:ascii="Times New Roman" w:hAnsi="Times New Roman" w:cs="Times New Roman"/>
          <w:b/>
          <w:sz w:val="20"/>
          <w:szCs w:val="20"/>
          <w:u w:val="single"/>
        </w:rPr>
        <w:sectPr w:rsidR="00CF01FB" w:rsidRPr="00CF01FB" w:rsidSect="00482A3D">
          <w:headerReference w:type="default" r:id="rId15"/>
          <w:footerReference w:type="default" r:id="rId16"/>
          <w:type w:val="continuous"/>
          <w:pgSz w:w="12242" w:h="15842" w:code="1"/>
          <w:pgMar w:top="1440" w:right="1440" w:bottom="1440" w:left="1440" w:header="720" w:footer="720" w:gutter="0"/>
          <w:cols w:space="720"/>
          <w:docGrid w:linePitch="360"/>
        </w:sectPr>
      </w:pPr>
    </w:p>
    <w:p w:rsidR="00CF01FB" w:rsidRPr="00CF01FB" w:rsidRDefault="00CF01FB" w:rsidP="00CF01FB">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F01FB">
        <w:rPr>
          <w:rFonts w:ascii="Times New Roman" w:hAnsi="Times New Roman" w:cs="Times New Roman"/>
          <w:color w:val="000000"/>
          <w:sz w:val="20"/>
          <w:szCs w:val="20"/>
        </w:rPr>
        <w:lastRenderedPageBreak/>
        <w:t>The above table shows that all institutions have separate toilet facility and majority of these are functional and in good condition. The small proportions of the toilets in schools are not working and are reserved for the use of teachers. All schools have water and playground facilities. This shows that the schools have sound infrastructure.</w:t>
      </w:r>
    </w:p>
    <w:p w:rsidR="00CF01FB" w:rsidRDefault="00CF01FB" w:rsidP="00CF01FB">
      <w:pPr>
        <w:snapToGrid w:val="0"/>
        <w:spacing w:after="0" w:line="240" w:lineRule="auto"/>
        <w:jc w:val="both"/>
        <w:rPr>
          <w:rFonts w:ascii="Times New Roman" w:hAnsi="Times New Roman" w:cs="Times New Roman"/>
          <w:b/>
          <w:sz w:val="20"/>
          <w:szCs w:val="20"/>
          <w:lang w:eastAsia="zh-CN"/>
        </w:rPr>
      </w:pPr>
    </w:p>
    <w:p w:rsidR="001834A2" w:rsidRPr="00CF01FB" w:rsidRDefault="001834A2" w:rsidP="00CF01FB">
      <w:pPr>
        <w:snapToGrid w:val="0"/>
        <w:spacing w:after="0" w:line="240" w:lineRule="auto"/>
        <w:jc w:val="both"/>
        <w:rPr>
          <w:rFonts w:ascii="Times New Roman" w:hAnsi="Times New Roman" w:cs="Times New Roman"/>
          <w:b/>
          <w:sz w:val="20"/>
          <w:szCs w:val="20"/>
        </w:rPr>
      </w:pPr>
      <w:r w:rsidRPr="00CF01FB">
        <w:rPr>
          <w:rFonts w:ascii="Times New Roman" w:hAnsi="Times New Roman" w:cs="Times New Roman"/>
          <w:b/>
          <w:sz w:val="20"/>
          <w:szCs w:val="20"/>
        </w:rPr>
        <w:t>Conclusion</w:t>
      </w:r>
    </w:p>
    <w:p w:rsidR="001834A2" w:rsidRDefault="001834A2" w:rsidP="00CF01FB">
      <w:pPr>
        <w:snapToGrid w:val="0"/>
        <w:spacing w:after="0" w:line="240" w:lineRule="auto"/>
        <w:ind w:firstLine="425"/>
        <w:jc w:val="both"/>
        <w:rPr>
          <w:rFonts w:ascii="Times New Roman" w:hAnsi="Times New Roman" w:cs="Times New Roman"/>
          <w:sz w:val="20"/>
          <w:szCs w:val="20"/>
          <w:lang w:eastAsia="zh-CN"/>
        </w:rPr>
      </w:pPr>
      <w:r w:rsidRPr="00CF01FB">
        <w:rPr>
          <w:rFonts w:ascii="Times New Roman" w:hAnsi="Times New Roman" w:cs="Times New Roman"/>
          <w:sz w:val="20"/>
          <w:szCs w:val="20"/>
        </w:rPr>
        <w:t>The present study was undertaken to analyze the number of teachers, infrastructure, enrollment and qualification of teacher`s at higher secondary level in education zone Anantnag. The study helped us to assess the facilities available for our students and the working environment for our teachers. The research has been done fairly and will help us to see the real picture of our HS schools in zone Anantnag</w:t>
      </w:r>
      <w:r w:rsidR="00061F21">
        <w:rPr>
          <w:rFonts w:ascii="Times New Roman" w:hAnsi="Times New Roman" w:cs="Times New Roman" w:hint="eastAsia"/>
          <w:sz w:val="20"/>
          <w:szCs w:val="20"/>
          <w:lang w:eastAsia="zh-CN"/>
        </w:rPr>
        <w:t>.</w:t>
      </w:r>
    </w:p>
    <w:p w:rsidR="00CF01FB" w:rsidRPr="00CF01FB" w:rsidRDefault="00CF01FB" w:rsidP="00CF01FB">
      <w:pPr>
        <w:snapToGrid w:val="0"/>
        <w:spacing w:after="0" w:line="240" w:lineRule="auto"/>
        <w:ind w:firstLine="425"/>
        <w:jc w:val="both"/>
        <w:rPr>
          <w:rFonts w:ascii="Times New Roman" w:hAnsi="Times New Roman" w:cs="Times New Roman"/>
          <w:sz w:val="20"/>
          <w:szCs w:val="20"/>
          <w:lang w:eastAsia="zh-CN"/>
        </w:rPr>
      </w:pPr>
    </w:p>
    <w:p w:rsidR="009F5C02" w:rsidRPr="00CF01FB" w:rsidRDefault="00CF01FB" w:rsidP="00CF01FB">
      <w:pPr>
        <w:pStyle w:val="BodyText"/>
        <w:snapToGrid w:val="0"/>
        <w:spacing w:line="240" w:lineRule="auto"/>
        <w:jc w:val="both"/>
        <w:rPr>
          <w:b/>
          <w:sz w:val="20"/>
        </w:rPr>
      </w:pPr>
      <w:r w:rsidRPr="00CF01FB">
        <w:rPr>
          <w:b/>
          <w:sz w:val="20"/>
        </w:rPr>
        <w:t>Bibliography:</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iCs/>
          <w:sz w:val="20"/>
          <w:szCs w:val="20"/>
        </w:rPr>
      </w:pPr>
      <w:r w:rsidRPr="00CF01FB">
        <w:rPr>
          <w:rFonts w:ascii="Times New Roman" w:hAnsi="Times New Roman" w:cs="Times New Roman"/>
          <w:sz w:val="20"/>
          <w:szCs w:val="20"/>
        </w:rPr>
        <w:t>Birdi Bimlesh (1992): A Study of the Growth &amp; Development of the Primary Education in Punjab from 1947-1987.</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iCs/>
          <w:sz w:val="20"/>
          <w:szCs w:val="20"/>
        </w:rPr>
        <w:t>Fifth Survey of Educational Research, Volume II, New Delhi NCERT.</w:t>
      </w:r>
    </w:p>
    <w:p w:rsidR="00CF01FB" w:rsidRDefault="00D17F1E" w:rsidP="00CF01FB">
      <w:pPr>
        <w:pStyle w:val="BodyText"/>
        <w:numPr>
          <w:ilvl w:val="0"/>
          <w:numId w:val="26"/>
        </w:numPr>
        <w:snapToGrid w:val="0"/>
        <w:spacing w:line="240" w:lineRule="auto"/>
        <w:jc w:val="both"/>
        <w:rPr>
          <w:sz w:val="20"/>
        </w:rPr>
      </w:pPr>
      <w:r w:rsidRPr="00CF01FB">
        <w:rPr>
          <w:sz w:val="20"/>
        </w:rPr>
        <w:t>Buch, M.B (1974): A Survey of Research in Education.</w:t>
      </w:r>
      <w:r w:rsidR="00061F21">
        <w:rPr>
          <w:rFonts w:eastAsiaTheme="minorEastAsia" w:hint="eastAsia"/>
          <w:sz w:val="20"/>
          <w:lang w:eastAsia="zh-CN"/>
        </w:rPr>
        <w:t xml:space="preserve"> </w:t>
      </w:r>
      <w:r w:rsidRPr="00CF01FB">
        <w:rPr>
          <w:iCs/>
          <w:sz w:val="20"/>
        </w:rPr>
        <w:t>Centre of advance studies in Education, Baroda</w:t>
      </w:r>
      <w:r w:rsidRPr="00CF01FB">
        <w:rPr>
          <w:sz w:val="20"/>
        </w:rPr>
        <w:t>.</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iCs/>
          <w:sz w:val="20"/>
          <w:szCs w:val="20"/>
        </w:rPr>
      </w:pPr>
      <w:r w:rsidRPr="00CF01FB">
        <w:rPr>
          <w:rFonts w:ascii="Times New Roman" w:hAnsi="Times New Roman" w:cs="Times New Roman"/>
          <w:sz w:val="20"/>
          <w:szCs w:val="20"/>
        </w:rPr>
        <w:t>Ganai, M.Y &amp; et al (2004): Implementation of Operation Black Board Schemes in different zones of district</w:t>
      </w:r>
      <w:r w:rsidR="00FC73B9" w:rsidRPr="00CF01FB">
        <w:rPr>
          <w:rFonts w:ascii="Times New Roman" w:hAnsi="Times New Roman" w:cs="Times New Roman"/>
          <w:sz w:val="20"/>
          <w:szCs w:val="20"/>
        </w:rPr>
        <w:t xml:space="preserve"> </w:t>
      </w:r>
      <w:r w:rsidRPr="00CF01FB">
        <w:rPr>
          <w:rFonts w:ascii="Times New Roman" w:hAnsi="Times New Roman" w:cs="Times New Roman"/>
          <w:sz w:val="20"/>
          <w:szCs w:val="20"/>
        </w:rPr>
        <w:t xml:space="preserve">Srinagar. </w:t>
      </w:r>
      <w:r w:rsidRPr="00CF01FB">
        <w:rPr>
          <w:rFonts w:ascii="Times New Roman" w:hAnsi="Times New Roman" w:cs="Times New Roman"/>
          <w:iCs/>
          <w:sz w:val="20"/>
          <w:szCs w:val="20"/>
        </w:rPr>
        <w:t>Insight Journal of applied research in Ed</w:t>
      </w:r>
      <w:r w:rsidR="00FD6844" w:rsidRPr="00CF01FB">
        <w:rPr>
          <w:rFonts w:ascii="Times New Roman" w:hAnsi="Times New Roman" w:cs="Times New Roman"/>
          <w:iCs/>
          <w:sz w:val="20"/>
          <w:szCs w:val="20"/>
        </w:rPr>
        <w:t xml:space="preserve">ucation (spring), </w:t>
      </w:r>
      <w:r w:rsidRPr="00CF01FB">
        <w:rPr>
          <w:rFonts w:ascii="Times New Roman" w:hAnsi="Times New Roman" w:cs="Times New Roman"/>
          <w:iCs/>
          <w:sz w:val="20"/>
          <w:szCs w:val="20"/>
        </w:rPr>
        <w:lastRenderedPageBreak/>
        <w:t>Department of Education, University of</w:t>
      </w:r>
      <w:r w:rsidR="00FC73B9" w:rsidRPr="00CF01FB">
        <w:rPr>
          <w:rFonts w:ascii="Times New Roman" w:hAnsi="Times New Roman" w:cs="Times New Roman"/>
          <w:sz w:val="20"/>
          <w:szCs w:val="20"/>
        </w:rPr>
        <w:t xml:space="preserve"> </w:t>
      </w:r>
      <w:r w:rsidRPr="00CF01FB">
        <w:rPr>
          <w:rFonts w:ascii="Times New Roman" w:hAnsi="Times New Roman" w:cs="Times New Roman"/>
          <w:iCs/>
          <w:sz w:val="20"/>
          <w:szCs w:val="20"/>
        </w:rPr>
        <w:t>Kashmir.</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sz w:val="20"/>
          <w:szCs w:val="20"/>
        </w:rPr>
      </w:pPr>
      <w:r w:rsidRPr="00CF01FB">
        <w:rPr>
          <w:rFonts w:ascii="Times New Roman" w:hAnsi="Times New Roman" w:cs="Times New Roman"/>
          <w:sz w:val="20"/>
          <w:szCs w:val="20"/>
        </w:rPr>
        <w:t>Govinda,</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sz w:val="20"/>
          <w:szCs w:val="20"/>
        </w:rPr>
        <w:t>R</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sz w:val="20"/>
          <w:szCs w:val="20"/>
        </w:rPr>
        <w:t>&amp; Varghese (1991): The Quality of Basic Education services in India – A Case Study of Primary</w:t>
      </w:r>
      <w:r w:rsidR="00206B57" w:rsidRPr="00CF01FB">
        <w:rPr>
          <w:rFonts w:ascii="Times New Roman" w:hAnsi="Times New Roman" w:cs="Times New Roman"/>
          <w:sz w:val="20"/>
          <w:szCs w:val="20"/>
        </w:rPr>
        <w:t xml:space="preserve"> </w:t>
      </w:r>
      <w:r w:rsidRPr="00CF01FB">
        <w:rPr>
          <w:rFonts w:ascii="Times New Roman" w:hAnsi="Times New Roman" w:cs="Times New Roman"/>
          <w:sz w:val="20"/>
          <w:szCs w:val="20"/>
        </w:rPr>
        <w:t>Schooling in M.</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sz w:val="20"/>
          <w:szCs w:val="20"/>
        </w:rPr>
        <w:t>P.</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iCs/>
          <w:sz w:val="20"/>
          <w:szCs w:val="20"/>
        </w:rPr>
        <w:t>Fifth Survey of Educational Research, Volume II, New Delhi, NCERT.</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sz w:val="20"/>
          <w:szCs w:val="20"/>
        </w:rPr>
      </w:pPr>
      <w:r w:rsidRPr="00CF01FB">
        <w:rPr>
          <w:rFonts w:ascii="Times New Roman" w:hAnsi="Times New Roman" w:cs="Times New Roman"/>
          <w:sz w:val="20"/>
          <w:szCs w:val="20"/>
        </w:rPr>
        <w:t>Grover (1988): Enrolment &amp; Retention trends in Primary Education in Rural Community in Haryana, a</w:t>
      </w:r>
      <w:r w:rsidR="00206B57" w:rsidRPr="00CF01FB">
        <w:rPr>
          <w:rFonts w:ascii="Times New Roman" w:hAnsi="Times New Roman" w:cs="Times New Roman"/>
          <w:sz w:val="20"/>
          <w:szCs w:val="20"/>
        </w:rPr>
        <w:t xml:space="preserve"> </w:t>
      </w:r>
      <w:r w:rsidRPr="00CF01FB">
        <w:rPr>
          <w:rFonts w:ascii="Times New Roman" w:hAnsi="Times New Roman" w:cs="Times New Roman"/>
          <w:sz w:val="20"/>
          <w:szCs w:val="20"/>
        </w:rPr>
        <w:t xml:space="preserve">Longitudinal Perspective. </w:t>
      </w:r>
      <w:r w:rsidRPr="00CF01FB">
        <w:rPr>
          <w:rFonts w:ascii="Times New Roman" w:hAnsi="Times New Roman" w:cs="Times New Roman"/>
          <w:iCs/>
          <w:sz w:val="20"/>
          <w:szCs w:val="20"/>
        </w:rPr>
        <w:t>Indian Educational Review, Volume 23 (129-134).</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sz w:val="20"/>
          <w:szCs w:val="20"/>
        </w:rPr>
      </w:pPr>
      <w:r w:rsidRPr="00CF01FB">
        <w:rPr>
          <w:rFonts w:ascii="Times New Roman" w:hAnsi="Times New Roman" w:cs="Times New Roman"/>
          <w:sz w:val="20"/>
          <w:szCs w:val="20"/>
        </w:rPr>
        <w:t>Jha Jyotsna &amp; Hardikar Dhantwan (2005): A Study of Enrolment, Infra structure &amp; Educational Facilities at</w:t>
      </w:r>
      <w:r w:rsidR="00206B57" w:rsidRPr="00CF01FB">
        <w:rPr>
          <w:rFonts w:ascii="Times New Roman" w:hAnsi="Times New Roman" w:cs="Times New Roman"/>
          <w:sz w:val="20"/>
          <w:szCs w:val="20"/>
        </w:rPr>
        <w:t xml:space="preserve"> </w:t>
      </w:r>
      <w:r w:rsidRPr="00CF01FB">
        <w:rPr>
          <w:rFonts w:ascii="Times New Roman" w:hAnsi="Times New Roman" w:cs="Times New Roman"/>
          <w:sz w:val="20"/>
          <w:szCs w:val="20"/>
        </w:rPr>
        <w:t xml:space="preserve">Elementary level in </w:t>
      </w:r>
      <w:r w:rsidR="00FC73B9" w:rsidRPr="00CF01FB">
        <w:rPr>
          <w:rFonts w:ascii="Times New Roman" w:hAnsi="Times New Roman" w:cs="Times New Roman"/>
          <w:sz w:val="20"/>
          <w:szCs w:val="20"/>
        </w:rPr>
        <w:t>Tripura.</w:t>
      </w:r>
      <w:r w:rsidR="00FC73B9" w:rsidRPr="00CF01FB">
        <w:rPr>
          <w:rFonts w:ascii="Times New Roman" w:hAnsi="Times New Roman" w:cs="Times New Roman"/>
          <w:iCs/>
          <w:sz w:val="20"/>
          <w:szCs w:val="20"/>
        </w:rPr>
        <w:t xml:space="preserve"> India</w:t>
      </w:r>
      <w:r w:rsidRPr="00CF01FB">
        <w:rPr>
          <w:rFonts w:ascii="Times New Roman" w:hAnsi="Times New Roman" w:cs="Times New Roman"/>
          <w:iCs/>
          <w:sz w:val="20"/>
          <w:szCs w:val="20"/>
        </w:rPr>
        <w:t xml:space="preserve"> Sarva Shiksha Abhiyan First Joint Review Mission.</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iCs/>
          <w:sz w:val="20"/>
          <w:szCs w:val="20"/>
        </w:rPr>
      </w:pPr>
      <w:r w:rsidRPr="00CF01FB">
        <w:rPr>
          <w:rFonts w:ascii="Times New Roman" w:hAnsi="Times New Roman" w:cs="Times New Roman"/>
          <w:sz w:val="20"/>
          <w:szCs w:val="20"/>
        </w:rPr>
        <w:t>Kaul Venita, Ramachandran</w:t>
      </w:r>
      <w:r w:rsidR="00FC73B9" w:rsidRPr="00CF01FB">
        <w:rPr>
          <w:rFonts w:ascii="Times New Roman" w:hAnsi="Times New Roman" w:cs="Times New Roman"/>
          <w:sz w:val="20"/>
          <w:szCs w:val="20"/>
        </w:rPr>
        <w:t xml:space="preserve"> </w:t>
      </w:r>
      <w:r w:rsidRPr="00CF01FB">
        <w:rPr>
          <w:rFonts w:ascii="Times New Roman" w:hAnsi="Times New Roman" w:cs="Times New Roman"/>
          <w:sz w:val="20"/>
          <w:szCs w:val="20"/>
        </w:rPr>
        <w:t>Chitra &amp; Upadhyay, G.C. (1992): Impact of Early Childhood Education on</w:t>
      </w:r>
      <w:r w:rsidR="00FC73B9" w:rsidRPr="00CF01FB">
        <w:rPr>
          <w:rFonts w:ascii="Times New Roman" w:hAnsi="Times New Roman" w:cs="Times New Roman"/>
          <w:sz w:val="20"/>
          <w:szCs w:val="20"/>
        </w:rPr>
        <w:t xml:space="preserve"> </w:t>
      </w:r>
      <w:r w:rsidRPr="00CF01FB">
        <w:rPr>
          <w:rFonts w:ascii="Times New Roman" w:hAnsi="Times New Roman" w:cs="Times New Roman"/>
          <w:sz w:val="20"/>
          <w:szCs w:val="20"/>
        </w:rPr>
        <w:t xml:space="preserve">Retention in primary Grade. </w:t>
      </w:r>
      <w:r w:rsidRPr="00CF01FB">
        <w:rPr>
          <w:rFonts w:ascii="Times New Roman" w:hAnsi="Times New Roman" w:cs="Times New Roman"/>
          <w:iCs/>
          <w:sz w:val="20"/>
          <w:szCs w:val="20"/>
        </w:rPr>
        <w:t>Fifth Survey of Educational Research, volume II, New Delhi, NCERT.</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iCs/>
          <w:sz w:val="20"/>
          <w:szCs w:val="20"/>
        </w:rPr>
      </w:pPr>
      <w:r w:rsidRPr="00CF01FB">
        <w:rPr>
          <w:rFonts w:ascii="Times New Roman" w:hAnsi="Times New Roman" w:cs="Times New Roman"/>
          <w:sz w:val="20"/>
          <w:szCs w:val="20"/>
        </w:rPr>
        <w:t>Khurshid Ul Islam,</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sz w:val="20"/>
          <w:szCs w:val="20"/>
        </w:rPr>
        <w:t>S &amp;</w:t>
      </w:r>
      <w:r w:rsidR="00061F21">
        <w:rPr>
          <w:rFonts w:ascii="Times New Roman" w:hAnsi="Times New Roman" w:cs="Times New Roman" w:hint="eastAsia"/>
          <w:sz w:val="20"/>
          <w:szCs w:val="20"/>
          <w:lang w:eastAsia="zh-CN"/>
        </w:rPr>
        <w:t xml:space="preserve"> </w:t>
      </w:r>
      <w:r w:rsidRPr="00CF01FB">
        <w:rPr>
          <w:rFonts w:ascii="Times New Roman" w:hAnsi="Times New Roman" w:cs="Times New Roman"/>
          <w:sz w:val="20"/>
          <w:szCs w:val="20"/>
        </w:rPr>
        <w:t>Rao V.K (1997): Early Childhood Care and Education.</w:t>
      </w:r>
      <w:r w:rsidR="00FC73B9" w:rsidRPr="00CF01FB">
        <w:rPr>
          <w:rFonts w:ascii="Times New Roman" w:hAnsi="Times New Roman" w:cs="Times New Roman"/>
          <w:sz w:val="20"/>
          <w:szCs w:val="20"/>
        </w:rPr>
        <w:t xml:space="preserve"> </w:t>
      </w:r>
      <w:r w:rsidRPr="00CF01FB">
        <w:rPr>
          <w:rFonts w:ascii="Times New Roman" w:hAnsi="Times New Roman" w:cs="Times New Roman"/>
          <w:iCs/>
          <w:sz w:val="20"/>
          <w:szCs w:val="20"/>
        </w:rPr>
        <w:t>New Delhi, Common Wealth</w:t>
      </w:r>
      <w:r w:rsidR="00FC73B9" w:rsidRPr="00CF01FB">
        <w:rPr>
          <w:rFonts w:ascii="Times New Roman" w:hAnsi="Times New Roman" w:cs="Times New Roman"/>
          <w:iCs/>
          <w:sz w:val="20"/>
          <w:szCs w:val="20"/>
        </w:rPr>
        <w:t xml:space="preserve"> </w:t>
      </w:r>
      <w:r w:rsidRPr="00CF01FB">
        <w:rPr>
          <w:rFonts w:ascii="Times New Roman" w:hAnsi="Times New Roman" w:cs="Times New Roman"/>
          <w:iCs/>
          <w:sz w:val="20"/>
          <w:szCs w:val="20"/>
        </w:rPr>
        <w:t>Publishers.</w:t>
      </w:r>
    </w:p>
    <w:p w:rsidR="00CF01FB" w:rsidRDefault="00D17F1E" w:rsidP="00CF01FB">
      <w:pPr>
        <w:pStyle w:val="ListParagraph"/>
        <w:numPr>
          <w:ilvl w:val="0"/>
          <w:numId w:val="26"/>
        </w:numPr>
        <w:autoSpaceDE w:val="0"/>
        <w:autoSpaceDN w:val="0"/>
        <w:adjustRightInd w:val="0"/>
        <w:snapToGrid w:val="0"/>
        <w:spacing w:after="0" w:line="240" w:lineRule="auto"/>
        <w:jc w:val="both"/>
        <w:rPr>
          <w:rFonts w:ascii="Times New Roman" w:hAnsi="Times New Roman" w:cs="Times New Roman"/>
          <w:sz w:val="20"/>
          <w:szCs w:val="20"/>
        </w:rPr>
      </w:pPr>
      <w:r w:rsidRPr="00CF01FB">
        <w:rPr>
          <w:rFonts w:ascii="Times New Roman" w:hAnsi="Times New Roman" w:cs="Times New Roman"/>
          <w:sz w:val="20"/>
          <w:szCs w:val="20"/>
        </w:rPr>
        <w:t>Krishna Murthy,</w:t>
      </w:r>
      <w:r w:rsidR="00FC73B9" w:rsidRPr="00CF01FB">
        <w:rPr>
          <w:rFonts w:ascii="Times New Roman" w:hAnsi="Times New Roman" w:cs="Times New Roman"/>
          <w:sz w:val="20"/>
          <w:szCs w:val="20"/>
        </w:rPr>
        <w:t xml:space="preserve"> </w:t>
      </w:r>
      <w:r w:rsidRPr="00CF01FB">
        <w:rPr>
          <w:rFonts w:ascii="Times New Roman" w:hAnsi="Times New Roman" w:cs="Times New Roman"/>
          <w:sz w:val="20"/>
          <w:szCs w:val="20"/>
        </w:rPr>
        <w:t>RA (1985): Study of Position of Enrolment of Children in the age group 0f 6-14 years and</w:t>
      </w:r>
      <w:r w:rsidR="00FC73B9" w:rsidRPr="00CF01FB">
        <w:rPr>
          <w:rFonts w:ascii="Times New Roman" w:hAnsi="Times New Roman" w:cs="Times New Roman"/>
          <w:sz w:val="20"/>
          <w:szCs w:val="20"/>
        </w:rPr>
        <w:t xml:space="preserve"> </w:t>
      </w:r>
      <w:r w:rsidRPr="00CF01FB">
        <w:rPr>
          <w:rFonts w:ascii="Times New Roman" w:hAnsi="Times New Roman" w:cs="Times New Roman"/>
          <w:sz w:val="20"/>
          <w:szCs w:val="20"/>
        </w:rPr>
        <w:t>problems in their Enrolment, SCERT, Andhra Pradesh.</w:t>
      </w:r>
    </w:p>
    <w:p w:rsidR="00FC73B9" w:rsidRPr="00061F21" w:rsidRDefault="00D17F1E" w:rsidP="00CF01FB">
      <w:pPr>
        <w:pStyle w:val="BodyText"/>
        <w:numPr>
          <w:ilvl w:val="0"/>
          <w:numId w:val="26"/>
        </w:numPr>
        <w:snapToGrid w:val="0"/>
        <w:spacing w:line="240" w:lineRule="auto"/>
        <w:jc w:val="both"/>
        <w:rPr>
          <w:iCs/>
          <w:sz w:val="20"/>
        </w:rPr>
      </w:pPr>
      <w:r w:rsidRPr="00061F21">
        <w:rPr>
          <w:iCs/>
          <w:sz w:val="20"/>
        </w:rPr>
        <w:t>Fifth Survey of Educational Research, volume II, New Delhi, NCERT.</w:t>
      </w:r>
      <w:r w:rsidR="00061F21" w:rsidRPr="00061F21">
        <w:rPr>
          <w:rFonts w:eastAsiaTheme="minorEastAsia" w:hint="eastAsia"/>
          <w:iCs/>
          <w:sz w:val="20"/>
          <w:lang w:eastAsia="zh-CN"/>
        </w:rPr>
        <w:t xml:space="preserve"> </w:t>
      </w:r>
    </w:p>
    <w:p w:rsidR="00CF01FB" w:rsidRPr="00CF01FB" w:rsidRDefault="00CF01FB" w:rsidP="00CF01FB">
      <w:pPr>
        <w:autoSpaceDE w:val="0"/>
        <w:autoSpaceDN w:val="0"/>
        <w:adjustRightInd w:val="0"/>
        <w:snapToGrid w:val="0"/>
        <w:spacing w:after="0" w:line="240" w:lineRule="auto"/>
        <w:jc w:val="both"/>
        <w:rPr>
          <w:rFonts w:ascii="Times New Roman" w:hAnsi="Times New Roman" w:cs="Times New Roman"/>
          <w:b/>
          <w:sz w:val="20"/>
          <w:szCs w:val="20"/>
        </w:rPr>
        <w:sectPr w:rsidR="00CF01FB" w:rsidRPr="00CF01FB" w:rsidSect="00482A3D">
          <w:headerReference w:type="default" r:id="rId17"/>
          <w:footerReference w:type="default" r:id="rId18"/>
          <w:type w:val="continuous"/>
          <w:pgSz w:w="12242" w:h="15842" w:code="1"/>
          <w:pgMar w:top="1440" w:right="1440" w:bottom="1440" w:left="1440" w:header="720" w:footer="720" w:gutter="0"/>
          <w:cols w:num="2" w:space="720"/>
          <w:docGrid w:linePitch="360"/>
        </w:sectPr>
      </w:pPr>
    </w:p>
    <w:p w:rsidR="004643C7" w:rsidRDefault="004643C7" w:rsidP="00CF01FB">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CF01FB" w:rsidRDefault="00CF01FB" w:rsidP="00CF01FB">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CF01FB" w:rsidRPr="00CF01FB" w:rsidRDefault="00CF01FB" w:rsidP="00CF01FB">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3C1849" w:rsidRPr="00CF01FB" w:rsidRDefault="004643C7" w:rsidP="00CF01FB">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F01FB">
        <w:rPr>
          <w:rFonts w:ascii="Times New Roman" w:hAnsi="Times New Roman" w:cs="Times New Roman"/>
          <w:sz w:val="20"/>
          <w:szCs w:val="20"/>
        </w:rPr>
        <w:t>9/13/2015</w:t>
      </w:r>
    </w:p>
    <w:sectPr w:rsidR="003C1849" w:rsidRPr="00CF01FB" w:rsidSect="00482A3D">
      <w:headerReference w:type="default" r:id="rId19"/>
      <w:footerReference w:type="default" r:id="rId20"/>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0F" w:rsidRDefault="000C540F" w:rsidP="00940F68">
      <w:pPr>
        <w:spacing w:after="0" w:line="240" w:lineRule="auto"/>
      </w:pPr>
      <w:r>
        <w:separator/>
      </w:r>
    </w:p>
  </w:endnote>
  <w:endnote w:type="continuationSeparator" w:id="0">
    <w:p w:rsidR="000C540F" w:rsidRDefault="000C540F" w:rsidP="0094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ondi">
    <w:altName w:val="Doulos SIL"/>
    <w:charset w:val="00"/>
    <w:family w:val="auto"/>
    <w:pitch w:val="variable"/>
    <w:sig w:usb0="00000003" w:usb1="0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AD0F26" w:rsidP="004643C7">
    <w:pPr>
      <w:spacing w:after="0" w:line="240" w:lineRule="auto"/>
      <w:jc w:val="center"/>
      <w:rPr>
        <w:rFonts w:ascii="Times New Roman" w:hAnsi="Times New Roman" w:cs="Times New Roman"/>
        <w:sz w:val="20"/>
      </w:rPr>
    </w:pPr>
    <w:r w:rsidRPr="004643C7">
      <w:rPr>
        <w:rFonts w:ascii="Times New Roman" w:hAnsi="Times New Roman" w:cs="Times New Roman"/>
        <w:sz w:val="20"/>
      </w:rPr>
      <w:fldChar w:fldCharType="begin"/>
    </w:r>
    <w:r w:rsidR="00CF01FB" w:rsidRPr="004643C7">
      <w:rPr>
        <w:rFonts w:ascii="Times New Roman" w:hAnsi="Times New Roman" w:cs="Times New Roman"/>
        <w:sz w:val="20"/>
      </w:rPr>
      <w:instrText xml:space="preserve"> page </w:instrText>
    </w:r>
    <w:r w:rsidRPr="004643C7">
      <w:rPr>
        <w:rFonts w:ascii="Times New Roman" w:hAnsi="Times New Roman" w:cs="Times New Roman"/>
        <w:sz w:val="20"/>
      </w:rPr>
      <w:fldChar w:fldCharType="separate"/>
    </w:r>
    <w:r w:rsidR="00324504">
      <w:rPr>
        <w:rFonts w:ascii="Times New Roman" w:hAnsi="Times New Roman" w:cs="Times New Roman"/>
        <w:noProof/>
        <w:sz w:val="20"/>
      </w:rPr>
      <w:t>116</w:t>
    </w:r>
    <w:r w:rsidRPr="004643C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AD0F26" w:rsidP="004643C7">
    <w:pPr>
      <w:spacing w:after="0" w:line="240" w:lineRule="auto"/>
      <w:jc w:val="center"/>
      <w:rPr>
        <w:rFonts w:ascii="Times New Roman" w:hAnsi="Times New Roman" w:cs="Times New Roman"/>
        <w:sz w:val="20"/>
      </w:rPr>
    </w:pPr>
    <w:r w:rsidRPr="004643C7">
      <w:rPr>
        <w:rFonts w:ascii="Times New Roman" w:hAnsi="Times New Roman" w:cs="Times New Roman"/>
        <w:sz w:val="20"/>
      </w:rPr>
      <w:fldChar w:fldCharType="begin"/>
    </w:r>
    <w:r w:rsidR="00CF01FB" w:rsidRPr="004643C7">
      <w:rPr>
        <w:rFonts w:ascii="Times New Roman" w:hAnsi="Times New Roman" w:cs="Times New Roman"/>
        <w:sz w:val="20"/>
      </w:rPr>
      <w:instrText xml:space="preserve"> page </w:instrText>
    </w:r>
    <w:r w:rsidRPr="004643C7">
      <w:rPr>
        <w:rFonts w:ascii="Times New Roman" w:hAnsi="Times New Roman" w:cs="Times New Roman"/>
        <w:sz w:val="20"/>
      </w:rPr>
      <w:fldChar w:fldCharType="separate"/>
    </w:r>
    <w:r w:rsidR="00324504">
      <w:rPr>
        <w:rFonts w:ascii="Times New Roman" w:hAnsi="Times New Roman" w:cs="Times New Roman"/>
        <w:noProof/>
        <w:sz w:val="20"/>
      </w:rPr>
      <w:t>119</w:t>
    </w:r>
    <w:r w:rsidRPr="004643C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AD0F26" w:rsidP="004643C7">
    <w:pPr>
      <w:spacing w:after="0" w:line="240" w:lineRule="auto"/>
      <w:jc w:val="center"/>
      <w:rPr>
        <w:rFonts w:ascii="Times New Roman" w:hAnsi="Times New Roman" w:cs="Times New Roman"/>
        <w:sz w:val="20"/>
      </w:rPr>
    </w:pPr>
    <w:r w:rsidRPr="004643C7">
      <w:rPr>
        <w:rFonts w:ascii="Times New Roman" w:hAnsi="Times New Roman" w:cs="Times New Roman"/>
        <w:sz w:val="20"/>
      </w:rPr>
      <w:fldChar w:fldCharType="begin"/>
    </w:r>
    <w:r w:rsidR="00CF01FB" w:rsidRPr="004643C7">
      <w:rPr>
        <w:rFonts w:ascii="Times New Roman" w:hAnsi="Times New Roman" w:cs="Times New Roman"/>
        <w:sz w:val="20"/>
      </w:rPr>
      <w:instrText xml:space="preserve"> page </w:instrText>
    </w:r>
    <w:r w:rsidRPr="004643C7">
      <w:rPr>
        <w:rFonts w:ascii="Times New Roman" w:hAnsi="Times New Roman" w:cs="Times New Roman"/>
        <w:sz w:val="20"/>
      </w:rPr>
      <w:fldChar w:fldCharType="separate"/>
    </w:r>
    <w:r w:rsidR="00CF01FB">
      <w:rPr>
        <w:rFonts w:ascii="Times New Roman" w:hAnsi="Times New Roman" w:cs="Times New Roman"/>
        <w:noProof/>
        <w:sz w:val="20"/>
      </w:rPr>
      <w:t>5</w:t>
    </w:r>
    <w:r w:rsidRPr="004643C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AD0F26" w:rsidP="004643C7">
    <w:pPr>
      <w:spacing w:after="0" w:line="240" w:lineRule="auto"/>
      <w:jc w:val="center"/>
      <w:rPr>
        <w:rFonts w:ascii="Times New Roman" w:hAnsi="Times New Roman" w:cs="Times New Roman"/>
        <w:sz w:val="20"/>
      </w:rPr>
    </w:pPr>
    <w:r w:rsidRPr="004643C7">
      <w:rPr>
        <w:rFonts w:ascii="Times New Roman" w:hAnsi="Times New Roman" w:cs="Times New Roman"/>
        <w:sz w:val="20"/>
      </w:rPr>
      <w:fldChar w:fldCharType="begin"/>
    </w:r>
    <w:r w:rsidR="00CF01FB" w:rsidRPr="004643C7">
      <w:rPr>
        <w:rFonts w:ascii="Times New Roman" w:hAnsi="Times New Roman" w:cs="Times New Roman"/>
        <w:sz w:val="20"/>
      </w:rPr>
      <w:instrText xml:space="preserve"> page </w:instrText>
    </w:r>
    <w:r w:rsidRPr="004643C7">
      <w:rPr>
        <w:rFonts w:ascii="Times New Roman" w:hAnsi="Times New Roman" w:cs="Times New Roman"/>
        <w:sz w:val="20"/>
      </w:rPr>
      <w:fldChar w:fldCharType="separate"/>
    </w:r>
    <w:r w:rsidR="00324504">
      <w:rPr>
        <w:rFonts w:ascii="Times New Roman" w:hAnsi="Times New Roman" w:cs="Times New Roman"/>
        <w:noProof/>
        <w:sz w:val="20"/>
      </w:rPr>
      <w:t>120</w:t>
    </w:r>
    <w:r w:rsidRPr="004643C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C7" w:rsidRPr="004643C7" w:rsidRDefault="00AD0F26" w:rsidP="004643C7">
    <w:pPr>
      <w:spacing w:after="0" w:line="240" w:lineRule="auto"/>
      <w:jc w:val="center"/>
      <w:rPr>
        <w:rFonts w:ascii="Times New Roman" w:hAnsi="Times New Roman" w:cs="Times New Roman"/>
        <w:sz w:val="20"/>
      </w:rPr>
    </w:pPr>
    <w:r w:rsidRPr="004643C7">
      <w:rPr>
        <w:rFonts w:ascii="Times New Roman" w:hAnsi="Times New Roman" w:cs="Times New Roman"/>
        <w:sz w:val="20"/>
      </w:rPr>
      <w:fldChar w:fldCharType="begin"/>
    </w:r>
    <w:r w:rsidR="004643C7" w:rsidRPr="004643C7">
      <w:rPr>
        <w:rFonts w:ascii="Times New Roman" w:hAnsi="Times New Roman" w:cs="Times New Roman"/>
        <w:sz w:val="20"/>
      </w:rPr>
      <w:instrText xml:space="preserve"> page </w:instrText>
    </w:r>
    <w:r w:rsidRPr="004643C7">
      <w:rPr>
        <w:rFonts w:ascii="Times New Roman" w:hAnsi="Times New Roman" w:cs="Times New Roman"/>
        <w:sz w:val="20"/>
      </w:rPr>
      <w:fldChar w:fldCharType="separate"/>
    </w:r>
    <w:r w:rsidR="00CF01FB">
      <w:rPr>
        <w:rFonts w:ascii="Times New Roman" w:hAnsi="Times New Roman" w:cs="Times New Roman"/>
        <w:noProof/>
        <w:sz w:val="20"/>
      </w:rPr>
      <w:t>1</w:t>
    </w:r>
    <w:r w:rsidRPr="004643C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0F" w:rsidRDefault="000C540F" w:rsidP="00940F68">
      <w:pPr>
        <w:spacing w:after="0" w:line="240" w:lineRule="auto"/>
      </w:pPr>
      <w:r>
        <w:separator/>
      </w:r>
    </w:p>
  </w:footnote>
  <w:footnote w:type="continuationSeparator" w:id="0">
    <w:p w:rsidR="000C540F" w:rsidRDefault="000C540F" w:rsidP="00940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CF01FB" w:rsidP="004643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643C7">
      <w:rPr>
        <w:rFonts w:ascii="Times New Roman" w:hAnsi="Times New Roman" w:cs="Times New Roman" w:hint="eastAsia"/>
        <w:sz w:val="20"/>
        <w:szCs w:val="20"/>
      </w:rPr>
      <w:tab/>
    </w:r>
    <w:r w:rsidRPr="004643C7">
      <w:rPr>
        <w:rFonts w:ascii="Times New Roman" w:hAnsi="Times New Roman" w:cs="Times New Roman"/>
        <w:sz w:val="20"/>
        <w:szCs w:val="20"/>
      </w:rPr>
      <w:t>World Rural Observations 201</w:t>
    </w:r>
    <w:r w:rsidRPr="004643C7">
      <w:rPr>
        <w:rFonts w:ascii="Times New Roman" w:hAnsi="Times New Roman" w:cs="Times New Roman" w:hint="eastAsia"/>
        <w:sz w:val="20"/>
        <w:szCs w:val="20"/>
      </w:rPr>
      <w:t>5</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7</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3</w:t>
    </w:r>
    <w:r w:rsidRPr="004643C7">
      <w:rPr>
        <w:rFonts w:ascii="Times New Roman" w:hAnsi="Times New Roman" w:cs="Times New Roman"/>
        <w:sz w:val="20"/>
        <w:szCs w:val="20"/>
      </w:rPr>
      <w:t xml:space="preserve">)      </w:t>
    </w:r>
    <w:r w:rsidRPr="004643C7">
      <w:rPr>
        <w:rFonts w:ascii="Times New Roman" w:hAnsi="Times New Roman" w:cs="Times New Roman" w:hint="eastAsia"/>
        <w:sz w:val="20"/>
        <w:szCs w:val="20"/>
      </w:rPr>
      <w:tab/>
    </w:r>
    <w:r w:rsidRPr="004643C7">
      <w:rPr>
        <w:rFonts w:ascii="Times New Roman" w:hAnsi="Times New Roman" w:cs="Times New Roman"/>
        <w:sz w:val="20"/>
        <w:szCs w:val="20"/>
      </w:rPr>
      <w:t xml:space="preserve">       </w:t>
    </w:r>
    <w:hyperlink r:id="rId1" w:history="1">
      <w:r w:rsidRPr="004643C7">
        <w:rPr>
          <w:rStyle w:val="Hyperlink"/>
          <w:rFonts w:ascii="Times New Roman" w:hAnsi="Times New Roman" w:cs="Times New Roman"/>
          <w:sz w:val="20"/>
          <w:szCs w:val="20"/>
        </w:rPr>
        <w:t>http://www.sciencepub.net/rural</w:t>
      </w:r>
    </w:hyperlink>
  </w:p>
  <w:p w:rsidR="00CF01FB" w:rsidRPr="004643C7" w:rsidRDefault="00CF01FB" w:rsidP="004643C7">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CF01FB" w:rsidP="004643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643C7">
      <w:rPr>
        <w:rFonts w:ascii="Times New Roman" w:hAnsi="Times New Roman" w:cs="Times New Roman" w:hint="eastAsia"/>
        <w:sz w:val="20"/>
        <w:szCs w:val="20"/>
      </w:rPr>
      <w:tab/>
    </w:r>
    <w:r w:rsidRPr="004643C7">
      <w:rPr>
        <w:rFonts w:ascii="Times New Roman" w:hAnsi="Times New Roman" w:cs="Times New Roman"/>
        <w:sz w:val="20"/>
        <w:szCs w:val="20"/>
      </w:rPr>
      <w:t>World Rural Observations 201</w:t>
    </w:r>
    <w:r w:rsidRPr="004643C7">
      <w:rPr>
        <w:rFonts w:ascii="Times New Roman" w:hAnsi="Times New Roman" w:cs="Times New Roman" w:hint="eastAsia"/>
        <w:sz w:val="20"/>
        <w:szCs w:val="20"/>
      </w:rPr>
      <w:t>5</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7</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3</w:t>
    </w:r>
    <w:r w:rsidRPr="004643C7">
      <w:rPr>
        <w:rFonts w:ascii="Times New Roman" w:hAnsi="Times New Roman" w:cs="Times New Roman"/>
        <w:sz w:val="20"/>
        <w:szCs w:val="20"/>
      </w:rPr>
      <w:t xml:space="preserve">)      </w:t>
    </w:r>
    <w:r w:rsidRPr="004643C7">
      <w:rPr>
        <w:rFonts w:ascii="Times New Roman" w:hAnsi="Times New Roman" w:cs="Times New Roman" w:hint="eastAsia"/>
        <w:sz w:val="20"/>
        <w:szCs w:val="20"/>
      </w:rPr>
      <w:tab/>
    </w:r>
    <w:r w:rsidRPr="004643C7">
      <w:rPr>
        <w:rFonts w:ascii="Times New Roman" w:hAnsi="Times New Roman" w:cs="Times New Roman"/>
        <w:sz w:val="20"/>
        <w:szCs w:val="20"/>
      </w:rPr>
      <w:t xml:space="preserve">       </w:t>
    </w:r>
    <w:hyperlink r:id="rId1" w:history="1">
      <w:r w:rsidRPr="004643C7">
        <w:rPr>
          <w:rStyle w:val="Hyperlink"/>
          <w:rFonts w:ascii="Times New Roman" w:hAnsi="Times New Roman" w:cs="Times New Roman"/>
          <w:sz w:val="20"/>
          <w:szCs w:val="20"/>
        </w:rPr>
        <w:t>http://www.sciencepub.net/rural</w:t>
      </w:r>
    </w:hyperlink>
  </w:p>
  <w:p w:rsidR="00CF01FB" w:rsidRPr="004643C7" w:rsidRDefault="00CF01FB" w:rsidP="004643C7">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CF01FB" w:rsidP="004643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643C7">
      <w:rPr>
        <w:rFonts w:ascii="Times New Roman" w:hAnsi="Times New Roman" w:cs="Times New Roman" w:hint="eastAsia"/>
        <w:sz w:val="20"/>
        <w:szCs w:val="20"/>
      </w:rPr>
      <w:tab/>
    </w:r>
    <w:r w:rsidRPr="004643C7">
      <w:rPr>
        <w:rFonts w:ascii="Times New Roman" w:hAnsi="Times New Roman" w:cs="Times New Roman"/>
        <w:sz w:val="20"/>
        <w:szCs w:val="20"/>
      </w:rPr>
      <w:t>World Rural Observations 201</w:t>
    </w:r>
    <w:r w:rsidRPr="004643C7">
      <w:rPr>
        <w:rFonts w:ascii="Times New Roman" w:hAnsi="Times New Roman" w:cs="Times New Roman" w:hint="eastAsia"/>
        <w:sz w:val="20"/>
        <w:szCs w:val="20"/>
      </w:rPr>
      <w:t>5</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7</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3</w:t>
    </w:r>
    <w:r w:rsidRPr="004643C7">
      <w:rPr>
        <w:rFonts w:ascii="Times New Roman" w:hAnsi="Times New Roman" w:cs="Times New Roman"/>
        <w:sz w:val="20"/>
        <w:szCs w:val="20"/>
      </w:rPr>
      <w:t xml:space="preserve">)      </w:t>
    </w:r>
    <w:r w:rsidRPr="004643C7">
      <w:rPr>
        <w:rFonts w:ascii="Times New Roman" w:hAnsi="Times New Roman" w:cs="Times New Roman" w:hint="eastAsia"/>
        <w:sz w:val="20"/>
        <w:szCs w:val="20"/>
      </w:rPr>
      <w:tab/>
    </w:r>
    <w:r w:rsidRPr="004643C7">
      <w:rPr>
        <w:rFonts w:ascii="Times New Roman" w:hAnsi="Times New Roman" w:cs="Times New Roman"/>
        <w:sz w:val="20"/>
        <w:szCs w:val="20"/>
      </w:rPr>
      <w:t xml:space="preserve">       </w:t>
    </w:r>
    <w:hyperlink r:id="rId1" w:history="1">
      <w:r w:rsidRPr="004643C7">
        <w:rPr>
          <w:rStyle w:val="Hyperlink"/>
          <w:rFonts w:ascii="Times New Roman" w:hAnsi="Times New Roman" w:cs="Times New Roman"/>
          <w:sz w:val="20"/>
          <w:szCs w:val="20"/>
        </w:rPr>
        <w:t>http://www.sciencepub.net/rural</w:t>
      </w:r>
    </w:hyperlink>
  </w:p>
  <w:p w:rsidR="00CF01FB" w:rsidRPr="004643C7" w:rsidRDefault="00CF01FB" w:rsidP="004643C7">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FB" w:rsidRPr="004643C7" w:rsidRDefault="00CF01FB" w:rsidP="004643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643C7">
      <w:rPr>
        <w:rFonts w:ascii="Times New Roman" w:hAnsi="Times New Roman" w:cs="Times New Roman" w:hint="eastAsia"/>
        <w:sz w:val="20"/>
        <w:szCs w:val="20"/>
      </w:rPr>
      <w:tab/>
    </w:r>
    <w:r w:rsidRPr="004643C7">
      <w:rPr>
        <w:rFonts w:ascii="Times New Roman" w:hAnsi="Times New Roman" w:cs="Times New Roman"/>
        <w:sz w:val="20"/>
        <w:szCs w:val="20"/>
      </w:rPr>
      <w:t>World Rural Observations 201</w:t>
    </w:r>
    <w:r w:rsidRPr="004643C7">
      <w:rPr>
        <w:rFonts w:ascii="Times New Roman" w:hAnsi="Times New Roman" w:cs="Times New Roman" w:hint="eastAsia"/>
        <w:sz w:val="20"/>
        <w:szCs w:val="20"/>
      </w:rPr>
      <w:t>5</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7</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3</w:t>
    </w:r>
    <w:r w:rsidRPr="004643C7">
      <w:rPr>
        <w:rFonts w:ascii="Times New Roman" w:hAnsi="Times New Roman" w:cs="Times New Roman"/>
        <w:sz w:val="20"/>
        <w:szCs w:val="20"/>
      </w:rPr>
      <w:t xml:space="preserve">)      </w:t>
    </w:r>
    <w:r w:rsidRPr="004643C7">
      <w:rPr>
        <w:rFonts w:ascii="Times New Roman" w:hAnsi="Times New Roman" w:cs="Times New Roman" w:hint="eastAsia"/>
        <w:sz w:val="20"/>
        <w:szCs w:val="20"/>
      </w:rPr>
      <w:tab/>
    </w:r>
    <w:r w:rsidRPr="004643C7">
      <w:rPr>
        <w:rFonts w:ascii="Times New Roman" w:hAnsi="Times New Roman" w:cs="Times New Roman"/>
        <w:sz w:val="20"/>
        <w:szCs w:val="20"/>
      </w:rPr>
      <w:t xml:space="preserve">       </w:t>
    </w:r>
    <w:hyperlink r:id="rId1" w:history="1">
      <w:r w:rsidRPr="004643C7">
        <w:rPr>
          <w:rStyle w:val="Hyperlink"/>
          <w:rFonts w:ascii="Times New Roman" w:hAnsi="Times New Roman" w:cs="Times New Roman"/>
          <w:sz w:val="20"/>
          <w:szCs w:val="20"/>
        </w:rPr>
        <w:t>http://www.sciencepub.net/rural</w:t>
      </w:r>
    </w:hyperlink>
  </w:p>
  <w:p w:rsidR="00CF01FB" w:rsidRPr="004643C7" w:rsidRDefault="00CF01FB" w:rsidP="004643C7">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C7" w:rsidRPr="004643C7" w:rsidRDefault="004643C7" w:rsidP="004643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4643C7">
      <w:rPr>
        <w:rFonts w:ascii="Times New Roman" w:hAnsi="Times New Roman" w:cs="Times New Roman" w:hint="eastAsia"/>
        <w:sz w:val="20"/>
        <w:szCs w:val="20"/>
      </w:rPr>
      <w:tab/>
    </w:r>
    <w:r w:rsidRPr="004643C7">
      <w:rPr>
        <w:rFonts w:ascii="Times New Roman" w:hAnsi="Times New Roman" w:cs="Times New Roman"/>
        <w:sz w:val="20"/>
        <w:szCs w:val="20"/>
      </w:rPr>
      <w:t>World Rural Observations 201</w:t>
    </w:r>
    <w:r w:rsidRPr="004643C7">
      <w:rPr>
        <w:rFonts w:ascii="Times New Roman" w:hAnsi="Times New Roman" w:cs="Times New Roman" w:hint="eastAsia"/>
        <w:sz w:val="20"/>
        <w:szCs w:val="20"/>
      </w:rPr>
      <w:t>5</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7</w:t>
    </w:r>
    <w:r w:rsidRPr="004643C7">
      <w:rPr>
        <w:rFonts w:ascii="Times New Roman" w:hAnsi="Times New Roman" w:cs="Times New Roman"/>
        <w:sz w:val="20"/>
        <w:szCs w:val="20"/>
      </w:rPr>
      <w:t>(</w:t>
    </w:r>
    <w:r w:rsidRPr="004643C7">
      <w:rPr>
        <w:rFonts w:ascii="Times New Roman" w:hAnsi="Times New Roman" w:cs="Times New Roman" w:hint="eastAsia"/>
        <w:sz w:val="20"/>
        <w:szCs w:val="20"/>
      </w:rPr>
      <w:t>3</w:t>
    </w:r>
    <w:r w:rsidRPr="004643C7">
      <w:rPr>
        <w:rFonts w:ascii="Times New Roman" w:hAnsi="Times New Roman" w:cs="Times New Roman"/>
        <w:sz w:val="20"/>
        <w:szCs w:val="20"/>
      </w:rPr>
      <w:t xml:space="preserve">)      </w:t>
    </w:r>
    <w:r w:rsidRPr="004643C7">
      <w:rPr>
        <w:rFonts w:ascii="Times New Roman" w:hAnsi="Times New Roman" w:cs="Times New Roman" w:hint="eastAsia"/>
        <w:sz w:val="20"/>
        <w:szCs w:val="20"/>
      </w:rPr>
      <w:tab/>
    </w:r>
    <w:r w:rsidRPr="004643C7">
      <w:rPr>
        <w:rFonts w:ascii="Times New Roman" w:hAnsi="Times New Roman" w:cs="Times New Roman"/>
        <w:sz w:val="20"/>
        <w:szCs w:val="20"/>
      </w:rPr>
      <w:t xml:space="preserve">       </w:t>
    </w:r>
    <w:hyperlink r:id="rId1" w:history="1">
      <w:r w:rsidRPr="004643C7">
        <w:rPr>
          <w:rStyle w:val="Hyperlink"/>
          <w:rFonts w:ascii="Times New Roman" w:hAnsi="Times New Roman" w:cs="Times New Roman"/>
          <w:sz w:val="20"/>
          <w:szCs w:val="20"/>
        </w:rPr>
        <w:t>http://www.sciencepub.net/rural</w:t>
      </w:r>
    </w:hyperlink>
  </w:p>
  <w:p w:rsidR="004643C7" w:rsidRPr="004643C7" w:rsidRDefault="004643C7" w:rsidP="004643C7">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15.65pt;visibility:visible;mso-wrap-style:square" o:bullet="t">
        <v:imagedata r:id="rId1" o:title=""/>
      </v:shape>
    </w:pict>
  </w:numPicBullet>
  <w:abstractNum w:abstractNumId="0">
    <w:nsid w:val="04C64181"/>
    <w:multiLevelType w:val="hybridMultilevel"/>
    <w:tmpl w:val="5B7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C144B"/>
    <w:multiLevelType w:val="hybridMultilevel"/>
    <w:tmpl w:val="6534D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E561A"/>
    <w:multiLevelType w:val="hybridMultilevel"/>
    <w:tmpl w:val="B91C0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676BF"/>
    <w:multiLevelType w:val="hybridMultilevel"/>
    <w:tmpl w:val="8C2C1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434E3"/>
    <w:multiLevelType w:val="hybridMultilevel"/>
    <w:tmpl w:val="5C6AE9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E90BCD"/>
    <w:multiLevelType w:val="hybridMultilevel"/>
    <w:tmpl w:val="C84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F074E"/>
    <w:multiLevelType w:val="hybridMultilevel"/>
    <w:tmpl w:val="F03E1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44AF7"/>
    <w:multiLevelType w:val="hybridMultilevel"/>
    <w:tmpl w:val="1D721A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A64542"/>
    <w:multiLevelType w:val="multilevel"/>
    <w:tmpl w:val="47A05230"/>
    <w:lvl w:ilvl="0">
      <w:start w:val="1"/>
      <w:numFmt w:val="decimal"/>
      <w:lvlText w:val="%1"/>
      <w:lvlJc w:val="left"/>
      <w:pPr>
        <w:ind w:left="480" w:hanging="480"/>
      </w:pPr>
      <w:rPr>
        <w:rFonts w:hint="default"/>
      </w:rPr>
    </w:lvl>
    <w:lvl w:ilvl="1">
      <w:start w:val="1"/>
      <w:numFmt w:val="decimal"/>
      <w:lvlText w:val="%1.%2"/>
      <w:lvlJc w:val="left"/>
      <w:pPr>
        <w:ind w:left="2160" w:hanging="720"/>
      </w:pPr>
      <w:rPr>
        <w:rFonts w:ascii="Biondi" w:hAnsi="Biondi"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9">
    <w:nsid w:val="286B4395"/>
    <w:multiLevelType w:val="hybridMultilevel"/>
    <w:tmpl w:val="C03E9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40F13"/>
    <w:multiLevelType w:val="hybridMultilevel"/>
    <w:tmpl w:val="2174A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D249F"/>
    <w:multiLevelType w:val="hybridMultilevel"/>
    <w:tmpl w:val="63C8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1F4DC3"/>
    <w:multiLevelType w:val="hybridMultilevel"/>
    <w:tmpl w:val="E11A5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C07D3"/>
    <w:multiLevelType w:val="hybridMultilevel"/>
    <w:tmpl w:val="3AD09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635D1"/>
    <w:multiLevelType w:val="hybridMultilevel"/>
    <w:tmpl w:val="3AD09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9A560F"/>
    <w:multiLevelType w:val="hybridMultilevel"/>
    <w:tmpl w:val="8F2045B8"/>
    <w:lvl w:ilvl="0" w:tplc="04090001">
      <w:start w:val="1"/>
      <w:numFmt w:val="bullet"/>
      <w:lvlText w:val=""/>
      <w:lvlJc w:val="left"/>
      <w:pPr>
        <w:ind w:left="887" w:hanging="360"/>
      </w:pPr>
      <w:rPr>
        <w:rFonts w:ascii="Symbol" w:hAnsi="Symbol" w:hint="default"/>
      </w:rPr>
    </w:lvl>
    <w:lvl w:ilvl="1" w:tplc="04090003" w:tentative="1">
      <w:start w:val="1"/>
      <w:numFmt w:val="bullet"/>
      <w:lvlText w:val="o"/>
      <w:lvlJc w:val="left"/>
      <w:pPr>
        <w:ind w:left="1607" w:hanging="360"/>
      </w:pPr>
      <w:rPr>
        <w:rFonts w:ascii="Courier New" w:hAnsi="Courier New" w:cs="Courier New" w:hint="default"/>
      </w:rPr>
    </w:lvl>
    <w:lvl w:ilvl="2" w:tplc="04090005" w:tentative="1">
      <w:start w:val="1"/>
      <w:numFmt w:val="bullet"/>
      <w:lvlText w:val=""/>
      <w:lvlJc w:val="left"/>
      <w:pPr>
        <w:ind w:left="2327" w:hanging="360"/>
      </w:pPr>
      <w:rPr>
        <w:rFonts w:ascii="Wingdings" w:hAnsi="Wingdings" w:hint="default"/>
      </w:rPr>
    </w:lvl>
    <w:lvl w:ilvl="3" w:tplc="04090001" w:tentative="1">
      <w:start w:val="1"/>
      <w:numFmt w:val="bullet"/>
      <w:lvlText w:val=""/>
      <w:lvlJc w:val="left"/>
      <w:pPr>
        <w:ind w:left="3047" w:hanging="360"/>
      </w:pPr>
      <w:rPr>
        <w:rFonts w:ascii="Symbol" w:hAnsi="Symbol" w:hint="default"/>
      </w:rPr>
    </w:lvl>
    <w:lvl w:ilvl="4" w:tplc="04090003" w:tentative="1">
      <w:start w:val="1"/>
      <w:numFmt w:val="bullet"/>
      <w:lvlText w:val="o"/>
      <w:lvlJc w:val="left"/>
      <w:pPr>
        <w:ind w:left="3767" w:hanging="360"/>
      </w:pPr>
      <w:rPr>
        <w:rFonts w:ascii="Courier New" w:hAnsi="Courier New" w:cs="Courier New" w:hint="default"/>
      </w:rPr>
    </w:lvl>
    <w:lvl w:ilvl="5" w:tplc="04090005" w:tentative="1">
      <w:start w:val="1"/>
      <w:numFmt w:val="bullet"/>
      <w:lvlText w:val=""/>
      <w:lvlJc w:val="left"/>
      <w:pPr>
        <w:ind w:left="4487" w:hanging="360"/>
      </w:pPr>
      <w:rPr>
        <w:rFonts w:ascii="Wingdings" w:hAnsi="Wingdings" w:hint="default"/>
      </w:rPr>
    </w:lvl>
    <w:lvl w:ilvl="6" w:tplc="04090001" w:tentative="1">
      <w:start w:val="1"/>
      <w:numFmt w:val="bullet"/>
      <w:lvlText w:val=""/>
      <w:lvlJc w:val="left"/>
      <w:pPr>
        <w:ind w:left="5207" w:hanging="360"/>
      </w:pPr>
      <w:rPr>
        <w:rFonts w:ascii="Symbol" w:hAnsi="Symbol" w:hint="default"/>
      </w:rPr>
    </w:lvl>
    <w:lvl w:ilvl="7" w:tplc="04090003" w:tentative="1">
      <w:start w:val="1"/>
      <w:numFmt w:val="bullet"/>
      <w:lvlText w:val="o"/>
      <w:lvlJc w:val="left"/>
      <w:pPr>
        <w:ind w:left="5927" w:hanging="360"/>
      </w:pPr>
      <w:rPr>
        <w:rFonts w:ascii="Courier New" w:hAnsi="Courier New" w:cs="Courier New" w:hint="default"/>
      </w:rPr>
    </w:lvl>
    <w:lvl w:ilvl="8" w:tplc="04090005" w:tentative="1">
      <w:start w:val="1"/>
      <w:numFmt w:val="bullet"/>
      <w:lvlText w:val=""/>
      <w:lvlJc w:val="left"/>
      <w:pPr>
        <w:ind w:left="6647" w:hanging="360"/>
      </w:pPr>
      <w:rPr>
        <w:rFonts w:ascii="Wingdings" w:hAnsi="Wingdings" w:hint="default"/>
      </w:rPr>
    </w:lvl>
  </w:abstractNum>
  <w:abstractNum w:abstractNumId="16">
    <w:nsid w:val="557365B1"/>
    <w:multiLevelType w:val="hybridMultilevel"/>
    <w:tmpl w:val="2DB6E7F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55AB50B6"/>
    <w:multiLevelType w:val="hybridMultilevel"/>
    <w:tmpl w:val="22DA59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5BC67C22"/>
    <w:multiLevelType w:val="hybridMultilevel"/>
    <w:tmpl w:val="34422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C6251"/>
    <w:multiLevelType w:val="hybridMultilevel"/>
    <w:tmpl w:val="EC06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52434"/>
    <w:multiLevelType w:val="hybridMultilevel"/>
    <w:tmpl w:val="4014A3B8"/>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69343BB9"/>
    <w:multiLevelType w:val="hybridMultilevel"/>
    <w:tmpl w:val="CF021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B5074"/>
    <w:multiLevelType w:val="hybridMultilevel"/>
    <w:tmpl w:val="5C02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93054"/>
    <w:multiLevelType w:val="hybridMultilevel"/>
    <w:tmpl w:val="F6DE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6280D"/>
    <w:multiLevelType w:val="hybridMultilevel"/>
    <w:tmpl w:val="844E0C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6E3171"/>
    <w:multiLevelType w:val="hybridMultilevel"/>
    <w:tmpl w:val="E8686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16"/>
  </w:num>
  <w:num w:numId="5">
    <w:abstractNumId w:val="7"/>
  </w:num>
  <w:num w:numId="6">
    <w:abstractNumId w:val="11"/>
  </w:num>
  <w:num w:numId="7">
    <w:abstractNumId w:val="13"/>
  </w:num>
  <w:num w:numId="8">
    <w:abstractNumId w:val="19"/>
  </w:num>
  <w:num w:numId="9">
    <w:abstractNumId w:val="22"/>
  </w:num>
  <w:num w:numId="10">
    <w:abstractNumId w:val="23"/>
  </w:num>
  <w:num w:numId="11">
    <w:abstractNumId w:val="0"/>
  </w:num>
  <w:num w:numId="12">
    <w:abstractNumId w:val="10"/>
  </w:num>
  <w:num w:numId="13">
    <w:abstractNumId w:val="14"/>
  </w:num>
  <w:num w:numId="14">
    <w:abstractNumId w:val="4"/>
  </w:num>
  <w:num w:numId="15">
    <w:abstractNumId w:val="1"/>
  </w:num>
  <w:num w:numId="16">
    <w:abstractNumId w:val="21"/>
  </w:num>
  <w:num w:numId="17">
    <w:abstractNumId w:val="2"/>
  </w:num>
  <w:num w:numId="18">
    <w:abstractNumId w:val="3"/>
  </w:num>
  <w:num w:numId="19">
    <w:abstractNumId w:val="25"/>
  </w:num>
  <w:num w:numId="20">
    <w:abstractNumId w:val="12"/>
  </w:num>
  <w:num w:numId="21">
    <w:abstractNumId w:val="8"/>
  </w:num>
  <w:num w:numId="22">
    <w:abstractNumId w:val="15"/>
  </w:num>
  <w:num w:numId="23">
    <w:abstractNumId w:val="17"/>
  </w:num>
  <w:num w:numId="24">
    <w:abstractNumId w:val="6"/>
  </w:num>
  <w:num w:numId="25">
    <w:abstractNumId w:val="2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BB606D"/>
    <w:rsid w:val="00000FF8"/>
    <w:rsid w:val="00004F93"/>
    <w:rsid w:val="00011235"/>
    <w:rsid w:val="00011AEC"/>
    <w:rsid w:val="0001263D"/>
    <w:rsid w:val="00013FAB"/>
    <w:rsid w:val="0002258D"/>
    <w:rsid w:val="00024679"/>
    <w:rsid w:val="00025FB2"/>
    <w:rsid w:val="00026324"/>
    <w:rsid w:val="0002691E"/>
    <w:rsid w:val="00027A28"/>
    <w:rsid w:val="00033785"/>
    <w:rsid w:val="00040DC1"/>
    <w:rsid w:val="0004143F"/>
    <w:rsid w:val="00042C9E"/>
    <w:rsid w:val="00042D29"/>
    <w:rsid w:val="0004712D"/>
    <w:rsid w:val="0005089E"/>
    <w:rsid w:val="00051FD9"/>
    <w:rsid w:val="00060038"/>
    <w:rsid w:val="00061F21"/>
    <w:rsid w:val="00062A00"/>
    <w:rsid w:val="00062E7F"/>
    <w:rsid w:val="00064287"/>
    <w:rsid w:val="0007451F"/>
    <w:rsid w:val="00075BB6"/>
    <w:rsid w:val="00081C68"/>
    <w:rsid w:val="00082669"/>
    <w:rsid w:val="000837D1"/>
    <w:rsid w:val="00083BDA"/>
    <w:rsid w:val="00084039"/>
    <w:rsid w:val="00086EBC"/>
    <w:rsid w:val="00087A5E"/>
    <w:rsid w:val="00090F36"/>
    <w:rsid w:val="0009233F"/>
    <w:rsid w:val="00092DCE"/>
    <w:rsid w:val="00094192"/>
    <w:rsid w:val="00094721"/>
    <w:rsid w:val="000A1BF8"/>
    <w:rsid w:val="000B01A2"/>
    <w:rsid w:val="000B2A54"/>
    <w:rsid w:val="000B31B3"/>
    <w:rsid w:val="000B4183"/>
    <w:rsid w:val="000B5082"/>
    <w:rsid w:val="000B7E30"/>
    <w:rsid w:val="000C1FFE"/>
    <w:rsid w:val="000C339C"/>
    <w:rsid w:val="000C540F"/>
    <w:rsid w:val="000D138E"/>
    <w:rsid w:val="000D2A1C"/>
    <w:rsid w:val="000D5BDD"/>
    <w:rsid w:val="000D7310"/>
    <w:rsid w:val="000E159D"/>
    <w:rsid w:val="000E50D8"/>
    <w:rsid w:val="000E5DF9"/>
    <w:rsid w:val="000E682E"/>
    <w:rsid w:val="000F0422"/>
    <w:rsid w:val="000F2DE8"/>
    <w:rsid w:val="000F2FBA"/>
    <w:rsid w:val="000F3926"/>
    <w:rsid w:val="000F55AD"/>
    <w:rsid w:val="000F705E"/>
    <w:rsid w:val="0010015E"/>
    <w:rsid w:val="0010200A"/>
    <w:rsid w:val="001052E2"/>
    <w:rsid w:val="0012093A"/>
    <w:rsid w:val="00120B59"/>
    <w:rsid w:val="00123AE7"/>
    <w:rsid w:val="00123F9A"/>
    <w:rsid w:val="0012636B"/>
    <w:rsid w:val="001265B7"/>
    <w:rsid w:val="0012712E"/>
    <w:rsid w:val="001272B7"/>
    <w:rsid w:val="0013003F"/>
    <w:rsid w:val="00143FEC"/>
    <w:rsid w:val="00146B26"/>
    <w:rsid w:val="00153667"/>
    <w:rsid w:val="00154C9B"/>
    <w:rsid w:val="00172574"/>
    <w:rsid w:val="00175354"/>
    <w:rsid w:val="0017707B"/>
    <w:rsid w:val="001807FC"/>
    <w:rsid w:val="00180960"/>
    <w:rsid w:val="001834A2"/>
    <w:rsid w:val="00185AC0"/>
    <w:rsid w:val="001869FF"/>
    <w:rsid w:val="00186AD8"/>
    <w:rsid w:val="00186C64"/>
    <w:rsid w:val="001938C0"/>
    <w:rsid w:val="001951B7"/>
    <w:rsid w:val="001A015B"/>
    <w:rsid w:val="001A6C2F"/>
    <w:rsid w:val="001A719E"/>
    <w:rsid w:val="001B42BF"/>
    <w:rsid w:val="001B5418"/>
    <w:rsid w:val="001B5764"/>
    <w:rsid w:val="001C6B8F"/>
    <w:rsid w:val="001C7409"/>
    <w:rsid w:val="001C7F2E"/>
    <w:rsid w:val="001E4013"/>
    <w:rsid w:val="001E7CFA"/>
    <w:rsid w:val="001F738E"/>
    <w:rsid w:val="00203783"/>
    <w:rsid w:val="00206378"/>
    <w:rsid w:val="00206B57"/>
    <w:rsid w:val="00212BDD"/>
    <w:rsid w:val="00215111"/>
    <w:rsid w:val="00220057"/>
    <w:rsid w:val="00222C77"/>
    <w:rsid w:val="00222CD6"/>
    <w:rsid w:val="00224108"/>
    <w:rsid w:val="002243D7"/>
    <w:rsid w:val="0022774D"/>
    <w:rsid w:val="002311AF"/>
    <w:rsid w:val="00234D91"/>
    <w:rsid w:val="002353CC"/>
    <w:rsid w:val="00243258"/>
    <w:rsid w:val="00243C34"/>
    <w:rsid w:val="00246EF5"/>
    <w:rsid w:val="00247E86"/>
    <w:rsid w:val="00252020"/>
    <w:rsid w:val="00261E6B"/>
    <w:rsid w:val="00262FAD"/>
    <w:rsid w:val="00270C67"/>
    <w:rsid w:val="00270F0C"/>
    <w:rsid w:val="00271B8F"/>
    <w:rsid w:val="00275828"/>
    <w:rsid w:val="002767CF"/>
    <w:rsid w:val="00283BB5"/>
    <w:rsid w:val="002847A9"/>
    <w:rsid w:val="00290C8E"/>
    <w:rsid w:val="00294F0C"/>
    <w:rsid w:val="00297BEC"/>
    <w:rsid w:val="002A1C46"/>
    <w:rsid w:val="002A22C5"/>
    <w:rsid w:val="002B0688"/>
    <w:rsid w:val="002B07B3"/>
    <w:rsid w:val="002B0B26"/>
    <w:rsid w:val="002B3C1D"/>
    <w:rsid w:val="002B541B"/>
    <w:rsid w:val="002B7B9F"/>
    <w:rsid w:val="002B7D38"/>
    <w:rsid w:val="002C0FD0"/>
    <w:rsid w:val="002C3498"/>
    <w:rsid w:val="002C5114"/>
    <w:rsid w:val="002C7D67"/>
    <w:rsid w:val="002D0917"/>
    <w:rsid w:val="002D3032"/>
    <w:rsid w:val="002D7996"/>
    <w:rsid w:val="002D7B89"/>
    <w:rsid w:val="002E2DD3"/>
    <w:rsid w:val="002F24BA"/>
    <w:rsid w:val="002F499F"/>
    <w:rsid w:val="002F6BEF"/>
    <w:rsid w:val="002F6FF3"/>
    <w:rsid w:val="003019FE"/>
    <w:rsid w:val="00303CAC"/>
    <w:rsid w:val="0031504C"/>
    <w:rsid w:val="00317E85"/>
    <w:rsid w:val="0032047F"/>
    <w:rsid w:val="00323DBA"/>
    <w:rsid w:val="00324504"/>
    <w:rsid w:val="003318B9"/>
    <w:rsid w:val="00333322"/>
    <w:rsid w:val="00334D0E"/>
    <w:rsid w:val="00347104"/>
    <w:rsid w:val="00350164"/>
    <w:rsid w:val="003565BE"/>
    <w:rsid w:val="003572AF"/>
    <w:rsid w:val="003574D3"/>
    <w:rsid w:val="00363C91"/>
    <w:rsid w:val="003640DB"/>
    <w:rsid w:val="00366024"/>
    <w:rsid w:val="003668FC"/>
    <w:rsid w:val="003674AF"/>
    <w:rsid w:val="00370ACD"/>
    <w:rsid w:val="0037550E"/>
    <w:rsid w:val="003823BB"/>
    <w:rsid w:val="003835DA"/>
    <w:rsid w:val="00384F45"/>
    <w:rsid w:val="00385141"/>
    <w:rsid w:val="00386B75"/>
    <w:rsid w:val="00387396"/>
    <w:rsid w:val="00387FF5"/>
    <w:rsid w:val="00392E79"/>
    <w:rsid w:val="00395FC7"/>
    <w:rsid w:val="003A18A8"/>
    <w:rsid w:val="003A32B6"/>
    <w:rsid w:val="003A4125"/>
    <w:rsid w:val="003B62CA"/>
    <w:rsid w:val="003C1849"/>
    <w:rsid w:val="003C30AC"/>
    <w:rsid w:val="003C534D"/>
    <w:rsid w:val="003C5573"/>
    <w:rsid w:val="003C6E3E"/>
    <w:rsid w:val="003D0B04"/>
    <w:rsid w:val="003D2A84"/>
    <w:rsid w:val="003D5DC6"/>
    <w:rsid w:val="003D7A70"/>
    <w:rsid w:val="003D7D69"/>
    <w:rsid w:val="003E03C9"/>
    <w:rsid w:val="003E38C6"/>
    <w:rsid w:val="003E4AC8"/>
    <w:rsid w:val="003E5513"/>
    <w:rsid w:val="003F12B6"/>
    <w:rsid w:val="003F13A4"/>
    <w:rsid w:val="003F18EF"/>
    <w:rsid w:val="003F1DBF"/>
    <w:rsid w:val="003F26B0"/>
    <w:rsid w:val="003F4AF1"/>
    <w:rsid w:val="003F72A4"/>
    <w:rsid w:val="00400C8C"/>
    <w:rsid w:val="004012E3"/>
    <w:rsid w:val="00401C1F"/>
    <w:rsid w:val="0040678C"/>
    <w:rsid w:val="004115D5"/>
    <w:rsid w:val="00413B8D"/>
    <w:rsid w:val="004154C3"/>
    <w:rsid w:val="00415DE1"/>
    <w:rsid w:val="004248E6"/>
    <w:rsid w:val="00424C5F"/>
    <w:rsid w:val="00430FCA"/>
    <w:rsid w:val="00431D7C"/>
    <w:rsid w:val="00432080"/>
    <w:rsid w:val="00434628"/>
    <w:rsid w:val="00434D60"/>
    <w:rsid w:val="00437C44"/>
    <w:rsid w:val="0044189A"/>
    <w:rsid w:val="004421E9"/>
    <w:rsid w:val="00444222"/>
    <w:rsid w:val="0045074A"/>
    <w:rsid w:val="0045311B"/>
    <w:rsid w:val="00453A67"/>
    <w:rsid w:val="0045581F"/>
    <w:rsid w:val="004606A8"/>
    <w:rsid w:val="0046127F"/>
    <w:rsid w:val="0046214A"/>
    <w:rsid w:val="00462164"/>
    <w:rsid w:val="004643C7"/>
    <w:rsid w:val="00465B0B"/>
    <w:rsid w:val="004660F1"/>
    <w:rsid w:val="00466E45"/>
    <w:rsid w:val="004715B3"/>
    <w:rsid w:val="004776DA"/>
    <w:rsid w:val="004821A0"/>
    <w:rsid w:val="00482A3D"/>
    <w:rsid w:val="00482E99"/>
    <w:rsid w:val="004917D7"/>
    <w:rsid w:val="004A407B"/>
    <w:rsid w:val="004A618D"/>
    <w:rsid w:val="004B3B2E"/>
    <w:rsid w:val="004B56BF"/>
    <w:rsid w:val="004B7EBA"/>
    <w:rsid w:val="004C5333"/>
    <w:rsid w:val="004C66D1"/>
    <w:rsid w:val="004C6E9D"/>
    <w:rsid w:val="004D0D10"/>
    <w:rsid w:val="004D1D97"/>
    <w:rsid w:val="004D2B6A"/>
    <w:rsid w:val="004D797D"/>
    <w:rsid w:val="004E54F5"/>
    <w:rsid w:val="004E72F7"/>
    <w:rsid w:val="004F36F8"/>
    <w:rsid w:val="00502945"/>
    <w:rsid w:val="00505430"/>
    <w:rsid w:val="00510246"/>
    <w:rsid w:val="00512CFA"/>
    <w:rsid w:val="00514DE8"/>
    <w:rsid w:val="00521258"/>
    <w:rsid w:val="0052142B"/>
    <w:rsid w:val="00522A71"/>
    <w:rsid w:val="00524193"/>
    <w:rsid w:val="00530CB9"/>
    <w:rsid w:val="005324FC"/>
    <w:rsid w:val="00533A2D"/>
    <w:rsid w:val="00533DB6"/>
    <w:rsid w:val="00535941"/>
    <w:rsid w:val="005360CF"/>
    <w:rsid w:val="00536DC8"/>
    <w:rsid w:val="00543E0B"/>
    <w:rsid w:val="005448B6"/>
    <w:rsid w:val="00545ABC"/>
    <w:rsid w:val="00546906"/>
    <w:rsid w:val="00553C26"/>
    <w:rsid w:val="00555461"/>
    <w:rsid w:val="005554E3"/>
    <w:rsid w:val="00555654"/>
    <w:rsid w:val="00556E4D"/>
    <w:rsid w:val="0056072E"/>
    <w:rsid w:val="00565D7F"/>
    <w:rsid w:val="00566AB8"/>
    <w:rsid w:val="00567748"/>
    <w:rsid w:val="0056779D"/>
    <w:rsid w:val="00570CB7"/>
    <w:rsid w:val="00574B12"/>
    <w:rsid w:val="005775A7"/>
    <w:rsid w:val="005815A5"/>
    <w:rsid w:val="005835F7"/>
    <w:rsid w:val="00586E01"/>
    <w:rsid w:val="00591C5E"/>
    <w:rsid w:val="00591E9E"/>
    <w:rsid w:val="005939A7"/>
    <w:rsid w:val="005957A5"/>
    <w:rsid w:val="005A41D2"/>
    <w:rsid w:val="005A48CF"/>
    <w:rsid w:val="005A546B"/>
    <w:rsid w:val="005B0E7E"/>
    <w:rsid w:val="005B1CCF"/>
    <w:rsid w:val="005C2827"/>
    <w:rsid w:val="005C57A5"/>
    <w:rsid w:val="005C60D5"/>
    <w:rsid w:val="005D1599"/>
    <w:rsid w:val="005D39C6"/>
    <w:rsid w:val="005D7050"/>
    <w:rsid w:val="005F0999"/>
    <w:rsid w:val="005F2CCB"/>
    <w:rsid w:val="005F6132"/>
    <w:rsid w:val="005F631F"/>
    <w:rsid w:val="005F689F"/>
    <w:rsid w:val="0060024A"/>
    <w:rsid w:val="006016CF"/>
    <w:rsid w:val="00603408"/>
    <w:rsid w:val="006039E3"/>
    <w:rsid w:val="006063ED"/>
    <w:rsid w:val="006078B1"/>
    <w:rsid w:val="00607A10"/>
    <w:rsid w:val="00610991"/>
    <w:rsid w:val="00613990"/>
    <w:rsid w:val="00616F77"/>
    <w:rsid w:val="00621057"/>
    <w:rsid w:val="006240D3"/>
    <w:rsid w:val="006243A6"/>
    <w:rsid w:val="00624D47"/>
    <w:rsid w:val="0062710A"/>
    <w:rsid w:val="0062729A"/>
    <w:rsid w:val="0063078C"/>
    <w:rsid w:val="0063517E"/>
    <w:rsid w:val="0064079A"/>
    <w:rsid w:val="006412C7"/>
    <w:rsid w:val="006417A0"/>
    <w:rsid w:val="00643790"/>
    <w:rsid w:val="00643826"/>
    <w:rsid w:val="00645FC7"/>
    <w:rsid w:val="006467A2"/>
    <w:rsid w:val="00650DC8"/>
    <w:rsid w:val="006541E8"/>
    <w:rsid w:val="00661EF7"/>
    <w:rsid w:val="00667463"/>
    <w:rsid w:val="00670F5B"/>
    <w:rsid w:val="006728F0"/>
    <w:rsid w:val="00672BCF"/>
    <w:rsid w:val="006736DC"/>
    <w:rsid w:val="00676BE8"/>
    <w:rsid w:val="006779E7"/>
    <w:rsid w:val="00677FB4"/>
    <w:rsid w:val="006807FC"/>
    <w:rsid w:val="00682CED"/>
    <w:rsid w:val="0068707C"/>
    <w:rsid w:val="0069268A"/>
    <w:rsid w:val="00693297"/>
    <w:rsid w:val="006A1321"/>
    <w:rsid w:val="006A4309"/>
    <w:rsid w:val="006A4FAF"/>
    <w:rsid w:val="006B1FD7"/>
    <w:rsid w:val="006B21C4"/>
    <w:rsid w:val="006B699B"/>
    <w:rsid w:val="006C0937"/>
    <w:rsid w:val="006C1A1B"/>
    <w:rsid w:val="006C34C7"/>
    <w:rsid w:val="006C375F"/>
    <w:rsid w:val="006C40EC"/>
    <w:rsid w:val="006D0FE1"/>
    <w:rsid w:val="006D25DB"/>
    <w:rsid w:val="006D2FF4"/>
    <w:rsid w:val="006D3CCA"/>
    <w:rsid w:val="006D5F51"/>
    <w:rsid w:val="006E00F5"/>
    <w:rsid w:val="006E1234"/>
    <w:rsid w:val="006F42E5"/>
    <w:rsid w:val="006F6550"/>
    <w:rsid w:val="006F6BEE"/>
    <w:rsid w:val="006F6F70"/>
    <w:rsid w:val="007026B4"/>
    <w:rsid w:val="00704CC5"/>
    <w:rsid w:val="00706C7C"/>
    <w:rsid w:val="00711536"/>
    <w:rsid w:val="00724B80"/>
    <w:rsid w:val="007300CA"/>
    <w:rsid w:val="00731114"/>
    <w:rsid w:val="007328B9"/>
    <w:rsid w:val="00736E8D"/>
    <w:rsid w:val="00744815"/>
    <w:rsid w:val="00755DB6"/>
    <w:rsid w:val="007715DA"/>
    <w:rsid w:val="00772E8F"/>
    <w:rsid w:val="00775F77"/>
    <w:rsid w:val="00784523"/>
    <w:rsid w:val="0078490A"/>
    <w:rsid w:val="007857A7"/>
    <w:rsid w:val="0079123C"/>
    <w:rsid w:val="00793765"/>
    <w:rsid w:val="00793915"/>
    <w:rsid w:val="007959D3"/>
    <w:rsid w:val="007A065B"/>
    <w:rsid w:val="007B0D43"/>
    <w:rsid w:val="007B5247"/>
    <w:rsid w:val="007B7D18"/>
    <w:rsid w:val="007C2E6C"/>
    <w:rsid w:val="007C322C"/>
    <w:rsid w:val="007C50C9"/>
    <w:rsid w:val="007C75CB"/>
    <w:rsid w:val="007C76C3"/>
    <w:rsid w:val="007D0B4B"/>
    <w:rsid w:val="007D1411"/>
    <w:rsid w:val="007D31AC"/>
    <w:rsid w:val="007D7BAA"/>
    <w:rsid w:val="007E31BE"/>
    <w:rsid w:val="007E6CC4"/>
    <w:rsid w:val="007F081C"/>
    <w:rsid w:val="007F1E1C"/>
    <w:rsid w:val="007F3DF4"/>
    <w:rsid w:val="008037CD"/>
    <w:rsid w:val="0080459B"/>
    <w:rsid w:val="00807A06"/>
    <w:rsid w:val="008114D0"/>
    <w:rsid w:val="008123E1"/>
    <w:rsid w:val="00814480"/>
    <w:rsid w:val="0082208A"/>
    <w:rsid w:val="00824557"/>
    <w:rsid w:val="0082511F"/>
    <w:rsid w:val="00827805"/>
    <w:rsid w:val="00830E65"/>
    <w:rsid w:val="00832777"/>
    <w:rsid w:val="00833285"/>
    <w:rsid w:val="008370C2"/>
    <w:rsid w:val="00837545"/>
    <w:rsid w:val="00840F5D"/>
    <w:rsid w:val="00842540"/>
    <w:rsid w:val="0084308B"/>
    <w:rsid w:val="0085193C"/>
    <w:rsid w:val="008529C0"/>
    <w:rsid w:val="0085454F"/>
    <w:rsid w:val="0085700E"/>
    <w:rsid w:val="008570D8"/>
    <w:rsid w:val="00863408"/>
    <w:rsid w:val="008729CA"/>
    <w:rsid w:val="0087523F"/>
    <w:rsid w:val="00880F4A"/>
    <w:rsid w:val="008811F4"/>
    <w:rsid w:val="008834DE"/>
    <w:rsid w:val="00883552"/>
    <w:rsid w:val="00885AEC"/>
    <w:rsid w:val="008970B1"/>
    <w:rsid w:val="008A6782"/>
    <w:rsid w:val="008A728D"/>
    <w:rsid w:val="008B296C"/>
    <w:rsid w:val="008C190E"/>
    <w:rsid w:val="008C49A1"/>
    <w:rsid w:val="008C4FDF"/>
    <w:rsid w:val="008C51F6"/>
    <w:rsid w:val="008D052D"/>
    <w:rsid w:val="008D3603"/>
    <w:rsid w:val="008D3C26"/>
    <w:rsid w:val="008D49E7"/>
    <w:rsid w:val="008D4D5E"/>
    <w:rsid w:val="008D5EA8"/>
    <w:rsid w:val="008D6E88"/>
    <w:rsid w:val="008E2937"/>
    <w:rsid w:val="008E2BF0"/>
    <w:rsid w:val="008E3383"/>
    <w:rsid w:val="008E4436"/>
    <w:rsid w:val="008E459B"/>
    <w:rsid w:val="008E5662"/>
    <w:rsid w:val="008E7B5B"/>
    <w:rsid w:val="008F060A"/>
    <w:rsid w:val="008F4CD6"/>
    <w:rsid w:val="008F64A1"/>
    <w:rsid w:val="008F7324"/>
    <w:rsid w:val="008F75FE"/>
    <w:rsid w:val="009003F2"/>
    <w:rsid w:val="00901670"/>
    <w:rsid w:val="00901E02"/>
    <w:rsid w:val="00904D3E"/>
    <w:rsid w:val="00906482"/>
    <w:rsid w:val="00906EBF"/>
    <w:rsid w:val="009121FA"/>
    <w:rsid w:val="00914E5B"/>
    <w:rsid w:val="009206E2"/>
    <w:rsid w:val="00920BA0"/>
    <w:rsid w:val="00922A46"/>
    <w:rsid w:val="0092697A"/>
    <w:rsid w:val="009341DC"/>
    <w:rsid w:val="00936A00"/>
    <w:rsid w:val="00940F68"/>
    <w:rsid w:val="00951761"/>
    <w:rsid w:val="00957C63"/>
    <w:rsid w:val="00960EB4"/>
    <w:rsid w:val="00960ED9"/>
    <w:rsid w:val="00961F80"/>
    <w:rsid w:val="00966D66"/>
    <w:rsid w:val="009670AE"/>
    <w:rsid w:val="0096765A"/>
    <w:rsid w:val="00967B96"/>
    <w:rsid w:val="00972AFC"/>
    <w:rsid w:val="00973E0C"/>
    <w:rsid w:val="00974351"/>
    <w:rsid w:val="00983D45"/>
    <w:rsid w:val="00986CEA"/>
    <w:rsid w:val="009904FC"/>
    <w:rsid w:val="0099118E"/>
    <w:rsid w:val="00997FEA"/>
    <w:rsid w:val="009A4914"/>
    <w:rsid w:val="009A5CFD"/>
    <w:rsid w:val="009A7423"/>
    <w:rsid w:val="009A791E"/>
    <w:rsid w:val="009B21B7"/>
    <w:rsid w:val="009B6F40"/>
    <w:rsid w:val="009C6311"/>
    <w:rsid w:val="009D03F0"/>
    <w:rsid w:val="009D4272"/>
    <w:rsid w:val="009D4DB4"/>
    <w:rsid w:val="009E154D"/>
    <w:rsid w:val="009E21F8"/>
    <w:rsid w:val="009E24DD"/>
    <w:rsid w:val="009F0A0A"/>
    <w:rsid w:val="009F1074"/>
    <w:rsid w:val="009F38B0"/>
    <w:rsid w:val="009F5C02"/>
    <w:rsid w:val="00A016E3"/>
    <w:rsid w:val="00A125D3"/>
    <w:rsid w:val="00A173E1"/>
    <w:rsid w:val="00A20285"/>
    <w:rsid w:val="00A2039F"/>
    <w:rsid w:val="00A226A6"/>
    <w:rsid w:val="00A2386A"/>
    <w:rsid w:val="00A24224"/>
    <w:rsid w:val="00A360AA"/>
    <w:rsid w:val="00A43E72"/>
    <w:rsid w:val="00A47F76"/>
    <w:rsid w:val="00A65DB0"/>
    <w:rsid w:val="00A7161A"/>
    <w:rsid w:val="00A727E9"/>
    <w:rsid w:val="00A73442"/>
    <w:rsid w:val="00A73C39"/>
    <w:rsid w:val="00A74CF1"/>
    <w:rsid w:val="00A80777"/>
    <w:rsid w:val="00A82CA4"/>
    <w:rsid w:val="00A8484B"/>
    <w:rsid w:val="00A84B73"/>
    <w:rsid w:val="00A87A4F"/>
    <w:rsid w:val="00A948B5"/>
    <w:rsid w:val="00A94AF1"/>
    <w:rsid w:val="00A96762"/>
    <w:rsid w:val="00AA5603"/>
    <w:rsid w:val="00AA6C73"/>
    <w:rsid w:val="00AA6EE0"/>
    <w:rsid w:val="00AB1691"/>
    <w:rsid w:val="00AB20E2"/>
    <w:rsid w:val="00AB29A2"/>
    <w:rsid w:val="00AB3C65"/>
    <w:rsid w:val="00AC0134"/>
    <w:rsid w:val="00AC215B"/>
    <w:rsid w:val="00AC32C8"/>
    <w:rsid w:val="00AD0F26"/>
    <w:rsid w:val="00AD530C"/>
    <w:rsid w:val="00AD74CF"/>
    <w:rsid w:val="00AD799F"/>
    <w:rsid w:val="00AE15D4"/>
    <w:rsid w:val="00AF245B"/>
    <w:rsid w:val="00AF4327"/>
    <w:rsid w:val="00AF4A83"/>
    <w:rsid w:val="00AF5CA8"/>
    <w:rsid w:val="00AF6CC0"/>
    <w:rsid w:val="00B03C0C"/>
    <w:rsid w:val="00B04D0F"/>
    <w:rsid w:val="00B13009"/>
    <w:rsid w:val="00B16540"/>
    <w:rsid w:val="00B177A9"/>
    <w:rsid w:val="00B20510"/>
    <w:rsid w:val="00B2368F"/>
    <w:rsid w:val="00B402ED"/>
    <w:rsid w:val="00B42C87"/>
    <w:rsid w:val="00B47E8C"/>
    <w:rsid w:val="00B541F5"/>
    <w:rsid w:val="00B619E8"/>
    <w:rsid w:val="00B63F89"/>
    <w:rsid w:val="00B6738F"/>
    <w:rsid w:val="00B73FE6"/>
    <w:rsid w:val="00B86596"/>
    <w:rsid w:val="00B871C1"/>
    <w:rsid w:val="00B91A22"/>
    <w:rsid w:val="00B92306"/>
    <w:rsid w:val="00B9289B"/>
    <w:rsid w:val="00B94196"/>
    <w:rsid w:val="00B96482"/>
    <w:rsid w:val="00B967BC"/>
    <w:rsid w:val="00BA1E4C"/>
    <w:rsid w:val="00BA33D2"/>
    <w:rsid w:val="00BA3AC8"/>
    <w:rsid w:val="00BB0DE9"/>
    <w:rsid w:val="00BB222A"/>
    <w:rsid w:val="00BB48E4"/>
    <w:rsid w:val="00BB4A86"/>
    <w:rsid w:val="00BB606D"/>
    <w:rsid w:val="00BC4376"/>
    <w:rsid w:val="00BC5C7B"/>
    <w:rsid w:val="00BC6110"/>
    <w:rsid w:val="00BC635F"/>
    <w:rsid w:val="00BC7A56"/>
    <w:rsid w:val="00BD53EF"/>
    <w:rsid w:val="00BD596A"/>
    <w:rsid w:val="00BE0158"/>
    <w:rsid w:val="00BE2217"/>
    <w:rsid w:val="00BE7E81"/>
    <w:rsid w:val="00BF1863"/>
    <w:rsid w:val="00BF21AB"/>
    <w:rsid w:val="00BF589E"/>
    <w:rsid w:val="00BF7352"/>
    <w:rsid w:val="00BF79A4"/>
    <w:rsid w:val="00C012F6"/>
    <w:rsid w:val="00C014E2"/>
    <w:rsid w:val="00C06B9B"/>
    <w:rsid w:val="00C0780F"/>
    <w:rsid w:val="00C160B9"/>
    <w:rsid w:val="00C17BAC"/>
    <w:rsid w:val="00C20BF7"/>
    <w:rsid w:val="00C2421A"/>
    <w:rsid w:val="00C24A1B"/>
    <w:rsid w:val="00C26DF5"/>
    <w:rsid w:val="00C33D3C"/>
    <w:rsid w:val="00C33E3A"/>
    <w:rsid w:val="00C34728"/>
    <w:rsid w:val="00C369E2"/>
    <w:rsid w:val="00C37C61"/>
    <w:rsid w:val="00C43235"/>
    <w:rsid w:val="00C448DC"/>
    <w:rsid w:val="00C470E4"/>
    <w:rsid w:val="00C47A9E"/>
    <w:rsid w:val="00C50E73"/>
    <w:rsid w:val="00C51AA1"/>
    <w:rsid w:val="00C53F04"/>
    <w:rsid w:val="00C55A92"/>
    <w:rsid w:val="00C573CD"/>
    <w:rsid w:val="00C63A07"/>
    <w:rsid w:val="00C64C46"/>
    <w:rsid w:val="00C7079C"/>
    <w:rsid w:val="00C70D3B"/>
    <w:rsid w:val="00C71A71"/>
    <w:rsid w:val="00C767B8"/>
    <w:rsid w:val="00C77A2C"/>
    <w:rsid w:val="00C8266D"/>
    <w:rsid w:val="00C856B7"/>
    <w:rsid w:val="00C860E1"/>
    <w:rsid w:val="00C90DAD"/>
    <w:rsid w:val="00C910B8"/>
    <w:rsid w:val="00C922A2"/>
    <w:rsid w:val="00C979BD"/>
    <w:rsid w:val="00CA0A6B"/>
    <w:rsid w:val="00CA21B5"/>
    <w:rsid w:val="00CA6C17"/>
    <w:rsid w:val="00CB287B"/>
    <w:rsid w:val="00CB4E2E"/>
    <w:rsid w:val="00CB55AF"/>
    <w:rsid w:val="00CB735F"/>
    <w:rsid w:val="00CB744C"/>
    <w:rsid w:val="00CC3D56"/>
    <w:rsid w:val="00CC4C78"/>
    <w:rsid w:val="00CE4C3D"/>
    <w:rsid w:val="00CE62B9"/>
    <w:rsid w:val="00CF01FB"/>
    <w:rsid w:val="00CF550C"/>
    <w:rsid w:val="00D037E5"/>
    <w:rsid w:val="00D049FE"/>
    <w:rsid w:val="00D06875"/>
    <w:rsid w:val="00D169C8"/>
    <w:rsid w:val="00D16A4A"/>
    <w:rsid w:val="00D1726C"/>
    <w:rsid w:val="00D17F1E"/>
    <w:rsid w:val="00D21879"/>
    <w:rsid w:val="00D27706"/>
    <w:rsid w:val="00D34069"/>
    <w:rsid w:val="00D4178B"/>
    <w:rsid w:val="00D421B5"/>
    <w:rsid w:val="00D4485F"/>
    <w:rsid w:val="00D453A0"/>
    <w:rsid w:val="00D47828"/>
    <w:rsid w:val="00D47A99"/>
    <w:rsid w:val="00D50BA3"/>
    <w:rsid w:val="00D53B42"/>
    <w:rsid w:val="00D545E4"/>
    <w:rsid w:val="00D54D64"/>
    <w:rsid w:val="00D55D5D"/>
    <w:rsid w:val="00D56331"/>
    <w:rsid w:val="00D627E6"/>
    <w:rsid w:val="00D62C93"/>
    <w:rsid w:val="00D66E86"/>
    <w:rsid w:val="00D726D0"/>
    <w:rsid w:val="00D738BB"/>
    <w:rsid w:val="00D76BD0"/>
    <w:rsid w:val="00D7704B"/>
    <w:rsid w:val="00D954EE"/>
    <w:rsid w:val="00DA6218"/>
    <w:rsid w:val="00DB12E9"/>
    <w:rsid w:val="00DB2785"/>
    <w:rsid w:val="00DB56BB"/>
    <w:rsid w:val="00DB599B"/>
    <w:rsid w:val="00DC44CB"/>
    <w:rsid w:val="00DC5C1D"/>
    <w:rsid w:val="00DD3A17"/>
    <w:rsid w:val="00DD3CED"/>
    <w:rsid w:val="00DD4888"/>
    <w:rsid w:val="00DD4ED7"/>
    <w:rsid w:val="00DD5B39"/>
    <w:rsid w:val="00DE505F"/>
    <w:rsid w:val="00DE71AD"/>
    <w:rsid w:val="00DF06A6"/>
    <w:rsid w:val="00DF1BAC"/>
    <w:rsid w:val="00DF3A78"/>
    <w:rsid w:val="00DF7355"/>
    <w:rsid w:val="00DF7979"/>
    <w:rsid w:val="00E01CFE"/>
    <w:rsid w:val="00E042C9"/>
    <w:rsid w:val="00E04842"/>
    <w:rsid w:val="00E049A8"/>
    <w:rsid w:val="00E05F17"/>
    <w:rsid w:val="00E06E13"/>
    <w:rsid w:val="00E135FF"/>
    <w:rsid w:val="00E23C5E"/>
    <w:rsid w:val="00E316A4"/>
    <w:rsid w:val="00E3287E"/>
    <w:rsid w:val="00E35E5B"/>
    <w:rsid w:val="00E42EF2"/>
    <w:rsid w:val="00E43484"/>
    <w:rsid w:val="00E43BB3"/>
    <w:rsid w:val="00E43D69"/>
    <w:rsid w:val="00E4490F"/>
    <w:rsid w:val="00E531D1"/>
    <w:rsid w:val="00E652E4"/>
    <w:rsid w:val="00E65C28"/>
    <w:rsid w:val="00E73FA0"/>
    <w:rsid w:val="00E75705"/>
    <w:rsid w:val="00E75751"/>
    <w:rsid w:val="00E76189"/>
    <w:rsid w:val="00E80488"/>
    <w:rsid w:val="00E81AA7"/>
    <w:rsid w:val="00E8403F"/>
    <w:rsid w:val="00E8752E"/>
    <w:rsid w:val="00E87E05"/>
    <w:rsid w:val="00E91387"/>
    <w:rsid w:val="00E9320F"/>
    <w:rsid w:val="00E944D5"/>
    <w:rsid w:val="00E94B48"/>
    <w:rsid w:val="00E96FE4"/>
    <w:rsid w:val="00E9798D"/>
    <w:rsid w:val="00EA2000"/>
    <w:rsid w:val="00EA3564"/>
    <w:rsid w:val="00EA4E90"/>
    <w:rsid w:val="00EA68D8"/>
    <w:rsid w:val="00EB5E5B"/>
    <w:rsid w:val="00EB6E69"/>
    <w:rsid w:val="00EC4605"/>
    <w:rsid w:val="00EC5667"/>
    <w:rsid w:val="00ED07E6"/>
    <w:rsid w:val="00EE010B"/>
    <w:rsid w:val="00EE61C8"/>
    <w:rsid w:val="00EE6B90"/>
    <w:rsid w:val="00EF0AD3"/>
    <w:rsid w:val="00EF2C70"/>
    <w:rsid w:val="00F03298"/>
    <w:rsid w:val="00F03315"/>
    <w:rsid w:val="00F14E5E"/>
    <w:rsid w:val="00F15C07"/>
    <w:rsid w:val="00F27D47"/>
    <w:rsid w:val="00F32AD2"/>
    <w:rsid w:val="00F33240"/>
    <w:rsid w:val="00F3480A"/>
    <w:rsid w:val="00F357C6"/>
    <w:rsid w:val="00F363D8"/>
    <w:rsid w:val="00F40F29"/>
    <w:rsid w:val="00F45787"/>
    <w:rsid w:val="00F528C4"/>
    <w:rsid w:val="00F567D0"/>
    <w:rsid w:val="00F61359"/>
    <w:rsid w:val="00F61BBA"/>
    <w:rsid w:val="00F8050D"/>
    <w:rsid w:val="00F81723"/>
    <w:rsid w:val="00F86DE3"/>
    <w:rsid w:val="00F90F41"/>
    <w:rsid w:val="00F93A7F"/>
    <w:rsid w:val="00F94895"/>
    <w:rsid w:val="00F959B1"/>
    <w:rsid w:val="00F969AF"/>
    <w:rsid w:val="00F971A9"/>
    <w:rsid w:val="00F977B6"/>
    <w:rsid w:val="00FA2229"/>
    <w:rsid w:val="00FA3665"/>
    <w:rsid w:val="00FA3CAE"/>
    <w:rsid w:val="00FA3E3C"/>
    <w:rsid w:val="00FA5F64"/>
    <w:rsid w:val="00FB1DA6"/>
    <w:rsid w:val="00FB2F75"/>
    <w:rsid w:val="00FB624D"/>
    <w:rsid w:val="00FB77B4"/>
    <w:rsid w:val="00FC0493"/>
    <w:rsid w:val="00FC19CC"/>
    <w:rsid w:val="00FC73B9"/>
    <w:rsid w:val="00FC7A00"/>
    <w:rsid w:val="00FD5183"/>
    <w:rsid w:val="00FD6844"/>
    <w:rsid w:val="00FE073D"/>
    <w:rsid w:val="00FE0C48"/>
    <w:rsid w:val="00FE2093"/>
    <w:rsid w:val="00FE2CA3"/>
    <w:rsid w:val="00FE444B"/>
    <w:rsid w:val="00FE4AF3"/>
    <w:rsid w:val="00FE5362"/>
    <w:rsid w:val="00FE600F"/>
    <w:rsid w:val="00FE7883"/>
    <w:rsid w:val="00FF54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F68"/>
  </w:style>
  <w:style w:type="paragraph" w:styleId="Footer">
    <w:name w:val="footer"/>
    <w:basedOn w:val="Normal"/>
    <w:link w:val="FooterChar"/>
    <w:uiPriority w:val="99"/>
    <w:unhideWhenUsed/>
    <w:rsid w:val="00940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F68"/>
  </w:style>
  <w:style w:type="paragraph" w:styleId="ListParagraph">
    <w:name w:val="List Paragraph"/>
    <w:basedOn w:val="Normal"/>
    <w:uiPriority w:val="34"/>
    <w:qFormat/>
    <w:rsid w:val="00C90DAD"/>
    <w:pPr>
      <w:ind w:left="720"/>
      <w:contextualSpacing/>
    </w:pPr>
  </w:style>
  <w:style w:type="paragraph" w:styleId="BalloonText">
    <w:name w:val="Balloon Text"/>
    <w:basedOn w:val="Normal"/>
    <w:link w:val="BalloonTextChar"/>
    <w:uiPriority w:val="99"/>
    <w:semiHidden/>
    <w:unhideWhenUsed/>
    <w:rsid w:val="00C06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9B"/>
    <w:rPr>
      <w:rFonts w:ascii="Tahoma" w:hAnsi="Tahoma" w:cs="Tahoma"/>
      <w:sz w:val="16"/>
      <w:szCs w:val="16"/>
    </w:rPr>
  </w:style>
  <w:style w:type="table" w:styleId="TableGrid">
    <w:name w:val="Table Grid"/>
    <w:basedOn w:val="TableNormal"/>
    <w:uiPriority w:val="59"/>
    <w:rsid w:val="00AF6C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9F5C02"/>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F5C02"/>
    <w:rPr>
      <w:rFonts w:ascii="Times New Roman" w:eastAsia="Times New Roman" w:hAnsi="Times New Roman" w:cs="Times New Roman"/>
      <w:sz w:val="24"/>
      <w:szCs w:val="20"/>
    </w:rPr>
  </w:style>
  <w:style w:type="paragraph" w:styleId="NormalWeb">
    <w:name w:val="Normal (Web)"/>
    <w:basedOn w:val="Normal"/>
    <w:uiPriority w:val="99"/>
    <w:unhideWhenUsed/>
    <w:rsid w:val="00C369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94F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A94AF1"/>
    <w:rPr>
      <w:color w:val="0000FF"/>
      <w:u w:val="single"/>
    </w:rPr>
  </w:style>
  <w:style w:type="character" w:customStyle="1" w:styleId="apple-converted-space">
    <w:name w:val="apple-converted-space"/>
    <w:basedOn w:val="DefaultParagraphFont"/>
    <w:rsid w:val="005939A7"/>
  </w:style>
</w:styles>
</file>

<file path=word/webSettings.xml><?xml version="1.0" encoding="utf-8"?>
<w:webSettings xmlns:r="http://schemas.openxmlformats.org/officeDocument/2006/relationships" xmlns:w="http://schemas.openxmlformats.org/wordprocessingml/2006/main">
  <w:divs>
    <w:div w:id="4366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ciencepub.net/rural"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hafizmudasir@rediff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E1DAAA-A3D9-40FD-BC4C-E4B7CFAF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Dissertation Report</vt:lpstr>
    </vt:vector>
  </TitlesOfParts>
  <Company>微软中国</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Report</dc:title>
  <dc:creator>MOOSA PATHAN</dc:creator>
  <cp:lastModifiedBy>Administrator</cp:lastModifiedBy>
  <cp:revision>5</cp:revision>
  <cp:lastPrinted>2015-09-14T01:21:00Z</cp:lastPrinted>
  <dcterms:created xsi:type="dcterms:W3CDTF">2015-09-14T07:24:00Z</dcterms:created>
  <dcterms:modified xsi:type="dcterms:W3CDTF">2015-09-14T06:09:00Z</dcterms:modified>
</cp:coreProperties>
</file>